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C082D78">
      <w:pPr>
        <w:tabs>
          <w:tab w:val="left" w:pos="602"/>
        </w:tabs>
        <w:spacing w:line="580" w:lineRule="exact"/>
        <w:rPr>
          <w:rFonts w:ascii="Times New Roman" w:hAnsi="Times New Roman" w:eastAsia="黑体" w:cs="Times New Roman"/>
          <w:sz w:val="32"/>
          <w:szCs w:val="40"/>
        </w:rPr>
      </w:pPr>
      <w:r>
        <w:rPr>
          <w:rFonts w:hint="eastAsia" w:ascii="Times New Roman" w:hAnsi="黑体" w:eastAsia="黑体" w:cs="Times New Roman"/>
          <w:sz w:val="32"/>
          <w:szCs w:val="40"/>
        </w:rPr>
        <w:t>附件</w:t>
      </w:r>
      <w:r>
        <w:rPr>
          <w:rFonts w:ascii="Times New Roman" w:hAnsi="Times New Roman" w:eastAsia="黑体" w:cs="Times New Roman"/>
          <w:sz w:val="32"/>
          <w:szCs w:val="40"/>
        </w:rPr>
        <w:t>1</w:t>
      </w:r>
    </w:p>
    <w:p w14:paraId="1C0CB563">
      <w:pPr>
        <w:spacing w:line="580" w:lineRule="exact"/>
        <w:jc w:val="center"/>
        <w:rPr>
          <w:rFonts w:ascii="Times New Roman" w:hAnsi="Times New Roman" w:eastAsia="方正小标宋简体" w:cs="Times New Roman"/>
          <w:sz w:val="44"/>
          <w:szCs w:val="52"/>
        </w:rPr>
      </w:pPr>
    </w:p>
    <w:p w14:paraId="52FB4AED">
      <w:pPr>
        <w:spacing w:line="580" w:lineRule="exact"/>
        <w:jc w:val="center"/>
        <w:rPr>
          <w:rFonts w:ascii="Times New Roman" w:hAnsi="Times New Roman" w:eastAsia="方正小标宋简体" w:cs="Times New Roman"/>
          <w:sz w:val="44"/>
          <w:szCs w:val="52"/>
        </w:rPr>
      </w:pPr>
      <w:r>
        <w:rPr>
          <w:rFonts w:hint="eastAsia" w:ascii="Times New Roman" w:hAnsi="方正小标宋简体" w:eastAsia="方正小标宋简体" w:cs="Times New Roman"/>
          <w:sz w:val="44"/>
          <w:szCs w:val="52"/>
        </w:rPr>
        <w:t>新能源汽车充电桩报装</w:t>
      </w:r>
      <w:r>
        <w:rPr>
          <w:rFonts w:hint="eastAsia" w:ascii="Times New Roman" w:hAnsi="Times New Roman" w:eastAsia="方正小标宋简体" w:cs="Times New Roman"/>
          <w:sz w:val="44"/>
          <w:szCs w:val="52"/>
        </w:rPr>
        <w:t>“</w:t>
      </w:r>
      <w:r>
        <w:rPr>
          <w:rFonts w:hint="eastAsia" w:ascii="Times New Roman" w:hAnsi="方正小标宋简体" w:eastAsia="方正小标宋简体" w:cs="Times New Roman"/>
          <w:sz w:val="44"/>
          <w:szCs w:val="52"/>
        </w:rPr>
        <w:t>一件事</w:t>
      </w:r>
      <w:r>
        <w:rPr>
          <w:rFonts w:hint="eastAsia" w:ascii="Times New Roman" w:hAnsi="Times New Roman" w:eastAsia="方正小标宋简体" w:cs="Times New Roman"/>
          <w:sz w:val="44"/>
          <w:szCs w:val="52"/>
        </w:rPr>
        <w:t>”</w:t>
      </w:r>
    </w:p>
    <w:p w14:paraId="077097BF">
      <w:pPr>
        <w:spacing w:line="580" w:lineRule="exact"/>
        <w:jc w:val="center"/>
        <w:rPr>
          <w:rFonts w:ascii="Times New Roman" w:hAnsi="Times New Roman" w:eastAsia="方正小标宋简体" w:cs="Times New Roman"/>
          <w:sz w:val="44"/>
          <w:szCs w:val="52"/>
        </w:rPr>
      </w:pPr>
      <w:r>
        <w:rPr>
          <w:rFonts w:hint="eastAsia" w:ascii="Times New Roman" w:hAnsi="方正小标宋简体" w:eastAsia="方正小标宋简体" w:cs="Times New Roman"/>
          <w:sz w:val="44"/>
          <w:szCs w:val="52"/>
        </w:rPr>
        <w:t>联办事项清单</w:t>
      </w:r>
    </w:p>
    <w:p w14:paraId="5E60E0D6">
      <w:pPr>
        <w:widowControl/>
        <w:spacing w:line="590" w:lineRule="exact"/>
        <w:ind w:firstLine="640" w:firstLineChars="200"/>
        <w:jc w:val="left"/>
        <w:rPr>
          <w:rFonts w:ascii="Times New Roman" w:hAnsi="Times New Roman" w:eastAsia="方正黑体_GBK" w:cs="Times New Roman"/>
          <w:sz w:val="32"/>
          <w:szCs w:val="32"/>
        </w:rPr>
      </w:pPr>
    </w:p>
    <w:tbl>
      <w:tblPr>
        <w:tblStyle w:val="4"/>
        <w:tblW w:w="828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48"/>
        <w:gridCol w:w="1705"/>
        <w:gridCol w:w="2455"/>
        <w:gridCol w:w="2540"/>
        <w:gridCol w:w="838"/>
      </w:tblGrid>
      <w:tr w14:paraId="79E8A6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748" w:type="dxa"/>
            <w:tcBorders>
              <w:bottom w:val="single" w:color="auto" w:sz="4" w:space="0"/>
            </w:tcBorders>
            <w:noWrap/>
            <w:vAlign w:val="center"/>
          </w:tcPr>
          <w:p w14:paraId="21DD44FE">
            <w:pPr>
              <w:pStyle w:val="3"/>
              <w:kinsoku w:val="0"/>
              <w:overflowPunct w:val="0"/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Times New Roman" w:hAnsi="Times New Roman" w:eastAsia="黑体" w:cs="Times New Roman"/>
                <w:sz w:val="24"/>
                <w:szCs w:val="24"/>
              </w:rPr>
            </w:pPr>
            <w:r>
              <w:rPr>
                <w:rFonts w:hint="eastAsia" w:ascii="Times New Roman" w:hAnsi="黑体" w:eastAsia="黑体" w:cs="Times New Roman"/>
                <w:sz w:val="24"/>
                <w:szCs w:val="24"/>
              </w:rPr>
              <w:t>序号</w:t>
            </w:r>
          </w:p>
        </w:tc>
        <w:tc>
          <w:tcPr>
            <w:tcW w:w="1705" w:type="dxa"/>
            <w:tcBorders>
              <w:bottom w:val="single" w:color="auto" w:sz="4" w:space="0"/>
            </w:tcBorders>
            <w:noWrap/>
            <w:vAlign w:val="center"/>
          </w:tcPr>
          <w:p w14:paraId="53711690">
            <w:pPr>
              <w:pStyle w:val="3"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Times New Roman" w:hAnsi="Times New Roman" w:eastAsia="黑体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黑体" w:cs="Times New Roman"/>
                <w:sz w:val="24"/>
                <w:szCs w:val="24"/>
              </w:rPr>
              <w:t>“</w:t>
            </w:r>
            <w:r>
              <w:rPr>
                <w:rFonts w:hint="eastAsia" w:ascii="Times New Roman" w:hAnsi="黑体" w:eastAsia="黑体" w:cs="Times New Roman"/>
                <w:sz w:val="24"/>
                <w:szCs w:val="24"/>
              </w:rPr>
              <w:t>一件事</w:t>
            </w:r>
            <w:r>
              <w:rPr>
                <w:rFonts w:hint="eastAsia" w:ascii="Times New Roman" w:hAnsi="Times New Roman" w:eastAsia="黑体" w:cs="Times New Roman"/>
                <w:sz w:val="24"/>
                <w:szCs w:val="24"/>
              </w:rPr>
              <w:t>”</w:t>
            </w:r>
          </w:p>
          <w:p w14:paraId="2CC4C44F">
            <w:pPr>
              <w:pStyle w:val="3"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Times New Roman" w:hAnsi="Times New Roman" w:eastAsia="黑体" w:cs="Times New Roman"/>
                <w:sz w:val="24"/>
                <w:szCs w:val="24"/>
              </w:rPr>
            </w:pPr>
            <w:r>
              <w:rPr>
                <w:rFonts w:hint="eastAsia" w:ascii="Times New Roman" w:hAnsi="黑体" w:eastAsia="黑体" w:cs="Times New Roman"/>
                <w:sz w:val="24"/>
                <w:szCs w:val="24"/>
              </w:rPr>
              <w:t>名称</w:t>
            </w:r>
          </w:p>
        </w:tc>
        <w:tc>
          <w:tcPr>
            <w:tcW w:w="2455" w:type="dxa"/>
            <w:tcBorders>
              <w:bottom w:val="single" w:color="auto" w:sz="4" w:space="0"/>
            </w:tcBorders>
            <w:noWrap/>
            <w:vAlign w:val="center"/>
          </w:tcPr>
          <w:p w14:paraId="63B0DA56">
            <w:pPr>
              <w:pStyle w:val="3"/>
              <w:kinsoku w:val="0"/>
              <w:overflowPunct w:val="0"/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Times New Roman" w:hAnsi="Times New Roman" w:eastAsia="黑体" w:cs="Times New Roman"/>
                <w:sz w:val="24"/>
                <w:szCs w:val="24"/>
              </w:rPr>
            </w:pPr>
            <w:r>
              <w:rPr>
                <w:rFonts w:hint="eastAsia" w:ascii="Times New Roman" w:hAnsi="黑体" w:eastAsia="黑体" w:cs="Times New Roman"/>
                <w:sz w:val="24"/>
                <w:szCs w:val="24"/>
              </w:rPr>
              <w:t>涉及事项</w:t>
            </w:r>
          </w:p>
        </w:tc>
        <w:tc>
          <w:tcPr>
            <w:tcW w:w="2540" w:type="dxa"/>
            <w:tcBorders>
              <w:bottom w:val="single" w:color="auto" w:sz="4" w:space="0"/>
            </w:tcBorders>
            <w:noWrap/>
            <w:vAlign w:val="center"/>
          </w:tcPr>
          <w:p w14:paraId="707AEC95">
            <w:pPr>
              <w:pStyle w:val="3"/>
              <w:kinsoku w:val="0"/>
              <w:overflowPunct w:val="0"/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Times New Roman" w:hAnsi="Times New Roman" w:eastAsia="黑体" w:cs="Times New Roman"/>
                <w:sz w:val="24"/>
                <w:szCs w:val="24"/>
              </w:rPr>
            </w:pPr>
            <w:r>
              <w:rPr>
                <w:rFonts w:hint="eastAsia" w:ascii="Times New Roman" w:hAnsi="黑体" w:eastAsia="黑体" w:cs="Times New Roman"/>
                <w:sz w:val="24"/>
                <w:szCs w:val="24"/>
              </w:rPr>
              <w:t>责任单位</w:t>
            </w:r>
          </w:p>
        </w:tc>
        <w:tc>
          <w:tcPr>
            <w:tcW w:w="838" w:type="dxa"/>
            <w:tcBorders>
              <w:bottom w:val="single" w:color="auto" w:sz="4" w:space="0"/>
            </w:tcBorders>
            <w:noWrap/>
            <w:vAlign w:val="center"/>
          </w:tcPr>
          <w:p w14:paraId="1F03BD23">
            <w:pPr>
              <w:pStyle w:val="3"/>
              <w:kinsoku w:val="0"/>
              <w:overflowPunct w:val="0"/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Times New Roman" w:hAnsi="Times New Roman" w:eastAsia="黑体" w:cs="Times New Roman"/>
                <w:sz w:val="24"/>
                <w:szCs w:val="24"/>
              </w:rPr>
            </w:pPr>
            <w:r>
              <w:rPr>
                <w:rFonts w:hint="eastAsia" w:ascii="Times New Roman" w:hAnsi="黑体" w:eastAsia="黑体" w:cs="Times New Roman"/>
                <w:sz w:val="24"/>
                <w:szCs w:val="24"/>
              </w:rPr>
              <w:t>备注</w:t>
            </w:r>
          </w:p>
        </w:tc>
      </w:tr>
      <w:tr w14:paraId="32CB5C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21" w:hRule="atLeast"/>
          <w:jc w:val="center"/>
        </w:trPr>
        <w:tc>
          <w:tcPr>
            <w:tcW w:w="748" w:type="dxa"/>
            <w:tcBorders>
              <w:top w:val="single" w:color="auto" w:sz="4" w:space="0"/>
              <w:left w:val="single" w:color="auto" w:sz="4" w:space="0"/>
            </w:tcBorders>
            <w:noWrap/>
            <w:vAlign w:val="center"/>
          </w:tcPr>
          <w:p w14:paraId="5EFEF89A">
            <w:pPr>
              <w:pStyle w:val="3"/>
              <w:kinsoku w:val="0"/>
              <w:overflowPunct w:val="0"/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Times New Roman" w:hAnsi="Times New Roman" w:cs="Times New Roman" w:eastAsiaTheme="minorEastAsia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 w:eastAsiaTheme="minorEastAsia"/>
                <w:sz w:val="24"/>
                <w:szCs w:val="24"/>
                <w:lang w:val="en-US"/>
              </w:rPr>
              <w:t>1</w:t>
            </w:r>
          </w:p>
        </w:tc>
        <w:tc>
          <w:tcPr>
            <w:tcW w:w="1705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/>
            <w:vAlign w:val="center"/>
          </w:tcPr>
          <w:p w14:paraId="30B9F35E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cs="Times New Roman" w:hAnsiTheme="minorEastAsia"/>
                <w:sz w:val="24"/>
              </w:rPr>
              <w:t>新能源汽车公共充电桩报装</w:t>
            </w:r>
            <w:r>
              <w:rPr>
                <w:rFonts w:hint="eastAsia" w:ascii="Times New Roman" w:hAnsi="Times New Roman" w:cs="Times New Roman"/>
                <w:sz w:val="24"/>
              </w:rPr>
              <w:t>“</w:t>
            </w:r>
            <w:r>
              <w:rPr>
                <w:rFonts w:hint="eastAsia" w:ascii="Times New Roman" w:cs="Times New Roman" w:hAnsiTheme="minorEastAsia"/>
                <w:sz w:val="24"/>
              </w:rPr>
              <w:t>一件事</w:t>
            </w:r>
            <w:r>
              <w:rPr>
                <w:rFonts w:hint="eastAsia" w:ascii="Times New Roman" w:hAnsi="Times New Roman" w:cs="Times New Roman"/>
                <w:sz w:val="24"/>
              </w:rPr>
              <w:t>”</w:t>
            </w:r>
          </w:p>
        </w:tc>
        <w:tc>
          <w:tcPr>
            <w:tcW w:w="245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9EE9103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cs="Times New Roman" w:hAnsiTheme="minorEastAsia"/>
                <w:sz w:val="24"/>
              </w:rPr>
              <w:t>充电桩报装申请（非居民低压用电新装）</w:t>
            </w:r>
          </w:p>
        </w:tc>
        <w:tc>
          <w:tcPr>
            <w:tcW w:w="2540" w:type="dxa"/>
            <w:tcBorders>
              <w:top w:val="single" w:color="auto" w:sz="4" w:space="0"/>
            </w:tcBorders>
            <w:shd w:val="clear" w:color="auto" w:fill="auto"/>
            <w:noWrap/>
            <w:vAlign w:val="center"/>
          </w:tcPr>
          <w:p w14:paraId="712E09D6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sz w:val="24"/>
                <w:lang w:val="zh-CN"/>
              </w:rPr>
            </w:pPr>
            <w:r>
              <w:rPr>
                <w:rFonts w:hint="eastAsia" w:ascii="Times New Roman" w:cs="Times New Roman" w:hAnsiTheme="minorEastAsia"/>
                <w:sz w:val="24"/>
              </w:rPr>
              <w:t>市发展改革委、国网泰安供电</w:t>
            </w:r>
            <w:r>
              <w:rPr>
                <w:rFonts w:hint="eastAsia" w:ascii="Times New Roman" w:cs="Times New Roman" w:hAnsiTheme="minorEastAsia"/>
                <w:kern w:val="0"/>
                <w:sz w:val="24"/>
              </w:rPr>
              <w:t>公司</w:t>
            </w:r>
          </w:p>
        </w:tc>
        <w:tc>
          <w:tcPr>
            <w:tcW w:w="838" w:type="dxa"/>
            <w:tcBorders>
              <w:top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DBB6F23">
            <w:pPr>
              <w:keepNext/>
              <w:keepLines/>
              <w:widowControl/>
              <w:adjustRightInd w:val="0"/>
              <w:snapToGrid w:val="0"/>
              <w:spacing w:before="340" w:after="330" w:line="578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14:paraId="6316CF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57" w:hRule="atLeast"/>
          <w:jc w:val="center"/>
        </w:trPr>
        <w:tc>
          <w:tcPr>
            <w:tcW w:w="748" w:type="dxa"/>
            <w:tcBorders>
              <w:left w:val="single" w:color="auto" w:sz="4" w:space="0"/>
              <w:bottom w:val="single" w:color="auto" w:sz="4" w:space="0"/>
            </w:tcBorders>
            <w:noWrap/>
            <w:vAlign w:val="center"/>
          </w:tcPr>
          <w:p w14:paraId="3A66DB96">
            <w:pPr>
              <w:pStyle w:val="3"/>
              <w:kinsoku w:val="0"/>
              <w:overflowPunct w:val="0"/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Times New Roman" w:hAnsi="Times New Roman" w:cs="Times New Roman" w:eastAsiaTheme="minorEastAsia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 w:eastAsiaTheme="minorEastAsia"/>
                <w:sz w:val="24"/>
                <w:szCs w:val="24"/>
                <w:lang w:val="en-US"/>
              </w:rPr>
              <w:t>2</w:t>
            </w:r>
          </w:p>
        </w:tc>
        <w:tc>
          <w:tcPr>
            <w:tcW w:w="1705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28608B5">
            <w:pPr>
              <w:keepNext/>
              <w:keepLines/>
              <w:spacing w:before="340" w:after="330" w:line="578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4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628D76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cs="Times New Roman" w:hAnsiTheme="minorEastAsia"/>
                <w:sz w:val="24"/>
              </w:rPr>
              <w:t>施工方案确认</w:t>
            </w:r>
          </w:p>
        </w:tc>
        <w:tc>
          <w:tcPr>
            <w:tcW w:w="2540" w:type="dxa"/>
            <w:tcBorders>
              <w:bottom w:val="single" w:color="auto" w:sz="4" w:space="0"/>
            </w:tcBorders>
            <w:noWrap/>
            <w:vAlign w:val="center"/>
          </w:tcPr>
          <w:p w14:paraId="5A3ED51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cs="Times New Roman" w:hAnsiTheme="minorEastAsia"/>
                <w:sz w:val="24"/>
              </w:rPr>
              <w:t>国网泰安供电</w:t>
            </w:r>
            <w:r>
              <w:rPr>
                <w:rFonts w:hint="eastAsia" w:ascii="Times New Roman" w:cs="Times New Roman" w:hAnsiTheme="minorEastAsia"/>
                <w:kern w:val="0"/>
                <w:sz w:val="24"/>
              </w:rPr>
              <w:t>公司</w:t>
            </w:r>
          </w:p>
        </w:tc>
        <w:tc>
          <w:tcPr>
            <w:tcW w:w="838" w:type="dxa"/>
            <w:tcBorders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559F203">
            <w:pPr>
              <w:pStyle w:val="3"/>
              <w:keepNext/>
              <w:keepLines/>
              <w:kinsoku w:val="0"/>
              <w:overflowPunct w:val="0"/>
              <w:autoSpaceDE w:val="0"/>
              <w:autoSpaceDN w:val="0"/>
              <w:adjustRightInd w:val="0"/>
              <w:snapToGrid w:val="0"/>
              <w:spacing w:before="340" w:after="330" w:line="578" w:lineRule="auto"/>
              <w:jc w:val="center"/>
              <w:rPr>
                <w:rFonts w:ascii="Times New Roman" w:hAnsi="Times New Roman" w:cs="Times New Roman" w:eastAsiaTheme="minorEastAsia"/>
                <w:sz w:val="24"/>
                <w:szCs w:val="24"/>
              </w:rPr>
            </w:pPr>
          </w:p>
        </w:tc>
      </w:tr>
    </w:tbl>
    <w:p w14:paraId="35FC0FEF">
      <w:pPr>
        <w:widowControl/>
        <w:jc w:val="left"/>
        <w:rPr>
          <w:rFonts w:ascii="Times New Roman" w:hAnsi="Times New Roman" w:eastAsia="方正黑体_GBK" w:cs="Times New Roman"/>
          <w:sz w:val="32"/>
          <w:szCs w:val="32"/>
        </w:rPr>
      </w:pPr>
    </w:p>
    <w:p w14:paraId="7F9C1C39">
      <w:pPr>
        <w:widowControl/>
        <w:numPr>
          <w:ilvl w:val="255"/>
          <w:numId w:val="0"/>
        </w:numPr>
        <w:jc w:val="left"/>
        <w:rPr>
          <w:rFonts w:ascii="Times New Roman" w:hAnsi="Times New Roman" w:eastAsia="方正小标宋简体" w:cs="Times New Roman"/>
          <w:sz w:val="44"/>
          <w:szCs w:val="52"/>
        </w:rPr>
      </w:pPr>
    </w:p>
    <w:p w14:paraId="44F84F53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方正黑体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D171BFB8"/>
    <w:multiLevelType w:val="multilevel"/>
    <w:tmpl w:val="D171BFB8"/>
    <w:lvl w:ilvl="0" w:tentative="0">
      <w:start w:val="1"/>
      <w:numFmt w:val="chineseCounting"/>
      <w:suff w:val="nothing"/>
      <w:lvlText w:val="%1、"/>
      <w:lvlJc w:val="left"/>
      <w:pPr>
        <w:ind w:left="0" w:firstLine="0"/>
      </w:pPr>
      <w:rPr>
        <w:rFonts w:hint="eastAsia"/>
      </w:rPr>
    </w:lvl>
    <w:lvl w:ilvl="1" w:tentative="0">
      <w:start w:val="1"/>
      <w:numFmt w:val="chineseCounting"/>
      <w:suff w:val="nothing"/>
      <w:lvlText w:val="（%2）"/>
      <w:lvlJc w:val="left"/>
      <w:pPr>
        <w:ind w:left="0" w:firstLine="0"/>
      </w:pPr>
      <w:rPr>
        <w:rFonts w:hint="eastAsia"/>
      </w:rPr>
    </w:lvl>
    <w:lvl w:ilvl="2" w:tentative="0">
      <w:start w:val="1"/>
      <w:numFmt w:val="decimal"/>
      <w:pStyle w:val="2"/>
      <w:suff w:val="nothing"/>
      <w:lvlText w:val="%3．"/>
      <w:lvlJc w:val="left"/>
      <w:pPr>
        <w:ind w:left="0" w:firstLine="400"/>
      </w:pPr>
      <w:rPr>
        <w:rFonts w:hint="eastAsia"/>
      </w:rPr>
    </w:lvl>
    <w:lvl w:ilvl="3" w:tentative="0">
      <w:start w:val="1"/>
      <w:numFmt w:val="decimal"/>
      <w:suff w:val="nothing"/>
      <w:lvlText w:val="（%4）"/>
      <w:lvlJc w:val="left"/>
      <w:pPr>
        <w:ind w:left="0" w:firstLine="402"/>
      </w:pPr>
      <w:rPr>
        <w:rFonts w:hint="eastAsia"/>
      </w:rPr>
    </w:lvl>
    <w:lvl w:ilvl="4" w:tentative="0">
      <w:start w:val="1"/>
      <w:numFmt w:val="decimalEnclosedCircleChinese"/>
      <w:suff w:val="nothing"/>
      <w:lvlText w:val="%5"/>
      <w:lvlJc w:val="left"/>
      <w:pPr>
        <w:ind w:left="0" w:firstLine="402"/>
      </w:pPr>
      <w:rPr>
        <w:rFonts w:hint="eastAsia"/>
      </w:rPr>
    </w:lvl>
    <w:lvl w:ilvl="5" w:tentative="0">
      <w:start w:val="1"/>
      <w:numFmt w:val="decimal"/>
      <w:suff w:val="nothing"/>
      <w:lvlText w:val="%6）"/>
      <w:lvlJc w:val="left"/>
      <w:pPr>
        <w:ind w:left="0" w:firstLine="402"/>
      </w:pPr>
      <w:rPr>
        <w:rFonts w:hint="eastAsia"/>
      </w:rPr>
    </w:lvl>
    <w:lvl w:ilvl="6" w:tentative="0">
      <w:start w:val="1"/>
      <w:numFmt w:val="lowerLetter"/>
      <w:suff w:val="nothing"/>
      <w:lvlText w:val="%7．"/>
      <w:lvlJc w:val="left"/>
      <w:pPr>
        <w:ind w:left="0" w:firstLine="402"/>
      </w:pPr>
      <w:rPr>
        <w:rFonts w:hint="eastAsia"/>
      </w:rPr>
    </w:lvl>
    <w:lvl w:ilvl="7" w:tentative="0">
      <w:start w:val="1"/>
      <w:numFmt w:val="lowerLetter"/>
      <w:suff w:val="nothing"/>
      <w:lvlText w:val="%8）"/>
      <w:lvlJc w:val="left"/>
      <w:pPr>
        <w:ind w:left="0" w:firstLine="402"/>
      </w:pPr>
      <w:rPr>
        <w:rFonts w:hint="eastAsia"/>
      </w:rPr>
    </w:lvl>
    <w:lvl w:ilvl="8" w:tentative="0">
      <w:start w:val="1"/>
      <w:numFmt w:val="lowerRoman"/>
      <w:suff w:val="nothing"/>
      <w:lvlText w:val="%9 "/>
      <w:lvlJc w:val="left"/>
      <w:pPr>
        <w:ind w:left="0" w:firstLine="402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4BD535B"/>
    <w:rsid w:val="54BD53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unhideWhenUsed/>
    <w:qFormat/>
    <w:uiPriority w:val="0"/>
    <w:pPr>
      <w:keepNext/>
      <w:keepLines/>
      <w:numPr>
        <w:ilvl w:val="2"/>
        <w:numId w:val="1"/>
      </w:numPr>
      <w:spacing w:line="413" w:lineRule="auto"/>
      <w:outlineLvl w:val="2"/>
    </w:pPr>
    <w:rPr>
      <w:b/>
      <w:sz w:val="32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qFormat/>
    <w:uiPriority w:val="1"/>
    <w:rPr>
      <w:rFonts w:ascii="宋体" w:hAnsi="宋体" w:eastAsia="宋体" w:cs="宋体"/>
      <w:sz w:val="32"/>
      <w:szCs w:val="32"/>
      <w:lang w:val="zh-CN" w:bidi="zh-CN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2025-07-01T00:56:00Z</dcterms:created>
  <dc:creator>似曾相识</dc:creator>
  <cp:lastModifiedBy>似曾相识</cp:lastModifiedBy>
  <dcterms:modified xsi:type="dcterms:W3CDTF">2025-07-01T00:57:00Z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BC1886DF591C4C40B03B8D235F272B8B_11</vt:lpwstr>
  </property>
  <property fmtid="{D5CDD505-2E9C-101B-9397-08002B2CF9AE}" pid="4" name="KSOTemplateDocerSaveRecord">
    <vt:lpwstr>eyJoZGlkIjoiN2YzNjBkOTgyNWQ1YTMxYzM3MzMwNWFiODNmOWIzYWMiLCJ1c2VySWQiOiIyMzg5NzIyMjEifQ==</vt:lpwstr>
  </property>
</Properties>
</file>