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219" w:beforeLines="50" w:after="219" w:afterLines="50" w:line="600" w:lineRule="exact"/>
        <w:ind w:left="0" w:leftChars="0" w:right="0" w:rightChars="0"/>
        <w:jc w:val="center"/>
        <w:textAlignment w:val="auto"/>
        <w:outlineLvl w:val="9"/>
        <w:rPr>
          <w:rFonts w:hint="eastAsia" w:ascii="方正小标宋_GBK" w:hAnsi="方正小标宋_GBK" w:eastAsia="方正小标宋_GBK" w:cs="方正小标宋_GBK"/>
          <w:b w:val="0"/>
          <w:bCs w:val="0"/>
          <w:i w:val="0"/>
          <w:iCs w:val="0"/>
          <w:caps w:val="0"/>
          <w:color w:val="auto"/>
          <w:spacing w:val="0"/>
          <w:sz w:val="44"/>
          <w:szCs w:val="44"/>
          <w:highlight w:val="none"/>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sz w:val="44"/>
          <w:szCs w:val="44"/>
          <w:highlight w:val="none"/>
          <w:shd w:val="clear" w:color="auto" w:fill="FFFFFF"/>
          <w:lang w:eastAsia="zh-CN"/>
        </w:rPr>
        <w:t>泰安市</w:t>
      </w:r>
      <w:r>
        <w:rPr>
          <w:rFonts w:hint="eastAsia" w:ascii="方正小标宋_GBK" w:hAnsi="方正小标宋_GBK" w:eastAsia="方正小标宋_GBK" w:cs="方正小标宋_GBK"/>
          <w:b w:val="0"/>
          <w:bCs w:val="0"/>
          <w:i w:val="0"/>
          <w:iCs w:val="0"/>
          <w:caps w:val="0"/>
          <w:color w:val="auto"/>
          <w:spacing w:val="0"/>
          <w:sz w:val="44"/>
          <w:szCs w:val="44"/>
          <w:highlight w:val="none"/>
          <w:shd w:val="clear" w:color="auto" w:fill="FFFFFF"/>
        </w:rPr>
        <w:t>公共信用综合评价</w:t>
      </w:r>
      <w:r>
        <w:rPr>
          <w:rFonts w:hint="eastAsia" w:ascii="方正小标宋_GBK" w:hAnsi="方正小标宋_GBK" w:eastAsia="方正小标宋_GBK" w:cs="方正小标宋_GBK"/>
          <w:b w:val="0"/>
          <w:bCs w:val="0"/>
          <w:i w:val="0"/>
          <w:iCs w:val="0"/>
          <w:caps w:val="0"/>
          <w:color w:val="auto"/>
          <w:spacing w:val="0"/>
          <w:sz w:val="44"/>
          <w:szCs w:val="44"/>
          <w:highlight w:val="none"/>
          <w:shd w:val="clear" w:color="auto" w:fill="FFFFFF"/>
          <w:lang w:val="en-US" w:eastAsia="zh-CN"/>
        </w:rPr>
        <w:t>办法</w:t>
      </w:r>
    </w:p>
    <w:p>
      <w:pPr>
        <w:pStyle w:val="9"/>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(征求意见稿)</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黑体" w:hAnsi="黑体" w:eastAsia="黑体" w:cs="黑体"/>
          <w:b w:val="0"/>
          <w:bCs w:val="0"/>
          <w:i w:val="0"/>
          <w:iCs w:val="0"/>
          <w:caps w:val="0"/>
          <w:color w:val="auto"/>
          <w:spacing w:val="0"/>
          <w:sz w:val="32"/>
          <w:szCs w:val="32"/>
          <w:highlight w:val="none"/>
          <w:u w:val="none"/>
          <w:shd w:val="clear" w:color="auto" w:fill="FFFFFF"/>
          <w:lang w:val="en-US" w:eastAsia="zh-CN"/>
        </w:rPr>
      </w:pPr>
      <w:bookmarkStart w:id="0" w:name="_GoBack"/>
      <w:bookmarkEnd w:id="0"/>
      <w:r>
        <w:rPr>
          <w:rFonts w:hint="eastAsia" w:ascii="黑体" w:hAnsi="黑体" w:eastAsia="黑体" w:cs="黑体"/>
          <w:b w:val="0"/>
          <w:bCs w:val="0"/>
          <w:i w:val="0"/>
          <w:iCs w:val="0"/>
          <w:caps w:val="0"/>
          <w:color w:val="auto"/>
          <w:spacing w:val="0"/>
          <w:sz w:val="32"/>
          <w:szCs w:val="32"/>
          <w:highlight w:val="none"/>
          <w:u w:val="none"/>
          <w:shd w:val="clear" w:color="auto" w:fill="FFFFFF"/>
          <w:lang w:val="en-US" w:eastAsia="zh-CN"/>
        </w:rPr>
        <w:t>第一章  总 则</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为进一步加快构建以信用为基础的新型监管机制，不断深化“放管服”改革，优化监管资源配置，提高政府监管效能，推动高质量发展，打造一流营商环境，根据《中共中央办公厅 国务院办公厅关于加快推进社会信用体系建设高质量发展促进形成新发展格局的意见》《山东省社会信用条例》《泰安市“十四五”社会信用体系建设规划》《泰安市加快推进社会信用体系建设构建以信用为基础的新型监管机制实施方案》等文件精神，制定本办法。</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本办法所称公共信用综合评价</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，是</w:t>
      </w:r>
      <w:r>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指以</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市</w:t>
      </w:r>
      <w:r>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公共信用信息平台归集的信用信息为依据，按照本办法规定的标准和方法，通过数据分析处理，</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定期</w:t>
      </w:r>
      <w:r>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对</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各类信用主体</w:t>
      </w:r>
      <w:r>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公共信用状况进行评分并确定信用等级的活动。</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本办法所称信用主体，</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是</w:t>
      </w:r>
      <w:r>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指在泰安市</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行政区域内的企业、社会组织、机关事业单位等三类主体。</w:t>
      </w:r>
      <w:r>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个体工商户、农民专业合作社以及其他</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未列明</w:t>
      </w:r>
      <w:r>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经济组织</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参照企业进行管理。</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本办法所称单位主要负责人指企业单位法定代表人及董事会、监事会主要负责人或实际控制人，社会组织理事会、监事会、秘书处主要负责人，机关事业单位法定代表人、党组织书记。</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泰安市社会信用体系建设领导小组办公室负责指导全市公共信用综合评价工作。市发展和改革委员会负责制定各类公共信用综合评价指标体系，发布公共信用综合评价结果。各级各行业主管部门负责本行业、本领域信用主体信用信息归集、更新和公共信用信息评价结果信息应用工作。</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default" w:ascii="黑体" w:hAnsi="黑体" w:eastAsia="黑体" w:cs="黑体"/>
          <w:b w:val="0"/>
          <w:bCs w:val="0"/>
          <w:i w:val="0"/>
          <w:iCs w:val="0"/>
          <w:caps w:val="0"/>
          <w:color w:val="auto"/>
          <w:spacing w:val="0"/>
          <w:sz w:val="32"/>
          <w:szCs w:val="32"/>
          <w:highlight w:val="none"/>
          <w:u w:val="none"/>
          <w:shd w:val="clear" w:color="auto" w:fill="FFFFFF"/>
          <w:lang w:val="en-US" w:eastAsia="zh-CN"/>
        </w:rPr>
      </w:pPr>
      <w:r>
        <w:rPr>
          <w:rFonts w:hint="eastAsia" w:ascii="黑体" w:hAnsi="黑体" w:eastAsia="黑体" w:cs="黑体"/>
          <w:b w:val="0"/>
          <w:bCs w:val="0"/>
          <w:i w:val="0"/>
          <w:iCs w:val="0"/>
          <w:caps w:val="0"/>
          <w:color w:val="auto"/>
          <w:spacing w:val="0"/>
          <w:sz w:val="32"/>
          <w:szCs w:val="32"/>
          <w:highlight w:val="none"/>
          <w:u w:val="none"/>
          <w:shd w:val="clear" w:color="auto" w:fill="FFFFFF"/>
          <w:lang w:val="en-US" w:eastAsia="zh-CN"/>
        </w:rPr>
        <w:t>第二章  评价体系</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开展公共信用综合评价，</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应遵循</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eastAsia="zh-CN"/>
        </w:rPr>
        <w:t>科学合理、客观公正、审慎严谨、保护合法、动态调整、内部应用</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的原则</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公共信用综合评价原则上每季度进行一次，以同期省公共信用综合评价结果及市公共</w:t>
      </w:r>
      <w:r>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信用信息平台归集的</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、有效期内</w:t>
      </w:r>
      <w:r>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信用信息为</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基准。</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公共信用综合评价以省公共信用综合评价同期结果信息为基准，参照《山东省公共信用综合评价办法》标准，统一划分为诚信守法、轻微失信、一般失信、严重失信四类，细分为A+、A、B、C、C-、D、D-七个信用等级，并增置减分项、加分项指标。</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信用主体具有国务院《关于建立完善守信联合激励和失信联合惩戒制度加快推进社会诚信建设的指导意见》（国发〔2016〕33号）文件规定的四类严重失信行为信息的，直接认定为D级。</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黑体" w:hAnsi="黑体" w:eastAsia="黑体" w:cs="黑体"/>
          <w:b w:val="0"/>
          <w:bCs w:val="0"/>
          <w:i w:val="0"/>
          <w:iCs w:val="0"/>
          <w:caps w:val="0"/>
          <w:color w:val="auto"/>
          <w:spacing w:val="0"/>
          <w:sz w:val="32"/>
          <w:szCs w:val="32"/>
          <w:highlight w:val="none"/>
          <w:u w:val="none"/>
          <w:shd w:val="clear" w:color="auto" w:fill="FFFFFF"/>
          <w:lang w:val="en-US" w:eastAsia="zh-CN"/>
        </w:rPr>
      </w:pPr>
      <w:r>
        <w:rPr>
          <w:rFonts w:hint="eastAsia" w:ascii="黑体" w:hAnsi="黑体" w:eastAsia="黑体" w:cs="黑体"/>
          <w:b w:val="0"/>
          <w:bCs w:val="0"/>
          <w:i w:val="0"/>
          <w:iCs w:val="0"/>
          <w:caps w:val="0"/>
          <w:color w:val="auto"/>
          <w:spacing w:val="0"/>
          <w:sz w:val="32"/>
          <w:szCs w:val="32"/>
          <w:highlight w:val="none"/>
          <w:u w:val="none"/>
          <w:shd w:val="clear" w:color="auto" w:fill="FFFFFF"/>
          <w:lang w:val="en-US" w:eastAsia="zh-CN"/>
        </w:rPr>
        <w:t>第三章  结果应用</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公共信用综合评价结果纳入信用主体信用记录，信用主体可通过登录信用中国（山东泰安）官方网站或自助查询机，查询、打印评价结果。</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公共信用综合评价结果通过市一体化大数据平台、市公共信用信息平台等渠道，以政务共享的方式推送给各县市区、功能区及市有关部门和单位。评价结果不作为政府部门对信用主体信用状况的背书。</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有关部门和单位根据公共信用综合评价结果，可对信用主体进行更细致深入的行业性信用评价。</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各级各部门要将公共信用综合评价结果主动运用到政务服务、行政管理和社会治理工作中。对诚信守法类信用主体，实行绿色通道、容缺受理、简化程序等便利激励措施。对轻微失信类信用主体，实行免罚、轻罚等容错措施。对一般失信、严重失信类信用主体，实行限制性、禁止性惩戒措施。</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企业、社会组织、机关事业单位公共信用综合评价结果信息，计入其主要责任人名下，其主要责任人适用所在单位享受的守信激励及失信惩戒措施。</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黑体" w:hAnsi="黑体" w:eastAsia="黑体" w:cs="黑体"/>
          <w:b w:val="0"/>
          <w:bCs w:val="0"/>
          <w:i w:val="0"/>
          <w:iCs w:val="0"/>
          <w:caps w:val="0"/>
          <w:color w:val="auto"/>
          <w:spacing w:val="0"/>
          <w:sz w:val="32"/>
          <w:szCs w:val="32"/>
          <w:highlight w:val="none"/>
          <w:u w:val="none"/>
          <w:shd w:val="clear" w:color="auto" w:fill="FFFFFF"/>
          <w:lang w:val="en-US" w:eastAsia="zh-CN"/>
        </w:rPr>
      </w:pPr>
      <w:r>
        <w:rPr>
          <w:rFonts w:hint="eastAsia" w:ascii="黑体" w:hAnsi="黑体" w:eastAsia="黑体" w:cs="黑体"/>
          <w:b w:val="0"/>
          <w:bCs w:val="0"/>
          <w:i w:val="0"/>
          <w:iCs w:val="0"/>
          <w:caps w:val="0"/>
          <w:color w:val="auto"/>
          <w:spacing w:val="0"/>
          <w:sz w:val="32"/>
          <w:szCs w:val="32"/>
          <w:highlight w:val="none"/>
          <w:u w:val="none"/>
          <w:shd w:val="clear" w:color="auto" w:fill="FFFFFF"/>
          <w:lang w:val="en-US" w:eastAsia="zh-CN"/>
        </w:rPr>
        <w:t>第四章  权益保护</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各级各部门要根据公共信用信息数据清单，准确、完整地采集、报送信用主体的各类信用信息，加强信用信息归集共享力度，确保公共信用综合评价结果准确。</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各级各部门要加强信用主体信用信息安全防护，建立健全安全管理、查询使用、应急处理等制度，保障信用信息安全。</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各级各部门要建立侵权责任追究机制，对</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虚构</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、篡改</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公共</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信用</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综合评价结果</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或者利用</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评价</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结果谋私等行为，依法进行处罚，切实保护信用主体合法权益。</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市公共信用信息平台健全</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异议处理机制，信用主体对</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公共信用综合</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评价结果存在异议的，可以</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通过信用中国（山东泰安）网站</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提出异议申请，在</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三</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个工作日内</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反馈处理结果</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。对确</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因数据</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错误</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或</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数据更新不及时、不齐全等原因造成评价结果不准确的，</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eastAsia="zh-CN"/>
        </w:rPr>
        <w:t>市</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公共信用信息平台</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会同有关部门要及时补充完善数据</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重新</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进行评价</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eastAsia="zh-CN"/>
        </w:rPr>
        <w:t>、发布</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市公共信用信息平台</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完善信用修复制度，信用主体主动纠正失信行为，消除不良影响的，在满足最低公示期后，依法依规及时撤销失信信息，确保失信信息动态更新，准确反映信用主体实际信用状况。</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eastAsia="zh-CN"/>
        </w:rPr>
        <w:t>信用修复情况应用于市场主体下一周期起的公共信用综合评价。</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鼓励信用主体通过信用中国（山东泰安）网站，以“自愿填报+信用承诺”等方式，向市公共信用信息平台补充完善表彰奖励、慈善捐赠、品牌建设和技术水平等相关信用信息，并对提供信息的合法性、真实性负责。“自愿填报”信息</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eastAsia="zh-CN"/>
        </w:rPr>
        <w:t>经核实为错误或虚假信息的不予采用。</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黑体" w:hAnsi="黑体" w:eastAsia="黑体" w:cs="黑体"/>
          <w:b w:val="0"/>
          <w:bCs w:val="0"/>
          <w:i w:val="0"/>
          <w:iCs w:val="0"/>
          <w:caps w:val="0"/>
          <w:color w:val="auto"/>
          <w:spacing w:val="0"/>
          <w:sz w:val="32"/>
          <w:szCs w:val="32"/>
          <w:highlight w:val="none"/>
          <w:u w:val="none"/>
          <w:shd w:val="clear" w:color="auto" w:fill="FFFFFF"/>
          <w:lang w:val="en-US" w:eastAsia="zh-CN"/>
        </w:rPr>
      </w:pPr>
      <w:r>
        <w:rPr>
          <w:rFonts w:hint="eastAsia" w:ascii="黑体" w:hAnsi="黑体" w:eastAsia="黑体" w:cs="黑体"/>
          <w:b w:val="0"/>
          <w:bCs w:val="0"/>
          <w:i w:val="0"/>
          <w:iCs w:val="0"/>
          <w:caps w:val="0"/>
          <w:color w:val="auto"/>
          <w:spacing w:val="0"/>
          <w:sz w:val="32"/>
          <w:szCs w:val="32"/>
          <w:highlight w:val="none"/>
          <w:u w:val="none"/>
          <w:shd w:val="clear" w:color="auto" w:fill="FFFFFF"/>
          <w:lang w:val="en-US" w:eastAsia="zh-CN"/>
        </w:rPr>
        <w:t>第五章  附 则</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本办法由</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泰安市发展和改革委员会</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负责解释。</w:t>
      </w:r>
    </w:p>
    <w:p>
      <w:pPr>
        <w:pStyle w:val="9"/>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本办法自202</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3</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年</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月</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日起施行，有效期至202</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7</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年</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月</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日。</w:t>
      </w:r>
    </w:p>
    <w:p>
      <w:pP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br w:type="page"/>
      </w:r>
    </w:p>
    <w:p>
      <w:pPr>
        <w:pStyle w:val="2"/>
        <w:bidi w:val="0"/>
        <w:rPr>
          <w:rFonts w:hint="eastAsia" w:ascii="黑体" w:hAnsi="黑体" w:eastAsia="黑体" w:cs="黑体"/>
          <w:b w:val="0"/>
          <w:bCs w:val="0"/>
          <w:i w:val="0"/>
          <w:iCs w:val="0"/>
          <w:caps w:val="0"/>
          <w:color w:val="auto"/>
          <w:spacing w:val="0"/>
          <w:kern w:val="0"/>
          <w:sz w:val="32"/>
          <w:szCs w:val="32"/>
          <w:highlight w:val="none"/>
          <w:u w:val="none"/>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highlight w:val="none"/>
          <w:u w:val="none"/>
          <w:shd w:val="clear" w:color="auto" w:fill="FFFFFF"/>
          <w:lang w:val="en-US" w:eastAsia="zh-CN" w:bidi="ar"/>
        </w:rPr>
        <w:t>附  件</w:t>
      </w:r>
    </w:p>
    <w:p>
      <w:pPr>
        <w:keepNext w:val="0"/>
        <w:keepLines w:val="0"/>
        <w:pageBreakBefore w:val="0"/>
        <w:widowControl w:val="0"/>
        <w:shd w:val="clear"/>
        <w:kinsoku/>
        <w:wordWrap/>
        <w:overflowPunct/>
        <w:topLinePunct w:val="0"/>
        <w:autoSpaceDE/>
        <w:autoSpaceDN/>
        <w:bidi w:val="0"/>
        <w:adjustRightInd/>
        <w:snapToGrid/>
        <w:spacing w:before="219" w:beforeLines="50" w:after="219" w:afterLines="50" w:line="600" w:lineRule="exact"/>
        <w:jc w:val="center"/>
        <w:textAlignment w:val="auto"/>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eastAsia="zh-CN"/>
        </w:rPr>
        <w:t>泰安市</w:t>
      </w:r>
      <w:r>
        <w:rPr>
          <w:rFonts w:hint="eastAsia" w:ascii="方正小标宋_GBK" w:hAnsi="方正小标宋_GBK" w:eastAsia="方正小标宋_GBK" w:cs="方正小标宋_GBK"/>
          <w:bCs/>
          <w:kern w:val="0"/>
          <w:sz w:val="44"/>
          <w:szCs w:val="44"/>
        </w:rPr>
        <w:t>公共信用综合评价</w:t>
      </w:r>
      <w:r>
        <w:rPr>
          <w:rFonts w:hint="eastAsia" w:ascii="方正小标宋_GBK" w:hAnsi="方正小标宋_GBK" w:eastAsia="方正小标宋_GBK" w:cs="方正小标宋_GBK"/>
          <w:bCs/>
          <w:kern w:val="0"/>
          <w:sz w:val="44"/>
          <w:szCs w:val="44"/>
          <w:lang w:eastAsia="zh-CN"/>
        </w:rPr>
        <w:t>加减分</w:t>
      </w:r>
      <w:r>
        <w:rPr>
          <w:rFonts w:hint="eastAsia" w:ascii="方正小标宋_GBK" w:hAnsi="方正小标宋_GBK" w:eastAsia="方正小标宋_GBK" w:cs="方正小标宋_GBK"/>
          <w:bCs/>
          <w:kern w:val="0"/>
          <w:sz w:val="44"/>
          <w:szCs w:val="44"/>
        </w:rPr>
        <w:t>指标体系</w:t>
      </w:r>
    </w:p>
    <w:tbl>
      <w:tblPr>
        <w:tblStyle w:val="10"/>
        <w:tblW w:w="9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9"/>
        <w:gridCol w:w="2489"/>
        <w:gridCol w:w="797"/>
        <w:gridCol w:w="5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96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333333"/>
                <w:kern w:val="0"/>
                <w:sz w:val="24"/>
                <w:szCs w:val="24"/>
                <w:u w:val="none"/>
                <w:lang w:val="en-US" w:eastAsia="zh-CN" w:bidi="ar"/>
              </w:rPr>
            </w:pPr>
            <w:r>
              <w:rPr>
                <w:rFonts w:hint="eastAsia" w:ascii="仿宋_GB2312" w:hAnsi="仿宋_GB2312" w:eastAsia="仿宋_GB2312" w:cs="仿宋_GB2312"/>
                <w:b/>
                <w:bCs/>
                <w:i w:val="0"/>
                <w:iCs w:val="0"/>
                <w:color w:val="333333"/>
                <w:kern w:val="0"/>
                <w:sz w:val="24"/>
                <w:szCs w:val="24"/>
                <w:u w:val="none"/>
                <w:lang w:val="en-US" w:eastAsia="zh-CN" w:bidi="ar"/>
              </w:rPr>
              <w:t>指标</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333333"/>
                <w:sz w:val="24"/>
                <w:szCs w:val="24"/>
                <w:u w:val="none"/>
              </w:rPr>
            </w:pPr>
            <w:r>
              <w:rPr>
                <w:rFonts w:hint="eastAsia" w:ascii="仿宋_GB2312" w:hAnsi="仿宋_GB2312" w:eastAsia="仿宋_GB2312" w:cs="仿宋_GB2312"/>
                <w:b/>
                <w:bCs/>
                <w:i w:val="0"/>
                <w:iCs w:val="0"/>
                <w:color w:val="333333"/>
                <w:kern w:val="0"/>
                <w:sz w:val="24"/>
                <w:szCs w:val="24"/>
                <w:u w:val="none"/>
                <w:lang w:val="en-US" w:eastAsia="zh-CN" w:bidi="ar"/>
              </w:rPr>
              <w:t>类别</w:t>
            </w:r>
          </w:p>
        </w:tc>
        <w:tc>
          <w:tcPr>
            <w:tcW w:w="24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333333"/>
                <w:sz w:val="24"/>
                <w:szCs w:val="24"/>
                <w:u w:val="none"/>
              </w:rPr>
            </w:pPr>
            <w:r>
              <w:rPr>
                <w:rFonts w:hint="eastAsia" w:ascii="仿宋_GB2312" w:hAnsi="仿宋_GB2312" w:eastAsia="仿宋_GB2312" w:cs="仿宋_GB2312"/>
                <w:b/>
                <w:bCs/>
                <w:i w:val="0"/>
                <w:iCs w:val="0"/>
                <w:color w:val="333333"/>
                <w:kern w:val="0"/>
                <w:sz w:val="24"/>
                <w:szCs w:val="24"/>
                <w:u w:val="none"/>
                <w:lang w:val="en-US" w:eastAsia="zh-CN" w:bidi="ar"/>
              </w:rPr>
              <w:t>指标</w:t>
            </w:r>
          </w:p>
        </w:tc>
        <w:tc>
          <w:tcPr>
            <w:tcW w:w="79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333333"/>
                <w:kern w:val="0"/>
                <w:sz w:val="24"/>
                <w:szCs w:val="24"/>
                <w:u w:val="none"/>
                <w:lang w:val="en-US" w:eastAsia="zh-CN" w:bidi="ar"/>
              </w:rPr>
            </w:pPr>
            <w:r>
              <w:rPr>
                <w:rFonts w:hint="eastAsia" w:ascii="仿宋_GB2312" w:hAnsi="仿宋_GB2312" w:eastAsia="仿宋_GB2312" w:cs="仿宋_GB2312"/>
                <w:b/>
                <w:bCs/>
                <w:i w:val="0"/>
                <w:iCs w:val="0"/>
                <w:color w:val="333333"/>
                <w:kern w:val="0"/>
                <w:sz w:val="24"/>
                <w:szCs w:val="24"/>
                <w:u w:val="none"/>
                <w:lang w:val="en-US" w:eastAsia="zh-CN" w:bidi="ar"/>
              </w:rPr>
              <w:t>单位</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333333"/>
                <w:sz w:val="24"/>
                <w:szCs w:val="24"/>
                <w:u w:val="none"/>
              </w:rPr>
            </w:pPr>
            <w:r>
              <w:rPr>
                <w:rFonts w:hint="eastAsia" w:ascii="仿宋_GB2312" w:hAnsi="仿宋_GB2312" w:eastAsia="仿宋_GB2312" w:cs="仿宋_GB2312"/>
                <w:b/>
                <w:bCs/>
                <w:i w:val="0"/>
                <w:iCs w:val="0"/>
                <w:color w:val="333333"/>
                <w:kern w:val="0"/>
                <w:sz w:val="24"/>
                <w:szCs w:val="24"/>
                <w:u w:val="none"/>
                <w:lang w:val="en-US" w:eastAsia="zh-CN" w:bidi="ar"/>
              </w:rPr>
              <w:t>分值</w:t>
            </w:r>
          </w:p>
        </w:tc>
        <w:tc>
          <w:tcPr>
            <w:tcW w:w="53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333333"/>
                <w:sz w:val="24"/>
                <w:szCs w:val="24"/>
                <w:u w:val="none"/>
              </w:rPr>
            </w:pPr>
            <w:r>
              <w:rPr>
                <w:rFonts w:hint="eastAsia" w:ascii="仿宋_GB2312" w:hAnsi="仿宋_GB2312" w:eastAsia="仿宋_GB2312" w:cs="仿宋_GB2312"/>
                <w:b/>
                <w:bCs/>
                <w:i w:val="0"/>
                <w:iCs w:val="0"/>
                <w:color w:val="333333"/>
                <w:kern w:val="0"/>
                <w:sz w:val="24"/>
                <w:szCs w:val="24"/>
                <w:u w:val="none"/>
                <w:lang w:val="en-US" w:eastAsia="zh-CN" w:bidi="ar"/>
              </w:rPr>
              <w:t>指标说明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基本</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sz w:val="24"/>
                <w:szCs w:val="24"/>
                <w:u w:val="none"/>
              </w:rPr>
            </w:pPr>
            <w:r>
              <w:rPr>
                <w:rFonts w:hint="eastAsia" w:ascii="仿宋_GB2312" w:hAnsi="仿宋_GB2312" w:eastAsia="仿宋_GB2312" w:cs="仿宋_GB2312"/>
                <w:b w:val="0"/>
                <w:bCs w:val="0"/>
                <w:i w:val="0"/>
                <w:iCs w:val="0"/>
                <w:color w:val="333333"/>
                <w:kern w:val="0"/>
                <w:sz w:val="24"/>
                <w:szCs w:val="24"/>
                <w:u w:val="none"/>
                <w:lang w:val="en-US" w:eastAsia="zh-CN" w:bidi="ar"/>
              </w:rPr>
              <w:t>分值</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400" w:lineRule="exact"/>
              <w:rPr>
                <w:rFonts w:hint="eastAsia" w:ascii="仿宋_GB2312" w:hAnsi="仿宋_GB2312" w:eastAsia="仿宋_GB2312" w:cs="仿宋_GB2312"/>
                <w:b w:val="0"/>
                <w:bCs w:val="0"/>
                <w:i w:val="0"/>
                <w:iCs w:val="0"/>
                <w:color w:val="333333"/>
                <w:sz w:val="24"/>
                <w:szCs w:val="24"/>
                <w:u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p>
        </w:tc>
        <w:tc>
          <w:tcPr>
            <w:tcW w:w="5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同期省公共信用综合评价结果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9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加分项</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2"/>
                <w:sz w:val="24"/>
                <w:szCs w:val="24"/>
                <w:u w:val="none"/>
                <w:lang w:val="en-US" w:eastAsia="zh-CN" w:bidi="ar-SA"/>
              </w:rPr>
            </w:pPr>
            <w:r>
              <w:rPr>
                <w:rFonts w:hint="eastAsia" w:ascii="仿宋_GB2312" w:hAnsi="仿宋_GB2312" w:eastAsia="仿宋_GB2312" w:cs="仿宋_GB2312"/>
                <w:b w:val="0"/>
                <w:bCs w:val="0"/>
                <w:i w:val="0"/>
                <w:iCs w:val="0"/>
                <w:color w:val="333333"/>
                <w:kern w:val="0"/>
                <w:sz w:val="24"/>
                <w:szCs w:val="24"/>
                <w:u w:val="none"/>
                <w:lang w:val="en-US" w:eastAsia="zh-CN" w:bidi="ar"/>
              </w:rPr>
              <w:t>单位获得表彰或奖励情况</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2</w:t>
            </w:r>
          </w:p>
        </w:tc>
        <w:tc>
          <w:tcPr>
            <w:tcW w:w="5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单位被县级党委、政府及市级工作部门表彰或奖励的，一次得2分，该项最高得10分。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jc w:val="center"/>
        </w:trPr>
        <w:tc>
          <w:tcPr>
            <w:tcW w:w="969"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2"/>
                <w:sz w:val="24"/>
                <w:szCs w:val="24"/>
                <w:u w:val="none"/>
                <w:lang w:val="en-US" w:eastAsia="zh-CN" w:bidi="ar-SA"/>
              </w:rPr>
            </w:pPr>
            <w:r>
              <w:rPr>
                <w:rFonts w:hint="eastAsia" w:ascii="仿宋_GB2312" w:hAnsi="仿宋_GB2312" w:eastAsia="仿宋_GB2312" w:cs="仿宋_GB2312"/>
                <w:b w:val="0"/>
                <w:bCs w:val="0"/>
                <w:i w:val="0"/>
                <w:iCs w:val="0"/>
                <w:color w:val="333333"/>
                <w:kern w:val="0"/>
                <w:sz w:val="24"/>
                <w:szCs w:val="24"/>
                <w:u w:val="none"/>
                <w:lang w:val="en-US" w:eastAsia="zh-CN" w:bidi="ar"/>
              </w:rPr>
              <w:t>单位主要负责人获得表彰或奖励情况</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2</w:t>
            </w:r>
          </w:p>
        </w:tc>
        <w:tc>
          <w:tcPr>
            <w:tcW w:w="5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单位主要负责人被县级党委、政府及市级工作部门表彰或奖励的，一次得2分，该项最高得10分。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jc w:val="center"/>
        </w:trPr>
        <w:tc>
          <w:tcPr>
            <w:tcW w:w="969"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技术水平情况</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2</w:t>
            </w:r>
          </w:p>
        </w:tc>
        <w:tc>
          <w:tcPr>
            <w:tcW w:w="5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获得</w:t>
            </w:r>
            <w:r>
              <w:rPr>
                <w:rFonts w:hint="eastAsia" w:ascii="仿宋_GB2312" w:hAnsi="仿宋_GB2312" w:eastAsia="仿宋_GB2312" w:cs="仿宋_GB2312"/>
                <w:b w:val="0"/>
                <w:bCs w:val="0"/>
                <w:i w:val="0"/>
                <w:iCs w:val="0"/>
                <w:color w:val="333333"/>
                <w:kern w:val="0"/>
                <w:sz w:val="24"/>
                <w:szCs w:val="24"/>
                <w:u w:val="none"/>
                <w:lang w:val="en-US" w:eastAsia="zh-Hans" w:bidi="ar"/>
              </w:rPr>
              <w:t>市级</w:t>
            </w:r>
            <w:r>
              <w:rPr>
                <w:rFonts w:hint="eastAsia" w:ascii="仿宋_GB2312" w:hAnsi="仿宋_GB2312" w:eastAsia="仿宋_GB2312" w:cs="仿宋_GB2312"/>
                <w:b w:val="0"/>
                <w:bCs w:val="0"/>
                <w:i w:val="0"/>
                <w:iCs w:val="0"/>
                <w:color w:val="333333"/>
                <w:kern w:val="0"/>
                <w:sz w:val="24"/>
                <w:szCs w:val="24"/>
                <w:u w:val="none"/>
                <w:lang w:val="en-US" w:eastAsia="zh-CN" w:bidi="ar"/>
              </w:rPr>
              <w:t>高新技术企业、服务业创新中心、企业技术中心、工程研究中心等称号的，每项分别得2分，该项最高得10分。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969"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sz w:val="24"/>
                <w:szCs w:val="24"/>
                <w:u w:val="none"/>
                <w:lang w:eastAsia="zh-CN"/>
              </w:rPr>
              <w:t>“信易贷”平台注册情况</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5</w:t>
            </w:r>
          </w:p>
        </w:tc>
        <w:tc>
          <w:tcPr>
            <w:tcW w:w="5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通过</w:t>
            </w:r>
            <w:r>
              <w:rPr>
                <w:rFonts w:hint="eastAsia" w:ascii="仿宋_GB2312" w:hAnsi="仿宋_GB2312" w:eastAsia="仿宋_GB2312" w:cs="仿宋_GB2312"/>
                <w:b w:val="0"/>
                <w:bCs w:val="0"/>
                <w:i w:val="0"/>
                <w:iCs w:val="0"/>
                <w:color w:val="333333"/>
                <w:kern w:val="0"/>
                <w:sz w:val="24"/>
                <w:szCs w:val="24"/>
                <w:u w:val="none"/>
                <w:lang w:val="en-US" w:eastAsia="zh-CN" w:bidi="ar"/>
              </w:rPr>
              <w:fldChar w:fldCharType="begin"/>
            </w:r>
            <w:r>
              <w:rPr>
                <w:rFonts w:hint="eastAsia" w:ascii="仿宋_GB2312" w:hAnsi="仿宋_GB2312" w:eastAsia="仿宋_GB2312" w:cs="仿宋_GB2312"/>
                <w:b w:val="0"/>
                <w:bCs w:val="0"/>
                <w:i w:val="0"/>
                <w:iCs w:val="0"/>
                <w:color w:val="333333"/>
                <w:kern w:val="0"/>
                <w:sz w:val="24"/>
                <w:szCs w:val="24"/>
                <w:u w:val="none"/>
                <w:lang w:val="en-US" w:eastAsia="zh-CN" w:bidi="ar"/>
              </w:rPr>
              <w:instrText xml:space="preserve"> HYPERLINK "http://xyd.taian.cn/home" </w:instrText>
            </w:r>
            <w:r>
              <w:rPr>
                <w:rFonts w:hint="eastAsia" w:ascii="仿宋_GB2312" w:hAnsi="仿宋_GB2312" w:eastAsia="仿宋_GB2312" w:cs="仿宋_GB2312"/>
                <w:b w:val="0"/>
                <w:bCs w:val="0"/>
                <w:i w:val="0"/>
                <w:iCs w:val="0"/>
                <w:color w:val="333333"/>
                <w:kern w:val="0"/>
                <w:sz w:val="24"/>
                <w:szCs w:val="24"/>
                <w:u w:val="none"/>
                <w:lang w:val="en-US" w:eastAsia="zh-CN" w:bidi="ar"/>
              </w:rPr>
              <w:fldChar w:fldCharType="separate"/>
            </w:r>
            <w:r>
              <w:rPr>
                <w:rFonts w:hint="eastAsia" w:ascii="仿宋_GB2312" w:hAnsi="仿宋_GB2312" w:eastAsia="仿宋_GB2312" w:cs="仿宋_GB2312"/>
                <w:b w:val="0"/>
                <w:bCs w:val="0"/>
                <w:i w:val="0"/>
                <w:iCs w:val="0"/>
                <w:color w:val="333333"/>
                <w:kern w:val="0"/>
                <w:sz w:val="24"/>
                <w:szCs w:val="24"/>
                <w:u w:val="none"/>
                <w:lang w:val="en-US" w:eastAsia="zh-CN" w:bidi="ar"/>
              </w:rPr>
              <w:t>泰安市融资综合信用服务平台</w:t>
            </w:r>
            <w:r>
              <w:rPr>
                <w:rFonts w:hint="eastAsia" w:ascii="仿宋_GB2312" w:hAnsi="仿宋_GB2312" w:eastAsia="仿宋_GB2312" w:cs="仿宋_GB2312"/>
                <w:b w:val="0"/>
                <w:bCs w:val="0"/>
                <w:i w:val="0"/>
                <w:iCs w:val="0"/>
                <w:color w:val="333333"/>
                <w:kern w:val="0"/>
                <w:sz w:val="24"/>
                <w:szCs w:val="24"/>
                <w:u w:val="none"/>
                <w:lang w:val="en-US" w:eastAsia="zh-CN" w:bidi="ar"/>
              </w:rPr>
              <w:fldChar w:fldCharType="end"/>
            </w:r>
            <w:r>
              <w:rPr>
                <w:rFonts w:hint="eastAsia" w:ascii="仿宋_GB2312" w:hAnsi="仿宋_GB2312" w:eastAsia="仿宋_GB2312" w:cs="仿宋_GB2312"/>
                <w:b w:val="0"/>
                <w:bCs w:val="0"/>
                <w:i w:val="0"/>
                <w:iCs w:val="0"/>
                <w:color w:val="333333"/>
                <w:kern w:val="0"/>
                <w:sz w:val="24"/>
                <w:szCs w:val="24"/>
                <w:u w:val="none"/>
                <w:lang w:val="en-US" w:eastAsia="zh-CN" w:bidi="ar"/>
              </w:rPr>
              <w:t>实名注册的，得5分。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969"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spacing w:val="-11"/>
                <w:kern w:val="0"/>
                <w:sz w:val="24"/>
                <w:szCs w:val="24"/>
                <w:u w:val="none"/>
                <w:lang w:val="en-US" w:eastAsia="zh-Hans" w:bidi="ar"/>
              </w:rPr>
              <w:t>社会组织星级认定</w:t>
            </w:r>
            <w:r>
              <w:rPr>
                <w:rFonts w:hint="eastAsia" w:ascii="仿宋_GB2312" w:hAnsi="仿宋_GB2312" w:eastAsia="仿宋_GB2312" w:cs="仿宋_GB2312"/>
                <w:b w:val="0"/>
                <w:bCs w:val="0"/>
                <w:i w:val="0"/>
                <w:iCs w:val="0"/>
                <w:color w:val="333333"/>
                <w:spacing w:val="-11"/>
                <w:kern w:val="0"/>
                <w:sz w:val="24"/>
                <w:szCs w:val="24"/>
                <w:u w:val="none"/>
                <w:lang w:val="en-US" w:eastAsia="zh-CN" w:bidi="ar"/>
              </w:rPr>
              <w:t>情况</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5</w:t>
            </w:r>
            <w:r>
              <w:rPr>
                <w:rFonts w:hint="default" w:ascii="仿宋_GB2312" w:hAnsi="仿宋_GB2312" w:eastAsia="仿宋_GB2312" w:cs="仿宋_GB2312"/>
                <w:b w:val="0"/>
                <w:bCs w:val="0"/>
                <w:i w:val="0"/>
                <w:iCs w:val="0"/>
                <w:color w:val="333333"/>
                <w:kern w:val="0"/>
                <w:sz w:val="24"/>
                <w:szCs w:val="24"/>
                <w:u w:val="none"/>
                <w:lang w:val="en-US" w:eastAsia="zh-CN" w:bidi="ar"/>
              </w:rPr>
              <w:t>-10</w:t>
            </w:r>
          </w:p>
        </w:tc>
        <w:tc>
          <w:tcPr>
            <w:tcW w:w="5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获得</w:t>
            </w:r>
            <w:r>
              <w:rPr>
                <w:rFonts w:hint="eastAsia" w:ascii="仿宋_GB2312" w:hAnsi="仿宋_GB2312" w:eastAsia="仿宋_GB2312" w:cs="仿宋_GB2312"/>
                <w:b w:val="0"/>
                <w:bCs w:val="0"/>
                <w:i w:val="0"/>
                <w:iCs w:val="0"/>
                <w:color w:val="333333"/>
                <w:kern w:val="0"/>
                <w:sz w:val="24"/>
                <w:szCs w:val="24"/>
                <w:u w:val="none"/>
                <w:lang w:val="en-US" w:eastAsia="zh-Hans" w:bidi="ar"/>
              </w:rPr>
              <w:t>社会组织</w:t>
            </w:r>
            <w:r>
              <w:rPr>
                <w:rFonts w:hint="eastAsia" w:ascii="仿宋_GB2312" w:hAnsi="仿宋_GB2312" w:eastAsia="仿宋_GB2312" w:cs="仿宋_GB2312"/>
                <w:b w:val="0"/>
                <w:bCs w:val="0"/>
                <w:i w:val="0"/>
                <w:iCs w:val="0"/>
                <w:color w:val="333333"/>
                <w:kern w:val="0"/>
                <w:sz w:val="24"/>
                <w:szCs w:val="24"/>
                <w:u w:val="none"/>
                <w:lang w:val="en-US" w:eastAsia="zh-CN" w:bidi="ar"/>
              </w:rPr>
              <w:t>星级</w:t>
            </w:r>
            <w:r>
              <w:rPr>
                <w:rFonts w:hint="eastAsia" w:ascii="仿宋_GB2312" w:hAnsi="仿宋_GB2312" w:eastAsia="仿宋_GB2312" w:cs="仿宋_GB2312"/>
                <w:b w:val="0"/>
                <w:bCs w:val="0"/>
                <w:i w:val="0"/>
                <w:iCs w:val="0"/>
                <w:color w:val="333333"/>
                <w:kern w:val="0"/>
                <w:sz w:val="24"/>
                <w:szCs w:val="24"/>
                <w:u w:val="none"/>
                <w:lang w:val="en-US" w:eastAsia="zh-Hans" w:bidi="ar"/>
              </w:rPr>
              <w:t>认定</w:t>
            </w:r>
            <w:r>
              <w:rPr>
                <w:rFonts w:hint="eastAsia" w:ascii="仿宋_GB2312" w:hAnsi="仿宋_GB2312" w:eastAsia="仿宋_GB2312" w:cs="仿宋_GB2312"/>
                <w:b w:val="0"/>
                <w:bCs w:val="0"/>
                <w:i w:val="0"/>
                <w:iCs w:val="0"/>
                <w:color w:val="333333"/>
                <w:kern w:val="0"/>
                <w:sz w:val="24"/>
                <w:szCs w:val="24"/>
                <w:u w:val="none"/>
                <w:lang w:val="en-US" w:eastAsia="zh-CN" w:bidi="ar"/>
              </w:rPr>
              <w:t>的，</w:t>
            </w:r>
            <w:r>
              <w:rPr>
                <w:rFonts w:hint="eastAsia" w:ascii="仿宋_GB2312" w:hAnsi="仿宋_GB2312" w:eastAsia="仿宋_GB2312" w:cs="仿宋_GB2312"/>
                <w:b w:val="0"/>
                <w:bCs w:val="0"/>
                <w:i w:val="0"/>
                <w:iCs w:val="0"/>
                <w:color w:val="333333"/>
                <w:kern w:val="0"/>
                <w:sz w:val="24"/>
                <w:szCs w:val="24"/>
                <w:u w:val="none"/>
                <w:lang w:val="en-US" w:eastAsia="zh-Hans" w:bidi="ar"/>
              </w:rPr>
              <w:t>三星级得</w:t>
            </w:r>
            <w:r>
              <w:rPr>
                <w:rFonts w:hint="default" w:ascii="仿宋_GB2312" w:hAnsi="仿宋_GB2312" w:eastAsia="仿宋_GB2312" w:cs="仿宋_GB2312"/>
                <w:b w:val="0"/>
                <w:bCs w:val="0"/>
                <w:i w:val="0"/>
                <w:iCs w:val="0"/>
                <w:color w:val="333333"/>
                <w:kern w:val="0"/>
                <w:sz w:val="24"/>
                <w:szCs w:val="24"/>
                <w:u w:val="none"/>
                <w:lang w:val="en-US" w:eastAsia="zh-Hans" w:bidi="ar"/>
              </w:rPr>
              <w:t>5</w:t>
            </w:r>
            <w:r>
              <w:rPr>
                <w:rFonts w:hint="eastAsia" w:ascii="仿宋_GB2312" w:hAnsi="仿宋_GB2312" w:eastAsia="仿宋_GB2312" w:cs="仿宋_GB2312"/>
                <w:b w:val="0"/>
                <w:bCs w:val="0"/>
                <w:i w:val="0"/>
                <w:iCs w:val="0"/>
                <w:color w:val="333333"/>
                <w:kern w:val="0"/>
                <w:sz w:val="24"/>
                <w:szCs w:val="24"/>
                <w:u w:val="none"/>
                <w:lang w:val="en-US" w:eastAsia="zh-Hans" w:bidi="ar"/>
              </w:rPr>
              <w:t>分，四星级得</w:t>
            </w:r>
            <w:r>
              <w:rPr>
                <w:rFonts w:hint="default" w:ascii="仿宋_GB2312" w:hAnsi="仿宋_GB2312" w:eastAsia="仿宋_GB2312" w:cs="仿宋_GB2312"/>
                <w:b w:val="0"/>
                <w:bCs w:val="0"/>
                <w:i w:val="0"/>
                <w:iCs w:val="0"/>
                <w:color w:val="333333"/>
                <w:kern w:val="0"/>
                <w:sz w:val="24"/>
                <w:szCs w:val="24"/>
                <w:u w:val="none"/>
                <w:lang w:val="en-US" w:eastAsia="zh-Hans" w:bidi="ar"/>
              </w:rPr>
              <w:t>8</w:t>
            </w:r>
            <w:r>
              <w:rPr>
                <w:rFonts w:hint="eastAsia" w:ascii="仿宋_GB2312" w:hAnsi="仿宋_GB2312" w:eastAsia="仿宋_GB2312" w:cs="仿宋_GB2312"/>
                <w:b w:val="0"/>
                <w:bCs w:val="0"/>
                <w:i w:val="0"/>
                <w:iCs w:val="0"/>
                <w:color w:val="333333"/>
                <w:kern w:val="0"/>
                <w:sz w:val="24"/>
                <w:szCs w:val="24"/>
                <w:u w:val="none"/>
                <w:lang w:val="en-US" w:eastAsia="zh-Hans" w:bidi="ar"/>
              </w:rPr>
              <w:t>分，五星级</w:t>
            </w:r>
            <w:r>
              <w:rPr>
                <w:rFonts w:hint="eastAsia" w:ascii="仿宋_GB2312" w:hAnsi="仿宋_GB2312" w:eastAsia="仿宋_GB2312" w:cs="仿宋_GB2312"/>
                <w:b w:val="0"/>
                <w:bCs w:val="0"/>
                <w:i w:val="0"/>
                <w:iCs w:val="0"/>
                <w:color w:val="333333"/>
                <w:kern w:val="0"/>
                <w:sz w:val="24"/>
                <w:szCs w:val="24"/>
                <w:u w:val="none"/>
                <w:lang w:val="en-US" w:eastAsia="zh-CN" w:bidi="ar"/>
              </w:rPr>
              <w:t>得</w:t>
            </w:r>
            <w:r>
              <w:rPr>
                <w:rFonts w:hint="default" w:ascii="仿宋_GB2312" w:hAnsi="仿宋_GB2312" w:eastAsia="仿宋_GB2312" w:cs="仿宋_GB2312"/>
                <w:b w:val="0"/>
                <w:bCs w:val="0"/>
                <w:i w:val="0"/>
                <w:iCs w:val="0"/>
                <w:color w:val="333333"/>
                <w:kern w:val="0"/>
                <w:sz w:val="24"/>
                <w:szCs w:val="24"/>
                <w:u w:val="none"/>
                <w:lang w:val="en-US" w:eastAsia="zh-CN" w:bidi="ar"/>
              </w:rPr>
              <w:t>10</w:t>
            </w:r>
            <w:r>
              <w:rPr>
                <w:rFonts w:hint="eastAsia" w:ascii="仿宋_GB2312" w:hAnsi="仿宋_GB2312" w:eastAsia="仿宋_GB2312" w:cs="仿宋_GB2312"/>
                <w:b w:val="0"/>
                <w:bCs w:val="0"/>
                <w:i w:val="0"/>
                <w:iCs w:val="0"/>
                <w:color w:val="333333"/>
                <w:kern w:val="0"/>
                <w:sz w:val="24"/>
                <w:szCs w:val="24"/>
                <w:u w:val="none"/>
                <w:lang w:val="en-US" w:eastAsia="zh-CN" w:bidi="ar"/>
              </w:rPr>
              <w:t>分，该项以最高等次计算。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96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spacing w:val="-11"/>
                <w:kern w:val="0"/>
                <w:sz w:val="24"/>
                <w:szCs w:val="24"/>
                <w:u w:val="none"/>
                <w:lang w:val="en-US" w:eastAsia="zh-Hans" w:bidi="ar"/>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p>
        </w:tc>
        <w:tc>
          <w:tcPr>
            <w:tcW w:w="5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9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sz w:val="24"/>
                <w:szCs w:val="24"/>
                <w:u w:val="none"/>
              </w:rPr>
            </w:pPr>
            <w:r>
              <w:rPr>
                <w:rFonts w:hint="eastAsia" w:ascii="仿宋_GB2312" w:hAnsi="仿宋_GB2312" w:eastAsia="仿宋_GB2312" w:cs="仿宋_GB2312"/>
                <w:b w:val="0"/>
                <w:bCs w:val="0"/>
                <w:i w:val="0"/>
                <w:iCs w:val="0"/>
                <w:color w:val="333333"/>
                <w:kern w:val="0"/>
                <w:sz w:val="24"/>
                <w:szCs w:val="24"/>
                <w:u w:val="none"/>
                <w:lang w:val="en-US" w:eastAsia="zh-CN" w:bidi="ar"/>
              </w:rPr>
              <w:t>减分项</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2"/>
                <w:sz w:val="24"/>
                <w:szCs w:val="24"/>
                <w:u w:val="none"/>
                <w:lang w:val="en-US" w:eastAsia="zh-CN" w:bidi="ar-SA"/>
              </w:rPr>
            </w:pPr>
            <w:r>
              <w:rPr>
                <w:rFonts w:hint="eastAsia" w:ascii="仿宋_GB2312" w:hAnsi="仿宋_GB2312" w:eastAsia="仿宋_GB2312" w:cs="仿宋_GB2312"/>
                <w:b w:val="0"/>
                <w:bCs w:val="0"/>
                <w:i w:val="0"/>
                <w:iCs w:val="0"/>
                <w:color w:val="333333"/>
                <w:sz w:val="24"/>
                <w:szCs w:val="24"/>
                <w:u w:val="none"/>
                <w:lang w:eastAsia="zh-CN"/>
              </w:rPr>
              <w:t>行政检查中发现隐患问题情况</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5</w:t>
            </w:r>
          </w:p>
        </w:tc>
        <w:tc>
          <w:tcPr>
            <w:tcW w:w="5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“双随机一公开”等行政检查活动中，发现的问题信息，一次扣5分，该项最高扣20分。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969" w:type="dxa"/>
            <w:vMerge w:val="continue"/>
            <w:tcBorders>
              <w:left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333333"/>
                <w:sz w:val="24"/>
                <w:szCs w:val="24"/>
                <w:u w:val="none"/>
              </w:rPr>
            </w:pP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2"/>
                <w:sz w:val="24"/>
                <w:szCs w:val="24"/>
                <w:u w:val="none"/>
                <w:lang w:val="en-US" w:eastAsia="zh-CN" w:bidi="ar-SA"/>
              </w:rPr>
            </w:pPr>
            <w:r>
              <w:rPr>
                <w:rFonts w:hint="eastAsia" w:ascii="仿宋_GB2312" w:hAnsi="仿宋_GB2312" w:eastAsia="仿宋_GB2312" w:cs="仿宋_GB2312"/>
                <w:b w:val="0"/>
                <w:bCs w:val="0"/>
                <w:i w:val="0"/>
                <w:iCs w:val="0"/>
                <w:color w:val="333333"/>
                <w:kern w:val="0"/>
                <w:sz w:val="24"/>
                <w:szCs w:val="24"/>
                <w:u w:val="none"/>
                <w:lang w:val="en-US" w:eastAsia="zh-CN" w:bidi="ar"/>
              </w:rPr>
              <w:t>水电燃气费欠费情况</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5</w:t>
            </w:r>
          </w:p>
        </w:tc>
        <w:tc>
          <w:tcPr>
            <w:tcW w:w="5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水电燃气费存在欠费信息的，一次扣5分，两次及以上扣10分。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969" w:type="dxa"/>
            <w:vMerge w:val="continue"/>
            <w:tcBorders>
              <w:left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333333"/>
                <w:sz w:val="24"/>
                <w:szCs w:val="24"/>
                <w:u w:val="none"/>
              </w:rPr>
            </w:pP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sz w:val="24"/>
                <w:szCs w:val="24"/>
                <w:u w:val="none"/>
                <w:lang w:eastAsia="zh-CN"/>
              </w:rPr>
            </w:pPr>
            <w:r>
              <w:rPr>
                <w:rFonts w:hint="eastAsia" w:ascii="仿宋_GB2312" w:hAnsi="仿宋_GB2312" w:eastAsia="仿宋_GB2312" w:cs="仿宋_GB2312"/>
                <w:b w:val="0"/>
                <w:bCs w:val="0"/>
                <w:i w:val="0"/>
                <w:iCs w:val="0"/>
                <w:color w:val="333333"/>
                <w:sz w:val="24"/>
                <w:szCs w:val="24"/>
                <w:u w:val="none"/>
                <w:lang w:eastAsia="zh-CN"/>
              </w:rPr>
              <w:t>“信易贷”平台授信违约情况</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5</w:t>
            </w:r>
          </w:p>
        </w:tc>
        <w:tc>
          <w:tcPr>
            <w:tcW w:w="5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r>
              <w:rPr>
                <w:rFonts w:hint="eastAsia" w:ascii="仿宋_GB2312" w:hAnsi="仿宋_GB2312" w:eastAsia="仿宋_GB2312" w:cs="仿宋_GB2312"/>
                <w:b w:val="0"/>
                <w:bCs w:val="0"/>
                <w:i w:val="0"/>
                <w:iCs w:val="0"/>
                <w:color w:val="333333"/>
                <w:kern w:val="0"/>
                <w:sz w:val="24"/>
                <w:szCs w:val="24"/>
                <w:u w:val="none"/>
                <w:lang w:val="en-US" w:eastAsia="zh-CN" w:bidi="ar"/>
              </w:rPr>
              <w:t>通过</w:t>
            </w:r>
            <w:r>
              <w:rPr>
                <w:rFonts w:hint="eastAsia" w:ascii="仿宋_GB2312" w:hAnsi="仿宋_GB2312" w:eastAsia="仿宋_GB2312" w:cs="仿宋_GB2312"/>
                <w:b w:val="0"/>
                <w:bCs w:val="0"/>
                <w:i w:val="0"/>
                <w:iCs w:val="0"/>
                <w:color w:val="333333"/>
                <w:kern w:val="0"/>
                <w:sz w:val="24"/>
                <w:szCs w:val="24"/>
                <w:u w:val="none"/>
                <w:lang w:val="en-US" w:eastAsia="zh-CN" w:bidi="ar"/>
              </w:rPr>
              <w:fldChar w:fldCharType="begin"/>
            </w:r>
            <w:r>
              <w:rPr>
                <w:rFonts w:hint="eastAsia" w:ascii="仿宋_GB2312" w:hAnsi="仿宋_GB2312" w:eastAsia="仿宋_GB2312" w:cs="仿宋_GB2312"/>
                <w:b w:val="0"/>
                <w:bCs w:val="0"/>
                <w:i w:val="0"/>
                <w:iCs w:val="0"/>
                <w:color w:val="333333"/>
                <w:kern w:val="0"/>
                <w:sz w:val="24"/>
                <w:szCs w:val="24"/>
                <w:u w:val="none"/>
                <w:lang w:val="en-US" w:eastAsia="zh-CN" w:bidi="ar"/>
              </w:rPr>
              <w:instrText xml:space="preserve"> HYPERLINK "http://xyd.taian.cn/home" </w:instrText>
            </w:r>
            <w:r>
              <w:rPr>
                <w:rFonts w:hint="eastAsia" w:ascii="仿宋_GB2312" w:hAnsi="仿宋_GB2312" w:eastAsia="仿宋_GB2312" w:cs="仿宋_GB2312"/>
                <w:b w:val="0"/>
                <w:bCs w:val="0"/>
                <w:i w:val="0"/>
                <w:iCs w:val="0"/>
                <w:color w:val="333333"/>
                <w:kern w:val="0"/>
                <w:sz w:val="24"/>
                <w:szCs w:val="24"/>
                <w:u w:val="none"/>
                <w:lang w:val="en-US" w:eastAsia="zh-CN" w:bidi="ar"/>
              </w:rPr>
              <w:fldChar w:fldCharType="separate"/>
            </w:r>
            <w:r>
              <w:rPr>
                <w:rFonts w:hint="eastAsia" w:ascii="仿宋_GB2312" w:hAnsi="仿宋_GB2312" w:eastAsia="仿宋_GB2312" w:cs="仿宋_GB2312"/>
                <w:b w:val="0"/>
                <w:bCs w:val="0"/>
                <w:i w:val="0"/>
                <w:iCs w:val="0"/>
                <w:color w:val="333333"/>
                <w:kern w:val="0"/>
                <w:sz w:val="24"/>
                <w:szCs w:val="24"/>
                <w:u w:val="none"/>
                <w:lang w:val="en-US" w:eastAsia="zh-CN" w:bidi="ar"/>
              </w:rPr>
              <w:t>泰安市融资综合信用服务平台</w:t>
            </w:r>
            <w:r>
              <w:rPr>
                <w:rFonts w:hint="eastAsia" w:ascii="仿宋_GB2312" w:hAnsi="仿宋_GB2312" w:eastAsia="仿宋_GB2312" w:cs="仿宋_GB2312"/>
                <w:b w:val="0"/>
                <w:bCs w:val="0"/>
                <w:i w:val="0"/>
                <w:iCs w:val="0"/>
                <w:color w:val="333333"/>
                <w:kern w:val="0"/>
                <w:sz w:val="24"/>
                <w:szCs w:val="24"/>
                <w:u w:val="none"/>
                <w:lang w:val="en-US" w:eastAsia="zh-CN" w:bidi="ar"/>
              </w:rPr>
              <w:fldChar w:fldCharType="end"/>
            </w:r>
            <w:r>
              <w:rPr>
                <w:rFonts w:hint="eastAsia" w:ascii="仿宋_GB2312" w:hAnsi="仿宋_GB2312" w:eastAsia="仿宋_GB2312" w:cs="仿宋_GB2312"/>
                <w:b w:val="0"/>
                <w:bCs w:val="0"/>
                <w:i w:val="0"/>
                <w:iCs w:val="0"/>
                <w:color w:val="333333"/>
                <w:kern w:val="0"/>
                <w:sz w:val="24"/>
                <w:szCs w:val="24"/>
                <w:u w:val="none"/>
                <w:lang w:val="en-US" w:eastAsia="zh-CN" w:bidi="ar"/>
              </w:rPr>
              <w:t>获得授信融资的，违约一次扣5分，两次及以上扣10分。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96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333333"/>
                <w:sz w:val="24"/>
                <w:szCs w:val="24"/>
                <w:u w:val="none"/>
              </w:rPr>
            </w:pPr>
          </w:p>
        </w:tc>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sz w:val="24"/>
                <w:szCs w:val="24"/>
                <w:u w:val="none"/>
                <w:lang w:eastAsia="zh-CN"/>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p>
        </w:tc>
        <w:tc>
          <w:tcPr>
            <w:tcW w:w="5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333333"/>
                <w:kern w:val="0"/>
                <w:sz w:val="24"/>
                <w:szCs w:val="24"/>
                <w:u w:val="none"/>
                <w:lang w:val="en-US" w:eastAsia="zh-CN" w:bidi="ar"/>
              </w:rPr>
            </w:pPr>
          </w:p>
        </w:tc>
      </w:tr>
    </w:tbl>
    <w:p>
      <w:pPr>
        <w:keepNext w:val="0"/>
        <w:keepLines w:val="0"/>
        <w:pageBreakBefore w:val="0"/>
        <w:widowControl/>
        <w:suppressLineNumbers w:val="0"/>
        <w:shd w:val="clear"/>
        <w:kinsoku/>
        <w:wordWrap/>
        <w:overflowPunct/>
        <w:topLinePunct w:val="0"/>
        <w:autoSpaceDE/>
        <w:autoSpaceDN/>
        <w:bidi w:val="0"/>
        <w:adjustRightInd/>
        <w:snapToGrid/>
        <w:spacing w:line="400" w:lineRule="exact"/>
        <w:ind w:right="-525" w:rightChars="-250" w:firstLine="220" w:firstLineChars="100"/>
        <w:jc w:val="both"/>
        <w:textAlignment w:val="center"/>
        <w:rPr>
          <w:rFonts w:hint="eastAsia" w:ascii="仿宋_GB2312" w:hAnsi="仿宋_GB2312" w:eastAsia="仿宋_GB2312" w:cs="仿宋_GB2312"/>
          <w:b w:val="0"/>
          <w:bCs w:val="0"/>
          <w:i w:val="0"/>
          <w:iCs w:val="0"/>
          <w:caps w:val="0"/>
          <w:color w:val="auto"/>
          <w:spacing w:val="0"/>
          <w:sz w:val="22"/>
          <w:szCs w:val="22"/>
          <w:highlight w:val="none"/>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588" w:bottom="1701" w:left="1588" w:header="851" w:footer="851" w:gutter="0"/>
      <w:pgBorders>
        <w:top w:val="none" w:sz="0" w:space="0"/>
        <w:left w:val="none" w:sz="0" w:space="0"/>
        <w:bottom w:val="none" w:sz="0" w:space="0"/>
        <w:right w:val="none" w:sz="0" w:space="0"/>
      </w:pgBorders>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0" w:right="360" w:firstLine="0" w:firstLineChars="0"/>
      <w:jc w:val="right"/>
      <w:rPr>
        <w:rFonts w:ascii="宋体" w:hAnsi="宋体" w:eastAsia="宋体"/>
        <w:sz w:val="24"/>
        <w:szCs w:val="30"/>
      </w:rPr>
    </w:pPr>
    <w:r>
      <w:rPr>
        <w:rFonts w:hint="eastAsia" w:ascii="宋体" w:hAnsi="宋体" w:eastAsia="宋体"/>
        <w:sz w:val="24"/>
        <w:szCs w:val="30"/>
      </w:rPr>
      <w:t xml:space="preserve">— </w:t>
    </w:r>
    <w:r>
      <w:rPr>
        <w:rFonts w:ascii="宋体" w:hAnsi="宋体" w:eastAsia="宋体"/>
        <w:sz w:val="28"/>
        <w:szCs w:val="30"/>
      </w:rPr>
      <w:fldChar w:fldCharType="begin"/>
    </w:r>
    <w:r>
      <w:rPr>
        <w:rFonts w:ascii="宋体" w:hAnsi="宋体" w:eastAsia="宋体"/>
        <w:sz w:val="28"/>
        <w:szCs w:val="30"/>
      </w:rPr>
      <w:instrText xml:space="preserve">PAGE   \* MERGEFORMAT</w:instrText>
    </w:r>
    <w:r>
      <w:rPr>
        <w:rFonts w:ascii="宋体" w:hAnsi="宋体" w:eastAsia="宋体"/>
        <w:sz w:val="28"/>
        <w:szCs w:val="30"/>
      </w:rPr>
      <w:fldChar w:fldCharType="separate"/>
    </w:r>
    <w:r>
      <w:rPr>
        <w:rFonts w:ascii="宋体" w:hAnsi="宋体" w:eastAsia="宋体"/>
        <w:sz w:val="28"/>
        <w:szCs w:val="30"/>
      </w:rPr>
      <w:t>1</w:t>
    </w:r>
    <w:r>
      <w:rPr>
        <w:rFonts w:ascii="宋体" w:hAnsi="宋体" w:eastAsia="宋体"/>
        <w:sz w:val="28"/>
        <w:szCs w:val="30"/>
      </w:rPr>
      <w:fldChar w:fldCharType="end"/>
    </w:r>
    <w:r>
      <w:rPr>
        <w:rFonts w:ascii="宋体" w:hAnsi="宋体" w:eastAsia="宋体"/>
        <w:sz w:val="28"/>
        <w:szCs w:val="30"/>
      </w:rPr>
      <w:t xml:space="preserve"> </w:t>
    </w:r>
    <w:r>
      <w:rPr>
        <w:rFonts w:hint="eastAsia" w:ascii="宋体" w:hAnsi="宋体" w:eastAsia="宋体"/>
        <w:sz w:val="24"/>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Chars="0"/>
      <w:rPr>
        <w:sz w:val="16"/>
      </w:rPr>
    </w:pPr>
    <w:r>
      <w:rPr>
        <w:rFonts w:hint="eastAsia" w:ascii="宋体" w:hAnsi="宋体" w:eastAsia="宋体"/>
        <w:sz w:val="28"/>
        <w:szCs w:val="30"/>
      </w:rPr>
      <w:t xml:space="preserve">— </w:t>
    </w:r>
    <w:r>
      <w:rPr>
        <w:rFonts w:ascii="宋体" w:hAnsi="宋体" w:eastAsia="宋体"/>
        <w:sz w:val="28"/>
        <w:szCs w:val="30"/>
      </w:rPr>
      <w:fldChar w:fldCharType="begin"/>
    </w:r>
    <w:r>
      <w:rPr>
        <w:rFonts w:ascii="宋体" w:hAnsi="宋体" w:eastAsia="宋体"/>
        <w:sz w:val="28"/>
        <w:szCs w:val="30"/>
      </w:rPr>
      <w:instrText xml:space="preserve">PAGE   \* MERGEFORMAT</w:instrText>
    </w:r>
    <w:r>
      <w:rPr>
        <w:rFonts w:ascii="宋体" w:hAnsi="宋体" w:eastAsia="宋体"/>
        <w:sz w:val="28"/>
        <w:szCs w:val="30"/>
      </w:rPr>
      <w:fldChar w:fldCharType="separate"/>
    </w:r>
    <w:r>
      <w:rPr>
        <w:rFonts w:ascii="宋体" w:hAnsi="宋体" w:eastAsia="宋体"/>
        <w:sz w:val="28"/>
        <w:szCs w:val="30"/>
      </w:rPr>
      <w:t>1</w:t>
    </w:r>
    <w:r>
      <w:rPr>
        <w:rFonts w:ascii="宋体" w:hAnsi="宋体" w:eastAsia="宋体"/>
        <w:sz w:val="28"/>
        <w:szCs w:val="30"/>
      </w:rPr>
      <w:fldChar w:fldCharType="end"/>
    </w:r>
    <w:r>
      <w:rPr>
        <w:rFonts w:ascii="宋体" w:hAnsi="宋体" w:eastAsia="宋体"/>
        <w:sz w:val="28"/>
        <w:szCs w:val="30"/>
      </w:rPr>
      <w:t xml:space="preserve"> </w:t>
    </w:r>
    <w:r>
      <w:rPr>
        <w:rFonts w:hint="eastAsia" w:ascii="宋体" w:hAnsi="宋体" w:eastAsia="宋体"/>
        <w:sz w:val="28"/>
        <w:szCs w:val="3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9648D"/>
    <w:multiLevelType w:val="singleLevel"/>
    <w:tmpl w:val="D959648D"/>
    <w:lvl w:ilvl="0" w:tentative="0">
      <w:start w:val="1"/>
      <w:numFmt w:val="chineseCounting"/>
      <w:suff w:val="space"/>
      <w:lvlText w:val="第%1条"/>
      <w:lvlJc w:val="left"/>
      <w:rPr>
        <w:rFonts w:hint="eastAsia"/>
      </w:rPr>
    </w:lvl>
  </w:abstractNum>
  <w:abstractNum w:abstractNumId="1">
    <w:nsid w:val="F778070E"/>
    <w:multiLevelType w:val="singleLevel"/>
    <w:tmpl w:val="F778070E"/>
    <w:lvl w:ilvl="0" w:tentative="0">
      <w:start w:val="1"/>
      <w:numFmt w:val="decimal"/>
      <w:pStyle w:val="4"/>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7EF9CA"/>
    <w:rsid w:val="07FDC389"/>
    <w:rsid w:val="1EED7B9B"/>
    <w:rsid w:val="2A77AE2A"/>
    <w:rsid w:val="2F65A691"/>
    <w:rsid w:val="2FFBF94E"/>
    <w:rsid w:val="307FDF00"/>
    <w:rsid w:val="3B7B4BE3"/>
    <w:rsid w:val="3EBF3258"/>
    <w:rsid w:val="3EFEEFA3"/>
    <w:rsid w:val="3FFF4454"/>
    <w:rsid w:val="436F6E67"/>
    <w:rsid w:val="4F364FFE"/>
    <w:rsid w:val="51FED7AB"/>
    <w:rsid w:val="57EFA5CA"/>
    <w:rsid w:val="59B20A7C"/>
    <w:rsid w:val="5EFA7CCD"/>
    <w:rsid w:val="5FA749E2"/>
    <w:rsid w:val="69E72E87"/>
    <w:rsid w:val="6DDBE82D"/>
    <w:rsid w:val="6F57A29A"/>
    <w:rsid w:val="73FC99B9"/>
    <w:rsid w:val="757DE146"/>
    <w:rsid w:val="779FA8E5"/>
    <w:rsid w:val="77A54D66"/>
    <w:rsid w:val="77D747A3"/>
    <w:rsid w:val="77E73B37"/>
    <w:rsid w:val="77F7D63D"/>
    <w:rsid w:val="79598CD1"/>
    <w:rsid w:val="7BFDDA7D"/>
    <w:rsid w:val="7BFF9C63"/>
    <w:rsid w:val="7CFE0351"/>
    <w:rsid w:val="7E3FAD74"/>
    <w:rsid w:val="7EFECCC0"/>
    <w:rsid w:val="7F2E6A15"/>
    <w:rsid w:val="7F7D58EC"/>
    <w:rsid w:val="7F7F1DFF"/>
    <w:rsid w:val="7FE57AF8"/>
    <w:rsid w:val="7FFE2AE6"/>
    <w:rsid w:val="9D4B5CFF"/>
    <w:rsid w:val="9F6F916C"/>
    <w:rsid w:val="9FCDA93F"/>
    <w:rsid w:val="B1778C15"/>
    <w:rsid w:val="B5DF7E7E"/>
    <w:rsid w:val="B70D94D7"/>
    <w:rsid w:val="B7FE5271"/>
    <w:rsid w:val="B9FF76CA"/>
    <w:rsid w:val="BA7B23C6"/>
    <w:rsid w:val="BB5F83A0"/>
    <w:rsid w:val="BBD60AF2"/>
    <w:rsid w:val="BDDBF270"/>
    <w:rsid w:val="BDEF86A2"/>
    <w:rsid w:val="BFFFF4CD"/>
    <w:rsid w:val="CF7EF9CA"/>
    <w:rsid w:val="CFFAC9A9"/>
    <w:rsid w:val="D59E6D1F"/>
    <w:rsid w:val="D6FB7EC5"/>
    <w:rsid w:val="D7E71B04"/>
    <w:rsid w:val="DD922581"/>
    <w:rsid w:val="DF7DF0C6"/>
    <w:rsid w:val="E9F71EFB"/>
    <w:rsid w:val="ECF5F9C3"/>
    <w:rsid w:val="EDBF3A33"/>
    <w:rsid w:val="EEDF089D"/>
    <w:rsid w:val="EF3578A1"/>
    <w:rsid w:val="EFD6D9DF"/>
    <w:rsid w:val="EFDBFB52"/>
    <w:rsid w:val="F1BF91BA"/>
    <w:rsid w:val="F1FE2E23"/>
    <w:rsid w:val="F63F7A09"/>
    <w:rsid w:val="F77F90B1"/>
    <w:rsid w:val="F97EE41F"/>
    <w:rsid w:val="FAABD0AF"/>
    <w:rsid w:val="FB6BE958"/>
    <w:rsid w:val="FBBDE01F"/>
    <w:rsid w:val="FBC9B20E"/>
    <w:rsid w:val="FBFE2834"/>
    <w:rsid w:val="FDBB7D55"/>
    <w:rsid w:val="FDDA35D3"/>
    <w:rsid w:val="FE734873"/>
    <w:rsid w:val="FE7F9BB8"/>
    <w:rsid w:val="FEBE7736"/>
    <w:rsid w:val="FEBF3A6C"/>
    <w:rsid w:val="FEFF30E6"/>
    <w:rsid w:val="FF1D6D34"/>
    <w:rsid w:val="FFF5E668"/>
    <w:rsid w:val="FFFB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0"/>
    <w:pPr>
      <w:spacing w:before="0" w:beforeAutospacing="0" w:after="0" w:afterAutospacing="0"/>
      <w:jc w:val="left"/>
      <w:outlineLvl w:val="0"/>
    </w:pPr>
    <w:rPr>
      <w:rFonts w:hint="eastAsia" w:ascii="宋体" w:hAnsi="宋体" w:eastAsia="方正黑体_GBK" w:cs="宋体"/>
      <w:kern w:val="44"/>
      <w:szCs w:val="48"/>
      <w:lang w:bidi="ar"/>
    </w:rPr>
  </w:style>
  <w:style w:type="paragraph" w:styleId="3">
    <w:name w:val="heading 2"/>
    <w:basedOn w:val="1"/>
    <w:next w:val="1"/>
    <w:semiHidden/>
    <w:unhideWhenUsed/>
    <w:qFormat/>
    <w:uiPriority w:val="0"/>
    <w:pPr>
      <w:keepNext/>
      <w:keepLines/>
      <w:spacing w:beforeLines="0" w:beforeAutospacing="0" w:afterLines="0" w:afterAutospacing="0" w:line="600" w:lineRule="exact"/>
      <w:outlineLvl w:val="1"/>
    </w:pPr>
    <w:rPr>
      <w:rFonts w:eastAsia="楷体_GB2312"/>
    </w:rPr>
  </w:style>
  <w:style w:type="paragraph" w:styleId="4">
    <w:name w:val="heading 3"/>
    <w:basedOn w:val="1"/>
    <w:next w:val="1"/>
    <w:semiHidden/>
    <w:unhideWhenUsed/>
    <w:qFormat/>
    <w:uiPriority w:val="0"/>
    <w:pPr>
      <w:keepNext/>
      <w:keepLines/>
      <w:numPr>
        <w:ilvl w:val="0"/>
        <w:numId w:val="1"/>
      </w:numPr>
      <w:spacing w:beforeLines="0" w:beforeAutospacing="0" w:afterLines="0" w:afterAutospacing="0" w:line="600" w:lineRule="exact"/>
      <w:outlineLvl w:val="2"/>
    </w:pPr>
    <w:rPr>
      <w:b/>
    </w:rPr>
  </w:style>
  <w:style w:type="paragraph" w:styleId="5">
    <w:name w:val="heading 4"/>
    <w:basedOn w:val="1"/>
    <w:next w:val="1"/>
    <w:semiHidden/>
    <w:unhideWhenUsed/>
    <w:qFormat/>
    <w:uiPriority w:val="0"/>
    <w:pPr>
      <w:keepNext/>
      <w:keepLines/>
      <w:spacing w:before="320" w:beforeLines="0" w:beforeAutospacing="0" w:after="320" w:afterLines="0" w:afterAutospacing="0" w:line="720" w:lineRule="exact"/>
      <w:ind w:firstLine="0" w:firstLineChars="0"/>
      <w:jc w:val="center"/>
      <w:outlineLvl w:val="0"/>
    </w:pPr>
    <w:rPr>
      <w:rFonts w:eastAsia="方正小标宋简体"/>
      <w:sz w:val="44"/>
    </w:rPr>
  </w:style>
  <w:style w:type="paragraph" w:styleId="6">
    <w:name w:val="heading 5"/>
    <w:basedOn w:val="1"/>
    <w:next w:val="1"/>
    <w:semiHidden/>
    <w:unhideWhenUsed/>
    <w:qFormat/>
    <w:uiPriority w:val="0"/>
    <w:pPr>
      <w:keepNext/>
      <w:keepLines/>
      <w:spacing w:beforeLines="0" w:beforeAutospacing="0" w:afterLines="0" w:afterAutospacing="0" w:line="600" w:lineRule="exact"/>
      <w:ind w:firstLine="0" w:firstLineChars="0"/>
      <w:jc w:val="center"/>
      <w:outlineLvl w:val="9"/>
    </w:pPr>
    <w:rPr>
      <w:rFonts w:eastAsia="楷体_GB231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character" w:customStyle="1" w:styleId="13">
    <w:name w:val="标题 1 Char"/>
    <w:link w:val="2"/>
    <w:qFormat/>
    <w:uiPriority w:val="0"/>
    <w:rPr>
      <w:rFonts w:ascii="宋体" w:hAnsi="宋体" w:eastAsia="方正黑体_GBK"/>
      <w:kern w:val="44"/>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2022-09-27T23:55:00Z</dcterms:created>
  <dc:creator>王洪帅</dc:creator>
  <cp:lastModifiedBy>uos</cp:lastModifiedBy>
  <cp:lastPrinted>2023-09-28T09:35:00Z</cp:lastPrinted>
  <dcterms:modified xsi:type="dcterms:W3CDTF">2023-11-02T14:42:08Z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5F615E192469C12E1C915B64E944CC39_42</vt:lpwstr>
  </property>
</Properties>
</file>