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关于《泰安市居家和社区养老服务条例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（草案征求意见稿）》的起草说明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为了积极应对人口老龄化，规范和促进居家和社区养老服务发展，满足老年人多样化、多层次养老服务需求，根据市人大常委会202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年度立法计划，</w:t>
      </w:r>
      <w:bookmarkStart w:id="0" w:name="_GoBack"/>
      <w:bookmarkEnd w:id="0"/>
      <w:r>
        <w:rPr>
          <w:rFonts w:hint="eastAsia" w:ascii="Times New Roman" w:hAnsi="Times New Roman" w:eastAsia="仿宋_GB2312" w:cs="仿宋_GB2312"/>
          <w:sz w:val="32"/>
          <w:szCs w:val="32"/>
        </w:rPr>
        <w:t>市</w:t>
      </w:r>
      <w:r>
        <w:rPr>
          <w:rFonts w:hint="eastAsia" w:ascii="Times New Roman" w:hAnsi="Times New Roman" w:eastAsia="仿宋_GB2312" w:cs="仿宋_GB2312"/>
          <w:sz w:val="32"/>
          <w:szCs w:val="32"/>
          <w:lang w:eastAsia="zh-CN"/>
        </w:rPr>
        <w:t>民政</w:t>
      </w:r>
      <w:r>
        <w:rPr>
          <w:rFonts w:hint="eastAsia" w:ascii="Times New Roman" w:hAnsi="Times New Roman" w:eastAsia="仿宋_GB2312" w:cs="仿宋_GB2312"/>
          <w:sz w:val="32"/>
          <w:szCs w:val="32"/>
        </w:rPr>
        <w:t>局会同有关部门起草了《泰安市居家和社区养老服务条例（</w:t>
      </w:r>
      <w:r>
        <w:rPr>
          <w:rFonts w:hint="eastAsia" w:ascii="Times New Roman" w:hAnsi="Times New Roman" w:eastAsia="仿宋_GB2312" w:cs="仿宋_GB2312"/>
          <w:sz w:val="32"/>
          <w:szCs w:val="32"/>
          <w:lang w:eastAsia="zh-CN"/>
        </w:rPr>
        <w:t>草案</w:t>
      </w:r>
      <w:r>
        <w:rPr>
          <w:rFonts w:hint="eastAsia" w:ascii="Times New Roman" w:hAnsi="Times New Roman" w:eastAsia="仿宋_GB2312" w:cs="仿宋_GB2312"/>
          <w:sz w:val="32"/>
          <w:szCs w:val="32"/>
        </w:rPr>
        <w:t>征求意见稿）》，现将有关情况说明如下。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一、起草背景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随着我国人口老龄化的加剧，养老问题已经成为社会关注的焦点。</w:t>
      </w:r>
      <w:r>
        <w:rPr>
          <w:rFonts w:ascii="Times New Roman" w:hAnsi="Times New Roman" w:eastAsia="仿宋_GB2312"/>
          <w:sz w:val="32"/>
          <w:szCs w:val="32"/>
        </w:rPr>
        <w:t>根据第七次人口普查数据，</w:t>
      </w:r>
      <w:r>
        <w:rPr>
          <w:rFonts w:hint="eastAsia" w:ascii="Times New Roman" w:hAnsi="Times New Roman" w:eastAsia="仿宋_GB2312" w:cs="仿宋_GB2312"/>
          <w:sz w:val="32"/>
          <w:szCs w:val="32"/>
          <w:lang w:eastAsia="zh-CN"/>
        </w:rPr>
        <w:t>全市老年人口达到120.71万，占总人口数的22.06%，老龄化程度居全省第五位。近年来，我市养老服务体系建设初见成效，但随着改革的不断深入，服务供给不足、设施配套不到位、运营管理不善、城乡发展不平衡、人才队伍匮乏等问题日益突出。养老服务在“量的拓展”和“质的提升”两方面的需求都越来越迫切，其中居家和社区养老作为绝大多数老年人的选择，亟需以立法的形式来进一步规范养老政策、服务标准、资金监管等内容，切实保障老年人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泰安市居家和社区养老服务条例（草案征求意见稿）》共七章四十二条，主要内容包括总则、组织实施、规划建设、服务供给、保障措施、法律责任、附则。《条例（草案征求意见稿）》充分考虑我市养老服务工作实际，对上位法进行补充和细化，固化提升我市特色经验做法，补强了现有法律法规的空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lang w:eastAsia="zh-CN"/>
        </w:rPr>
        <w:t>一是</w:t>
      </w:r>
      <w:r>
        <w:rPr>
          <w:rFonts w:hint="eastAsia" w:ascii="Times New Roman" w:hAnsi="Times New Roman" w:eastAsia="仿宋_GB2312" w:cs="仿宋_GB2312"/>
          <w:sz w:val="32"/>
          <w:szCs w:val="32"/>
          <w:lang w:eastAsia="zh-CN"/>
        </w:rPr>
        <w:t>细化养老服务项目。将居家和社区养老服务分为基础生活、医疗保健、康复护理、精神慰藉、文体活动、法律保障、安全防范和特殊需求等八类服务内容，满足老年人多样化需求，提供全方位、个性化的养老服务。</w:t>
      </w:r>
      <w:r>
        <w:rPr>
          <w:rFonts w:hint="eastAsia" w:ascii="Times New Roman" w:hAnsi="Times New Roman" w:eastAsia="仿宋_GB2312" w:cs="仿宋_GB2312"/>
          <w:b/>
          <w:bCs/>
          <w:sz w:val="32"/>
          <w:szCs w:val="32"/>
          <w:lang w:eastAsia="zh-CN"/>
        </w:rPr>
        <w:t>二是</w:t>
      </w:r>
      <w:r>
        <w:rPr>
          <w:rFonts w:hint="eastAsia" w:ascii="Times New Roman" w:hAnsi="Times New Roman" w:eastAsia="仿宋_GB2312" w:cs="仿宋_GB2312"/>
          <w:sz w:val="32"/>
          <w:szCs w:val="32"/>
          <w:lang w:eastAsia="zh-CN"/>
        </w:rPr>
        <w:t>明确工作职责。对市人民政府、县（市、区）人民政府、乡镇人民政府、街道办事处、村（居）民委员会、政府部门和其他组织的职责做出规定，构建政府、企业、社会、家庭共同参与的养老服务体系。</w:t>
      </w:r>
      <w:r>
        <w:rPr>
          <w:rFonts w:hint="eastAsia" w:ascii="Times New Roman" w:hAnsi="Times New Roman" w:eastAsia="仿宋_GB2312" w:cs="仿宋_GB2312"/>
          <w:b/>
          <w:bCs/>
          <w:sz w:val="32"/>
          <w:szCs w:val="32"/>
          <w:lang w:eastAsia="zh-CN"/>
        </w:rPr>
        <w:t>三是</w:t>
      </w:r>
      <w:r>
        <w:rPr>
          <w:rFonts w:hint="eastAsia" w:ascii="Times New Roman" w:hAnsi="Times New Roman" w:eastAsia="仿宋_GB2312" w:cs="仿宋_GB2312"/>
          <w:sz w:val="32"/>
          <w:szCs w:val="32"/>
          <w:lang w:eastAsia="zh-CN"/>
        </w:rPr>
        <w:t>加强规划建设管理。明确社区养老服务设施“怎么建、建多少、怎么管”，对规划编制、配建要求和无障碍设施改造等内容进行详细规定，统筹推进城乡社区养老服务设施建设。</w:t>
      </w:r>
      <w:r>
        <w:rPr>
          <w:rFonts w:hint="eastAsia" w:ascii="Times New Roman" w:hAnsi="Times New Roman" w:eastAsia="仿宋_GB2312" w:cs="仿宋_GB2312"/>
          <w:b/>
          <w:bCs/>
          <w:sz w:val="32"/>
          <w:szCs w:val="32"/>
          <w:lang w:eastAsia="zh-CN"/>
        </w:rPr>
        <w:t>四是</w:t>
      </w:r>
      <w:r>
        <w:rPr>
          <w:rFonts w:hint="eastAsia" w:ascii="Times New Roman" w:hAnsi="Times New Roman" w:eastAsia="仿宋_GB2312" w:cs="仿宋_GB2312"/>
          <w:sz w:val="32"/>
          <w:szCs w:val="32"/>
          <w:lang w:eastAsia="zh-CN"/>
        </w:rPr>
        <w:t>优化服务供给。明确政府提供的基本公共服务内容，规定基层医疗卫生服务机构为老年人提供的医疗服务内容，推动医养结合发展，推行长期护理保险制度，构建老年助餐服务体系。</w:t>
      </w:r>
      <w:r>
        <w:rPr>
          <w:rFonts w:hint="eastAsia" w:ascii="Times New Roman" w:hAnsi="Times New Roman" w:eastAsia="仿宋_GB2312" w:cs="仿宋_GB2312"/>
          <w:b/>
          <w:bCs/>
          <w:sz w:val="32"/>
          <w:szCs w:val="32"/>
          <w:lang w:eastAsia="zh-CN"/>
        </w:rPr>
        <w:t>五是</w:t>
      </w:r>
      <w:r>
        <w:rPr>
          <w:rFonts w:hint="eastAsia" w:ascii="Times New Roman" w:hAnsi="Times New Roman" w:eastAsia="仿宋_GB2312" w:cs="仿宋_GB2312"/>
          <w:sz w:val="32"/>
          <w:szCs w:val="32"/>
          <w:lang w:eastAsia="zh-CN"/>
        </w:rPr>
        <w:t>加大扶持保障力度。设立养老服务专项资金，规定各类优惠扶持政策，建设多元化养老服务人才队伍，建立智慧养老服务平台，健全养老服务工作激励褒扬、监督考核和投诉举报制度。</w:t>
      </w:r>
      <w:r>
        <w:rPr>
          <w:rFonts w:hint="eastAsia" w:ascii="Times New Roman" w:hAnsi="Times New Roman" w:eastAsia="仿宋_GB2312" w:cs="仿宋_GB2312"/>
          <w:b/>
          <w:bCs/>
          <w:sz w:val="32"/>
          <w:szCs w:val="32"/>
          <w:lang w:eastAsia="zh-CN"/>
        </w:rPr>
        <w:t>六是</w:t>
      </w:r>
      <w:r>
        <w:rPr>
          <w:rFonts w:hint="eastAsia" w:ascii="Times New Roman" w:hAnsi="Times New Roman" w:eastAsia="仿宋_GB2312" w:cs="仿宋_GB2312"/>
          <w:sz w:val="32"/>
          <w:szCs w:val="32"/>
          <w:lang w:eastAsia="zh-CN"/>
        </w:rPr>
        <w:t>明确法律责任。对侵害老年人人身和财产权益或者其他违反本条例的行为规定法律责任。同时，明确了家庭成员应当履行的赡养、扶养义务。</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1587" w:right="1587" w:bottom="1587" w:left="1587"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F1350"/>
    <w:rsid w:val="3FFF1350"/>
    <w:rsid w:val="BA9F15C7"/>
    <w:rsid w:val="FEE03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2024-04-03T22:28:00Z</dcterms:created>
  <dc:creator>user</dc:creator>
  <cp:lastModifiedBy>user</cp:lastModifiedBy>
  <dcterms:modified xsi:type="dcterms:W3CDTF">2024-04-03T14:37:24Z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