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caps w:val="0"/>
          <w:color w:val="000000"/>
          <w:spacing w:val="0"/>
          <w:sz w:val="28"/>
          <w:szCs w:val="28"/>
        </w:rPr>
      </w:pPr>
      <w:r>
        <w:rPr>
          <w:rFonts w:hint="eastAsia" w:asciiTheme="majorEastAsia" w:hAnsiTheme="majorEastAsia" w:eastAsiaTheme="majorEastAsia" w:cstheme="majorEastAsia"/>
          <w:b/>
          <w:bCs/>
          <w:i w:val="0"/>
          <w:caps w:val="0"/>
          <w:color w:val="000000"/>
          <w:spacing w:val="0"/>
          <w:sz w:val="30"/>
          <w:szCs w:val="30"/>
        </w:rPr>
        <w:t>泰安市地表水环境质量生态补偿暂行办法</w:t>
      </w:r>
    </w:p>
    <w:p>
      <w:pPr>
        <w:jc w:val="center"/>
        <w:rPr>
          <w:rFonts w:hint="eastAsia" w:asciiTheme="majorEastAsia" w:hAnsiTheme="majorEastAsia" w:eastAsiaTheme="majorEastAsia" w:cstheme="majorEastAsia"/>
          <w:b/>
          <w:bCs/>
          <w:i w:val="0"/>
          <w:caps w:val="0"/>
          <w:color w:val="000000"/>
          <w:spacing w:val="0"/>
          <w:sz w:val="28"/>
          <w:szCs w:val="28"/>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第一章  总  则</w:t>
      </w:r>
      <w:r>
        <w:rPr>
          <w:rFonts w:hint="eastAsia" w:asciiTheme="minorEastAsia" w:hAnsiTheme="minorEastAsia" w:eastAsiaTheme="minorEastAsia" w:cstheme="minorEastAsia"/>
          <w:i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第一条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为进一步落实水污染防治工作责任，强化监督管理，促进全市地表水环境质量持续改善，优良水体逐年增加，参照《山东省地表水环境质量生态补偿暂行办法》，结合我市实际，制定本办法。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第二条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按照“将生态环境质量逐年改善、优良水体持久保持作为区域发展的约束性要求”和“改善者受益、恶化者赔偿”的原则，通过监测评估各县（市、区）纳入国家、省、市地表水环境质量考核的断面  （以下简称考核断面）水质达标情况，建立生态补偿机制。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第三条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本办法所称地表水环境质量生态补偿资金（以下简称生态补偿资金）是指依据各县（市、区）地表水环境质量达标情况和水质同比变化情况，用于对县（市、区）补偿或赔偿的资金。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第四条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全市共设置国控考核断面3个、省控考核断面3个、市控考核断面13个（见附件）。国、省控考核断面考核数据采用生态环境部和省生态环境厅确认的监测数据，市控考核断面考核数据采用市生态环境局确认的监测数据。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第五条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市生态环境局每月组织对市控考核断面pH、溶解氧、高锰酸盐指数、生化需氧量、氨氮、石油类、挥发酚、汞、铅、总磷、化学需氧量、铜、锌、氟化物、硒、砷、镉、铬（六价）、氰化物、阴离子表面活性剂、硫化物等21项考核因子进行监测，监测数据作为考核数据。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第六条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地表水环境质量生态补偿资金采用月度考核、年度结算的方式。市生态环境局提供年度考核结果和资金测算方案，市财政局向各县（市、区）拨付清算资金。各县（市、区）获得的补偿资金,要统筹用于生态环境质量改善等工作。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第七条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当上游入境断面污染物浓度超过下游断面污染物浓度时，根据物料平衡从目标断面实测污染物的通量中扣除超出部分的通量，再按目标断面的流量折算成浓度值进行考核（在流量小、流经路程短的情况下，暂不考虑自然降解因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第二章 基本补偿（赔偿）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第八条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对各县（市、区）考核断面21项考核指标实行年度考核，达到年度水质考核目标的即为考核达标，可获得达标断面补偿资金。具体核算方式如下：各县（市、区）达标断面基本补偿资金＝（资金总量/全市达标断面数量）×县（市、区）达标断面数量（以市控断面为基数，1个国控断面相当于3个市控断面，1个省控断面相当于2个市控断面）。资金总量统筹上级奖补资金和收缴各县（市、区）赔偿资金。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第九条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断面考核不达标的县（市、区），缴纳基本赔偿资金。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国控断面年度考核不达标的，每个断面缴纳基本赔偿资金200万元；省控断面年度考核不达标的，每个断面缴纳基本赔偿资金100万元；市控断面年度考核不达标的，每个断面缴纳基本赔偿资金50万元。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因非人为原因断流的，不纳入考核；非季节性原因或人为原因导致断流的，视为不达标，每个断面每个月上缴30万元生态赔偿资金。能确定污染来源且能分清责任的，基本赔偿资金由造成超标的县（市、区）承担（下同）。具体责任认定由市生态环境局负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第三章  同比变化补偿（赔偿）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对各县（市、区）的考核断面水环境质量同比变化情况进行年度考核。计算单个考核断面氨氮、化学需氧量、总磷、氟化物等4项考核指标同比平均变化情况。考核断面水环境质量同比改善的县（市、区）获得水质同比变化补偿资金；同比恶化的县（市、区）缴纳水质同比变化赔偿资金。国控断面、省控断面、市控断面分别按照1.0系数、0.8系数、0.6系数计算。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xml:space="preserve">（一）同比变化补偿资金。 考核断面水质为Ⅲ类，年度改善幅度为10%-30%（含10%）的，一次性奖励资金30万元；改善幅度大于30%（含30%）的一次性奖励50万元。考核断面水质为Ⅳ类，年度改善幅度为10%-30%（含10%）的，一次性奖励资金20万元；改善幅度30%（含30%）以上的一次性奖励40万元。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（二）同比变化赔偿资金。 考核断面水质为Ⅲ类，年度恶化10%-30%（含10%）的，一次性上缴赔偿资金30万元；恶化幅度大于30%（含30%）的一次性上缴赔偿资金50万元；考核断面水质为Ⅳ类，年度恶化幅度为10%-30%（含10%）的，一次性上缴赔偿资金20万元；恶化幅度30%（含30%）以上的一次性上缴赔偿资金40万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第四章  类别管控补偿（赔偿）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第十一条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对各县（市、区）考核断面按照21项考核指标进行水质类别提升情况年度考核。水质较年度考核目标水质提升类别的，可获得水质类别提升补偿资金。具体核算方式如下：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（一）国控断面年度水质每提升一个类别，可获得100万元补偿资金。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（二）省控断面年度水质每提升一个类别，可获得50万元补偿资金。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xml:space="preserve">（三）市控断面年度水质每提升一个类别，可获得20万元补偿资金。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第十二条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对考核断面水质类别劣于Ⅴ类时，除需缴纳基本赔偿资金外，还需缴纳水质类别赔偿资金。具体标准为：国控考核断面年度水质为劣Ⅴ类时，缴纳赔偿资金500万元；省控考核断面年度水质为劣Ⅴ类时，缴纳赔偿资金300万元；市控考核断面年度水质为劣Ⅴ类时，缴纳赔偿资金100万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第五章  附  则</w:t>
      </w:r>
      <w:r>
        <w:rPr>
          <w:rFonts w:hint="eastAsia" w:asciiTheme="minorEastAsia" w:hAnsiTheme="minorEastAsia" w:eastAsiaTheme="minorEastAsia" w:cstheme="minorEastAsia"/>
          <w:i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第十三条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各县（市、区）每年获得的生态补偿资金总额为基本补偿（赔偿）资金、同比变化补偿（赔偿）资金、类别管控补偿（赔偿）资金之和。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第十四条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年终考核依据为每月断面水质情况通报。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第十五条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条国控、省控、市控考核断面如遇国家、省、市调整断面点位和水质目标时，按照新确定的点位和水质目标进行考核。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第十六条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因水质恶化需要上缴省赔偿资金的，超出部分由县（市、区）按照断面权重统筹缴纳。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第十七条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本办法自印发之日起施行，有效期至2021年6月30日。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第十八条</w:t>
      </w:r>
      <w:r>
        <w:rPr>
          <w:rFonts w:hint="eastAsia" w:asciiTheme="minorEastAsia" w:hAnsiTheme="minorEastAsia" w:cstheme="minorEastAsia"/>
          <w:i w:val="0"/>
          <w:caps w:val="0"/>
          <w:color w:val="000000"/>
          <w:spacing w:val="0"/>
          <w:sz w:val="24"/>
          <w:szCs w:val="24"/>
          <w:lang w:eastAsia="zh-CN"/>
        </w:rPr>
        <w:t>：</w:t>
      </w:r>
      <w:bookmarkStart w:id="0" w:name="_GoBack"/>
      <w:bookmarkEnd w:id="0"/>
      <w:r>
        <w:rPr>
          <w:rFonts w:hint="eastAsia" w:asciiTheme="minorEastAsia" w:hAnsiTheme="minorEastAsia" w:eastAsiaTheme="minorEastAsia" w:cstheme="minorEastAsia"/>
          <w:i w:val="0"/>
          <w:caps w:val="0"/>
          <w:color w:val="000000"/>
          <w:spacing w:val="0"/>
          <w:sz w:val="24"/>
          <w:szCs w:val="24"/>
        </w:rPr>
        <w:t>本办法由市财政局、市生态环境局负责解释。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03048"/>
    <w:rsid w:val="0B3D501E"/>
    <w:rsid w:val="0FC03048"/>
    <w:rsid w:val="28BD4E5B"/>
    <w:rsid w:val="5F7A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2020-04-15T07:54:00Z</dcterms:created>
  <dc:creator>小张&amp;</dc:creator>
  <cp:lastModifiedBy>小张&amp;</cp:lastModifiedBy>
  <dcterms:modified xsi:type="dcterms:W3CDTF">2020-04-15T08:07:03Z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