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F7CB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14"/>
          <w:highlight w:val="none"/>
          <w:shd w:val="clear" w:color="auto" w:fill="FFFFFF"/>
        </w:rPr>
      </w:pPr>
    </w:p>
    <w:p w14:paraId="56E8663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14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14"/>
          <w:highlight w:val="none"/>
          <w:shd w:val="clear" w:color="auto" w:fill="FFFFFF"/>
        </w:rPr>
        <w:t>泰安市深化工业数智化转型发展行动方案</w:t>
      </w:r>
    </w:p>
    <w:p w14:paraId="08C71FF6">
      <w:pPr>
        <w:spacing w:line="560" w:lineRule="exact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14"/>
          <w:highlight w:val="none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14"/>
          <w:highlight w:val="none"/>
          <w:shd w:val="clear" w:color="auto" w:fill="FFFFFF"/>
          <w:lang w:eastAsia="zh-CN"/>
        </w:rPr>
        <w:t>（征求意见稿）</w:t>
      </w:r>
    </w:p>
    <w:p w14:paraId="68EE553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00FA4C48">
      <w:pPr>
        <w:spacing w:line="560" w:lineRule="exact"/>
        <w:ind w:firstLine="640" w:firstLineChars="200"/>
        <w:rPr>
          <w:rFonts w:hint="eastAsia" w:ascii="仿宋" w:hAnsi="仿宋" w:eastAsia="仿宋_GB2312" w:cs="仿宋_GB2312"/>
          <w:sz w:val="32"/>
          <w:szCs w:val="32"/>
          <w:highlight w:val="none"/>
        </w:rPr>
      </w:pP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为抢抓人工智能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和大模型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发展重大战略机遇，推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进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人工智能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、大模型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与工业深度融合，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带动</w:t>
      </w:r>
      <w:r>
        <w:rPr>
          <w:rFonts w:hint="default" w:ascii="仿宋" w:hAnsi="仿宋" w:eastAsia="仿宋_GB2312" w:cs="仿宋_GB2312"/>
          <w:sz w:val="32"/>
          <w:szCs w:val="32"/>
          <w:highlight w:val="none"/>
          <w:lang w:val="en-US" w:eastAsia="zh-CN"/>
        </w:rPr>
        <w:t>工业企业从</w:t>
      </w:r>
      <w:bookmarkStart w:id="0" w:name="_GoBack"/>
      <w:bookmarkEnd w:id="0"/>
      <w:r>
        <w:rPr>
          <w:rFonts w:hint="default" w:ascii="仿宋" w:hAnsi="仿宋" w:eastAsia="仿宋_GB2312" w:cs="仿宋_GB2312"/>
          <w:sz w:val="32"/>
          <w:szCs w:val="32"/>
          <w:highlight w:val="none"/>
          <w:lang w:val="en-US" w:eastAsia="zh-CN"/>
        </w:rPr>
        <w:t>数字化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val="en-US" w:eastAsia="zh-CN"/>
        </w:rPr>
        <w:t>转型</w:t>
      </w:r>
      <w:r>
        <w:rPr>
          <w:rFonts w:hint="default" w:ascii="仿宋" w:hAnsi="仿宋" w:eastAsia="仿宋_GB2312" w:cs="仿宋_GB2312"/>
          <w:sz w:val="32"/>
          <w:szCs w:val="32"/>
          <w:highlight w:val="none"/>
          <w:lang w:val="en-US" w:eastAsia="zh-CN"/>
        </w:rPr>
        <w:t>向更高阶的数智化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val="en-US" w:eastAsia="zh-CN"/>
        </w:rPr>
        <w:t>转型</w:t>
      </w:r>
      <w:r>
        <w:rPr>
          <w:rFonts w:hint="default" w:ascii="仿宋" w:hAnsi="仿宋" w:eastAsia="仿宋_GB2312" w:cs="仿宋_GB2312"/>
          <w:sz w:val="32"/>
          <w:szCs w:val="32"/>
          <w:highlight w:val="none"/>
          <w:lang w:val="en-US" w:eastAsia="zh-CN"/>
        </w:rPr>
        <w:t>迈进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，立足我市实际，制定本方案。</w:t>
      </w:r>
    </w:p>
    <w:p w14:paraId="7DE23076">
      <w:pPr>
        <w:spacing w:line="56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sz w:val="32"/>
          <w:szCs w:val="32"/>
          <w:highlight w:val="none"/>
        </w:rPr>
        <w:t>一、总体要求</w:t>
      </w:r>
    </w:p>
    <w:p w14:paraId="0B96AF36">
      <w:pPr>
        <w:spacing w:line="560" w:lineRule="exact"/>
        <w:ind w:firstLine="640" w:firstLineChars="200"/>
        <w:rPr>
          <w:rFonts w:hint="eastAsia" w:ascii="仿宋" w:hAnsi="仿宋" w:eastAsia="仿宋_GB2312" w:cs="仿宋_GB2312"/>
          <w:sz w:val="32"/>
          <w:szCs w:val="32"/>
          <w:highlight w:val="none"/>
        </w:rPr>
      </w:pP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坚持“政府推动、企业主体、分级分类、协同服务”理念，以产业链协调发展为主线，以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“人工智能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val="en-US" w:eastAsia="zh-CN"/>
        </w:rPr>
        <w:t>+工业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为主攻方向，以场景应用为牵引，实现“十企领军示范、百企整体转型、千企场景突破、万企上云用数”，形成泰安工业数智化发展特色路径。</w:t>
      </w:r>
    </w:p>
    <w:p w14:paraId="1F36E762">
      <w:pPr>
        <w:spacing w:line="560" w:lineRule="exact"/>
        <w:ind w:firstLine="640" w:firstLineChars="200"/>
        <w:rPr>
          <w:rFonts w:hint="eastAsia" w:ascii="仿宋" w:hAnsi="仿宋" w:eastAsia="仿宋_GB2312" w:cs="仿宋_GB2312"/>
          <w:sz w:val="32"/>
          <w:szCs w:val="32"/>
          <w:highlight w:val="none"/>
        </w:rPr>
      </w:pP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到2027年底，数智技术融合创新能力大幅提升，工业数智化转型生态体系进一步健全，实现“规上企业应转尽转，规下企业愿转尽转”，打造30个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数智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典型应用场景，培育1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0家以上智能工厂，创建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家领航级智能工厂、卓越级智能工厂、国家级“数字领航”企业，建成1家以上世界级“灯塔工厂”。</w:t>
      </w:r>
    </w:p>
    <w:p w14:paraId="2B8B4943">
      <w:pPr>
        <w:spacing w:line="56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sz w:val="32"/>
          <w:szCs w:val="32"/>
          <w:highlight w:val="none"/>
        </w:rPr>
        <w:t>二、主要任务</w:t>
      </w:r>
    </w:p>
    <w:p w14:paraId="581E0DDC">
      <w:pPr>
        <w:spacing w:line="560" w:lineRule="exact"/>
        <w:ind w:firstLine="640" w:firstLineChars="200"/>
        <w:rPr>
          <w:rFonts w:hint="eastAsia" w:ascii="楷体" w:hAnsi="楷体" w:eastAsia="楷体_GB2312" w:cs="仿宋_GB2312"/>
          <w:sz w:val="32"/>
          <w:szCs w:val="32"/>
          <w:highlight w:val="none"/>
        </w:rPr>
      </w:pPr>
      <w:r>
        <w:rPr>
          <w:rFonts w:hint="eastAsia" w:ascii="楷体" w:hAnsi="楷体" w:eastAsia="楷体_GB2312" w:cs="仿宋_GB2312"/>
          <w:sz w:val="32"/>
          <w:szCs w:val="32"/>
          <w:highlight w:val="none"/>
        </w:rPr>
        <w:t>（一）实施数智化转型梯次推进行动</w:t>
      </w:r>
    </w:p>
    <w:p w14:paraId="42DC621A">
      <w:pPr>
        <w:spacing w:line="560" w:lineRule="exact"/>
        <w:ind w:firstLine="643" w:firstLineChars="200"/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_GB2312" w:cs="仿宋_GB2312"/>
          <w:b/>
          <w:bCs/>
          <w:sz w:val="32"/>
          <w:szCs w:val="32"/>
          <w:highlight w:val="none"/>
        </w:rPr>
        <w:t>1．打造数智化转型企业梯队。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A类（领军示范）：在全市各重点产业链中选取不少于1家具有较强产业链引领能力的企业，支持其以创建国家级“数字领航”企业为目标，带动产业链数智化改造，创新探索“灯塔工厂+零碳工厂”模式。鼓励其积极参与制定行业标准，建设数字化车间、智能工厂，分享转型经验和成果，引领行业发展。B类（整体转型）：在每个重点产业链中选取10家左右具有代表性的企业，支持其实施全环节数智化改造，开展数智化顶层设计，优化业务流程，实现数字化集成应用创新。鼓励企业加大数智化投入，整合内外部资源，建立完善的数据管理和分析体系，提升企业整体运营效率和竞争力。C类（场景突破）：面向广大中小企业，普及数智化工具应用，引导实施标准化、模块化的“微改造”项目，累计实现1000家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左右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中小企业在典型场景应用方面的数智化突破。支持企业结合自身业务特点和需求，聚焦特定环节或场景开展数智化实践，如生产流程优化、质量管控智能化等，以点带面逐步拓展数智化应用范围。D类（上云用数）：推动万家小微企业上云用数，以场景为牵引，鼓励企业使用云服务和大数据技术，降低信息化建设成本，提高生产管理效率，增强市场竞争力。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(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市工业和信息化局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牵头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，市直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有关部门按职责分工负责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;以下均需各县(市、区)政府、功能区管委落实，不再一一列出）</w:t>
      </w:r>
    </w:p>
    <w:p w14:paraId="4A33F9AC">
      <w:pPr>
        <w:spacing w:line="560" w:lineRule="exact"/>
        <w:ind w:firstLine="643" w:firstLineChars="200"/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_GB2312" w:cs="仿宋_GB2312"/>
          <w:b/>
          <w:bCs/>
          <w:sz w:val="32"/>
          <w:szCs w:val="32"/>
          <w:highlight w:val="none"/>
        </w:rPr>
        <w:t>2</w:t>
      </w:r>
      <w:r>
        <w:rPr>
          <w:rFonts w:hint="eastAsia" w:ascii="仿宋" w:hAnsi="仿宋" w:eastAsia="仿宋_GB2312" w:cs="仿宋_GB2312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" w:hAnsi="仿宋" w:eastAsia="仿宋_GB2312" w:cs="仿宋_GB2312"/>
          <w:b/>
          <w:bCs/>
          <w:sz w:val="32"/>
          <w:szCs w:val="32"/>
          <w:highlight w:val="none"/>
        </w:rPr>
        <w:t>推动创新链与产业链深度融合。</w:t>
      </w:r>
      <w:r>
        <w:rPr>
          <w:rFonts w:hint="eastAsia" w:ascii="仿宋" w:hAnsi="仿宋" w:eastAsia="仿宋_GB2312" w:cs="仿宋_GB2312"/>
          <w:b w:val="0"/>
          <w:bCs w:val="0"/>
          <w:sz w:val="32"/>
          <w:szCs w:val="32"/>
          <w:highlight w:val="none"/>
        </w:rPr>
        <w:t>加强创新资源整合与布局，围绕产业链关键环节与数智化转型需求，汇聚高校、科研机构、企业等各方创新力量，建立产学研用协同创新机制。鼓励企业加大研发投入，对数智化关键技术领域开展联合攻关，突破一批制约产业发展的核心技术瓶颈。推动创新成果加快向现实生产力转化，搭建创新成果供需对接平台，促进数智化创新技术、产品与解决方案在工业各领域的广泛应用，推动人工智能科技创新与产业创新深度融合。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(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市科技局、市工业和信息化局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牵头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，市直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有关部门按职责分工负责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）</w:t>
      </w:r>
    </w:p>
    <w:p w14:paraId="7B868AE6">
      <w:pPr>
        <w:spacing w:line="560" w:lineRule="exact"/>
        <w:ind w:firstLine="643" w:firstLineChars="200"/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_GB2312" w:cs="仿宋_GB2312"/>
          <w:b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_GB2312" w:cs="仿宋_GB2312"/>
          <w:b/>
          <w:bCs/>
          <w:sz w:val="32"/>
          <w:szCs w:val="32"/>
          <w:highlight w:val="none"/>
        </w:rPr>
        <w:t>加强产业链数智化协同创新。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支持依托重点产业链建设产业大脑等产业链数智化平台，利用大数据分析、人工智能等技术，为产业链企业提供市场预测、需求分析，实现产业链上下游企业间的数据互联互通，促进产业链上下游企业间的协同研发、协同设计、协同生产，提升产业链的效率、质量和创新能力，打造智能化、高效化、绿色化的现代化产业链。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(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市工业和信息化局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牵头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，各重点产业链专班等市直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有关部门按职责分工负责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）</w:t>
      </w:r>
    </w:p>
    <w:p w14:paraId="3330FBF0">
      <w:pPr>
        <w:spacing w:line="560" w:lineRule="exact"/>
        <w:ind w:firstLine="643" w:firstLineChars="200"/>
        <w:rPr>
          <w:rFonts w:hint="eastAsia" w:ascii="仿宋" w:hAnsi="仿宋" w:eastAsia="仿宋_GB2312" w:cs="仿宋_GB2312"/>
          <w:sz w:val="32"/>
          <w:szCs w:val="32"/>
          <w:highlight w:val="none"/>
        </w:rPr>
      </w:pPr>
      <w:r>
        <w:rPr>
          <w:rFonts w:hint="eastAsia" w:ascii="仿宋" w:hAnsi="仿宋" w:eastAsia="仿宋_GB2312" w:cs="仿宋_GB2312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_GB2312" w:cs="仿宋_GB2312"/>
          <w:b/>
          <w:bCs/>
          <w:sz w:val="32"/>
          <w:szCs w:val="32"/>
          <w:highlight w:val="none"/>
        </w:rPr>
        <w:t>.推进工业园区数智化发展。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集中资金、技术资源重点支持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省级以上开发区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（集群）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，鼓励园区向智能管理、网络协同、服务创新、绿色低碳、安全生产方向升级，加快公共服务平台建设和信息基础设施改造，发挥制造业数字化转型赋能中心等载体平台作用，汇聚面向园区企业的数字化转型工具箱、资源池，提供场景体验、供需对接、人才培训等服务，鼓励推行融资租赁、先试后买等模式，促进技术产品和解决方案规模化应用。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(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市工业和信息化局、市财政局、市商务局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牵头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，市直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有关部门按职责分工负责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）</w:t>
      </w:r>
    </w:p>
    <w:p w14:paraId="58262FEB">
      <w:pPr>
        <w:spacing w:line="560" w:lineRule="exact"/>
        <w:ind w:firstLine="640" w:firstLineChars="200"/>
        <w:rPr>
          <w:rFonts w:ascii="楷体" w:hAnsi="楷体" w:eastAsia="楷体_GB2312" w:cs="仿宋_GB2312"/>
          <w:sz w:val="32"/>
          <w:szCs w:val="32"/>
          <w:highlight w:val="none"/>
        </w:rPr>
      </w:pPr>
      <w:r>
        <w:rPr>
          <w:rFonts w:hint="eastAsia" w:ascii="楷体" w:hAnsi="楷体" w:eastAsia="楷体_GB2312" w:cs="仿宋_GB2312"/>
          <w:sz w:val="32"/>
          <w:szCs w:val="32"/>
          <w:highlight w:val="none"/>
        </w:rPr>
        <w:t>（二）实施</w:t>
      </w:r>
      <w:r>
        <w:rPr>
          <w:rFonts w:hint="eastAsia" w:ascii="楷体" w:hAnsi="楷体" w:eastAsia="楷体_GB2312" w:cs="仿宋_GB2312"/>
          <w:sz w:val="32"/>
          <w:szCs w:val="32"/>
          <w:highlight w:val="none"/>
          <w:lang w:eastAsia="zh-CN"/>
        </w:rPr>
        <w:t>“人工智能</w:t>
      </w:r>
      <w:r>
        <w:rPr>
          <w:rFonts w:hint="eastAsia" w:ascii="楷体" w:hAnsi="楷体" w:eastAsia="楷体_GB2312" w:cs="仿宋_GB2312"/>
          <w:sz w:val="32"/>
          <w:szCs w:val="32"/>
          <w:highlight w:val="none"/>
          <w:lang w:val="en-US" w:eastAsia="zh-CN"/>
        </w:rPr>
        <w:t>+工业</w:t>
      </w:r>
      <w:r>
        <w:rPr>
          <w:rFonts w:hint="eastAsia" w:ascii="楷体" w:hAnsi="楷体" w:eastAsia="楷体_GB2312" w:cs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楷体" w:hAnsi="楷体" w:eastAsia="楷体_GB2312" w:cs="仿宋_GB2312"/>
          <w:sz w:val="32"/>
          <w:szCs w:val="32"/>
          <w:highlight w:val="none"/>
        </w:rPr>
        <w:t>行动</w:t>
      </w:r>
    </w:p>
    <w:p w14:paraId="5C0FE09E">
      <w:pPr>
        <w:spacing w:line="560" w:lineRule="exact"/>
        <w:ind w:firstLine="643" w:firstLineChars="200"/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_GB2312" w:cs="仿宋_GB2312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_GB2312" w:cs="仿宋_GB2312"/>
          <w:b/>
          <w:bCs/>
          <w:sz w:val="32"/>
          <w:szCs w:val="32"/>
          <w:highlight w:val="none"/>
        </w:rPr>
        <w:t>.强化数智技术创新。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推动企业与科研院所建立联合研发中心和产业技术创新联盟等平台，鼓励龙头企业联合产业链上下游组建创新联合体。围绕主流人工智能开发框架，强化产学研用协同创新，重点突破一批小切口关键通用技术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，开发一批工业软件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引导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企业研发人工智能软件，推动开发集成各行业场景数据、技术、工艺的终端软件，强化人工智能框架软件和硬件相互适配、性能优化和应用推广。大力发展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val="en-US" w:eastAsia="zh-CN"/>
        </w:rPr>
        <w:t>AI服务器、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智能控制终端、智能仪器仪表等工业智能网联设备，智能输变电设备、工业绿色微电网等智能电气设备。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(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市科技局、市工业和信息化局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牵头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，市发展改革委等市直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有关部门按职责分工负责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）</w:t>
      </w:r>
    </w:p>
    <w:p w14:paraId="00027542">
      <w:pPr>
        <w:spacing w:line="560" w:lineRule="exact"/>
        <w:ind w:firstLine="643" w:firstLineChars="200"/>
        <w:rPr>
          <w:rFonts w:hint="eastAsia" w:ascii="仿宋" w:hAnsi="仿宋" w:eastAsia="仿宋_GB2312" w:cs="仿宋_GB2312"/>
          <w:sz w:val="32"/>
          <w:szCs w:val="32"/>
          <w:highlight w:val="none"/>
        </w:rPr>
      </w:pPr>
      <w:r>
        <w:rPr>
          <w:rFonts w:hint="eastAsia" w:ascii="仿宋" w:hAnsi="仿宋" w:eastAsia="仿宋_GB2312" w:cs="仿宋_GB2312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_GB2312" w:cs="仿宋_GB2312"/>
          <w:b/>
          <w:bCs/>
          <w:sz w:val="32"/>
          <w:szCs w:val="32"/>
          <w:highlight w:val="none"/>
        </w:rPr>
        <w:t>.</w:t>
      </w:r>
      <w:r>
        <w:rPr>
          <w:rFonts w:hint="eastAsia" w:ascii="仿宋" w:hAnsi="仿宋" w:eastAsia="仿宋_GB2312" w:cs="仿宋_GB2312"/>
          <w:b/>
          <w:bCs/>
          <w:sz w:val="32"/>
          <w:szCs w:val="32"/>
          <w:highlight w:val="none"/>
          <w:lang w:eastAsia="zh-CN"/>
        </w:rPr>
        <w:t>打造“人工智能</w:t>
      </w:r>
      <w:r>
        <w:rPr>
          <w:rFonts w:hint="eastAsia" w:ascii="仿宋" w:hAnsi="仿宋" w:eastAsia="仿宋_GB2312" w:cs="仿宋_GB2312"/>
          <w:b/>
          <w:bCs/>
          <w:sz w:val="32"/>
          <w:szCs w:val="32"/>
          <w:highlight w:val="none"/>
          <w:lang w:val="en-US" w:eastAsia="zh-CN"/>
        </w:rPr>
        <w:t>+工业</w:t>
      </w:r>
      <w:r>
        <w:rPr>
          <w:rFonts w:hint="eastAsia" w:ascii="仿宋" w:hAnsi="仿宋" w:eastAsia="仿宋_GB2312" w:cs="仿宋_GB2312"/>
          <w:b/>
          <w:bCs/>
          <w:sz w:val="32"/>
          <w:szCs w:val="32"/>
          <w:highlight w:val="none"/>
          <w:lang w:eastAsia="zh-CN"/>
        </w:rPr>
        <w:t>”</w:t>
      </w:r>
      <w:r>
        <w:rPr>
          <w:rFonts w:hint="eastAsia" w:ascii="仿宋" w:hAnsi="仿宋" w:eastAsia="仿宋_GB2312" w:cs="仿宋_GB2312"/>
          <w:b/>
          <w:bCs/>
          <w:sz w:val="32"/>
          <w:szCs w:val="32"/>
          <w:highlight w:val="none"/>
        </w:rPr>
        <w:t>应用场景。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加强机器视觉、虚拟仿真、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元宇宙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等人工智能技术在智能决策分析、研发设计、生产制造、检验检测、供应链管理等环节创新应用。在产品设计、营销管理、生产管控、质量管理、安全生产、能耗管理、采购管理、仓储物流、财务管理等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环节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征集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发布一批揭榜挂帅项目，支持工业企业和信息技术服务企业联合打造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人工智能+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应用场景。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(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市发展改革委、市科技局、市工业和信息化局等市直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有关部门按职责分工负责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）</w:t>
      </w:r>
    </w:p>
    <w:p w14:paraId="35DD539A">
      <w:pPr>
        <w:spacing w:line="560" w:lineRule="exact"/>
        <w:ind w:firstLine="643" w:firstLineChars="200"/>
        <w:rPr>
          <w:rFonts w:ascii="仿宋" w:hAnsi="仿宋" w:eastAsia="仿宋_GB2312" w:cs="仿宋_GB2312"/>
          <w:sz w:val="32"/>
          <w:szCs w:val="32"/>
          <w:highlight w:val="none"/>
        </w:rPr>
      </w:pPr>
      <w:r>
        <w:rPr>
          <w:rFonts w:hint="eastAsia" w:ascii="仿宋" w:hAnsi="仿宋" w:eastAsia="仿宋_GB2312" w:cs="仿宋_GB2312"/>
          <w:b/>
          <w:bCs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_GB2312" w:cs="仿宋_GB2312"/>
          <w:b/>
          <w:bCs/>
          <w:sz w:val="32"/>
          <w:szCs w:val="32"/>
          <w:highlight w:val="none"/>
        </w:rPr>
        <w:t>.推广</w:t>
      </w:r>
      <w:r>
        <w:rPr>
          <w:rFonts w:hint="eastAsia" w:ascii="仿宋" w:hAnsi="仿宋" w:eastAsia="仿宋_GB2312" w:cs="仿宋_GB2312"/>
          <w:b/>
          <w:bCs/>
          <w:sz w:val="32"/>
          <w:szCs w:val="32"/>
          <w:highlight w:val="none"/>
          <w:lang w:eastAsia="zh-CN"/>
        </w:rPr>
        <w:t>工业</w:t>
      </w:r>
      <w:r>
        <w:rPr>
          <w:rFonts w:hint="eastAsia" w:ascii="仿宋" w:hAnsi="仿宋" w:eastAsia="仿宋_GB2312" w:cs="仿宋_GB2312"/>
          <w:b/>
          <w:bCs/>
          <w:sz w:val="32"/>
          <w:szCs w:val="32"/>
          <w:highlight w:val="none"/>
        </w:rPr>
        <w:t>大模型应用。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支持链主企业深度应用通用大模型，自主研发迭代一批垂直领域大模型，做精产品预测性维护、智能决策模型、工业质量控制细分场景的专用模型，支持开发轻量、高效、易于部署的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大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模型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培育具有自主知识产权的行业级大模型、场景级大模型。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(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市工业和信息化局牵头，市直有关部门按职责分工负责）</w:t>
      </w:r>
    </w:p>
    <w:p w14:paraId="0BCC4447">
      <w:pPr>
        <w:spacing w:line="560" w:lineRule="exact"/>
        <w:ind w:firstLine="640" w:firstLineChars="200"/>
        <w:rPr>
          <w:rFonts w:ascii="楷体" w:hAnsi="楷体" w:eastAsia="楷体_GB2312" w:cs="仿宋_GB2312"/>
          <w:sz w:val="32"/>
          <w:szCs w:val="32"/>
          <w:highlight w:val="none"/>
        </w:rPr>
      </w:pPr>
      <w:r>
        <w:rPr>
          <w:rFonts w:hint="eastAsia" w:ascii="楷体" w:hAnsi="楷体" w:eastAsia="楷体_GB2312" w:cs="仿宋_GB2312"/>
          <w:sz w:val="32"/>
          <w:szCs w:val="32"/>
          <w:highlight w:val="none"/>
        </w:rPr>
        <w:t>（三）实施基础能力提升行动</w:t>
      </w:r>
    </w:p>
    <w:p w14:paraId="3C31C40B">
      <w:pPr>
        <w:spacing w:line="560" w:lineRule="exact"/>
        <w:ind w:firstLine="643" w:firstLineChars="200"/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_GB2312" w:cs="仿宋_GB2312"/>
          <w:b/>
          <w:bCs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_GB2312" w:cs="仿宋_GB2312"/>
          <w:b/>
          <w:bCs/>
          <w:sz w:val="32"/>
          <w:szCs w:val="32"/>
          <w:highlight w:val="none"/>
        </w:rPr>
        <w:t>.提升网络建设水平。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加快千兆光网和5G网络深度覆盖，分阶段推进万兆光网和5G-A等技术商用部署，优化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网络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、数据中心等网络基础设施，打造“万兆园区”。支持工业企业灵活部署5G专网、IPv6、毫米波5G工业专网等技术应用，助力生产要素广泛互联互通，建设一批5G工厂。优化物联网网络覆盖，推动传感器、智能表计、控制器等感知终端部署应用。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(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市通信发展办公室牵头，市直有关部门按职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责分工负责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）</w:t>
      </w:r>
    </w:p>
    <w:p w14:paraId="6F2CDEB5">
      <w:pPr>
        <w:spacing w:line="560" w:lineRule="exact"/>
        <w:ind w:firstLine="643" w:firstLineChars="200"/>
        <w:rPr>
          <w:rFonts w:hint="eastAsia" w:ascii="仿宋" w:hAnsi="仿宋" w:eastAsia="仿宋_GB2312" w:cs="仿宋_GB2312"/>
          <w:sz w:val="32"/>
          <w:szCs w:val="32"/>
          <w:highlight w:val="none"/>
        </w:rPr>
      </w:pPr>
      <w:r>
        <w:rPr>
          <w:rFonts w:hint="eastAsia" w:ascii="仿宋" w:hAnsi="仿宋" w:eastAsia="仿宋_GB2312" w:cs="仿宋_GB2312"/>
          <w:b/>
          <w:bCs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_GB2312" w:cs="仿宋_GB2312"/>
          <w:b/>
          <w:bCs/>
          <w:sz w:val="32"/>
          <w:szCs w:val="32"/>
          <w:highlight w:val="none"/>
        </w:rPr>
        <w:t>.完善平台支撑体系。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深化工业互联网平台梯次培优，鼓励企业开展平台分类分级试点，探索标识解析在产业链供应链贯通、质量追溯、数据流通等方面的创新应用。鼓励建设一批高性能云计算平台、区块链、数据中心、5G行业虚拟专网、物联网等信息基础设施。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(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市工业和信息化局、市大数据局、市通信发展办公室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牵头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市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直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有关部门按职责分工负责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）</w:t>
      </w:r>
    </w:p>
    <w:p w14:paraId="25BF4510">
      <w:pPr>
        <w:spacing w:line="560" w:lineRule="exact"/>
        <w:ind w:firstLine="643" w:firstLineChars="200"/>
        <w:rPr>
          <w:rFonts w:hint="eastAsia" w:ascii="仿宋" w:hAnsi="仿宋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_GB2312" w:cs="仿宋_GB2312"/>
          <w:b/>
          <w:bCs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" w:hAnsi="仿宋" w:eastAsia="仿宋_GB2312" w:cs="仿宋_GB2312"/>
          <w:b/>
          <w:bCs/>
          <w:sz w:val="32"/>
          <w:szCs w:val="32"/>
          <w:highlight w:val="none"/>
        </w:rPr>
        <w:t>夯实</w:t>
      </w:r>
      <w:r>
        <w:rPr>
          <w:rFonts w:hint="eastAsia" w:ascii="仿宋" w:hAnsi="仿宋" w:eastAsia="仿宋_GB2312" w:cs="仿宋_GB2312"/>
          <w:b/>
          <w:bCs/>
          <w:sz w:val="32"/>
          <w:szCs w:val="32"/>
          <w:highlight w:val="none"/>
          <w:lang w:eastAsia="zh-CN"/>
        </w:rPr>
        <w:t>工业</w:t>
      </w:r>
      <w:r>
        <w:rPr>
          <w:rFonts w:hint="eastAsia" w:ascii="仿宋" w:hAnsi="仿宋" w:eastAsia="仿宋_GB2312" w:cs="仿宋_GB2312"/>
          <w:b/>
          <w:bCs/>
          <w:sz w:val="32"/>
          <w:szCs w:val="32"/>
          <w:highlight w:val="none"/>
        </w:rPr>
        <w:t>数据</w:t>
      </w:r>
      <w:r>
        <w:rPr>
          <w:rFonts w:hint="eastAsia" w:ascii="仿宋" w:hAnsi="仿宋" w:eastAsia="仿宋_GB2312" w:cs="仿宋_GB2312"/>
          <w:b/>
          <w:bCs/>
          <w:sz w:val="32"/>
          <w:szCs w:val="32"/>
          <w:highlight w:val="none"/>
          <w:lang w:eastAsia="zh-CN"/>
        </w:rPr>
        <w:t>要素</w:t>
      </w:r>
      <w:r>
        <w:rPr>
          <w:rFonts w:hint="eastAsia" w:ascii="仿宋" w:hAnsi="仿宋" w:eastAsia="仿宋_GB2312" w:cs="仿宋_GB2312"/>
          <w:b/>
          <w:bCs/>
          <w:sz w:val="32"/>
          <w:szCs w:val="32"/>
          <w:highlight w:val="none"/>
        </w:rPr>
        <w:t>基础。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深化数字化领域的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贯标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，提升两化融合发展水平。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支持行业链主企业、龙头企业及平台企业加快行业数据汇聚和分析应用，构建高质量工业数据语料库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val="en-US" w:eastAsia="zh-CN"/>
        </w:rPr>
        <w:t>培育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建设面向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数智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应用的数据采集、数据标注、数据集建设、数据交易等数据服务产业。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(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市工业和信息化局、市大数据局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牵头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市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直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有关部门按职责分工负责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）</w:t>
      </w:r>
    </w:p>
    <w:p w14:paraId="2E374710">
      <w:pPr>
        <w:spacing w:line="560" w:lineRule="exact"/>
        <w:ind w:firstLine="640" w:firstLineChars="200"/>
        <w:rPr>
          <w:rFonts w:ascii="楷体" w:hAnsi="楷体" w:eastAsia="楷体_GB2312" w:cs="仿宋_GB2312"/>
          <w:sz w:val="32"/>
          <w:szCs w:val="32"/>
          <w:highlight w:val="none"/>
        </w:rPr>
      </w:pPr>
      <w:r>
        <w:rPr>
          <w:rFonts w:hint="eastAsia" w:ascii="楷体" w:hAnsi="楷体" w:eastAsia="楷体_GB2312" w:cs="仿宋_GB2312"/>
          <w:sz w:val="32"/>
          <w:szCs w:val="32"/>
          <w:highlight w:val="none"/>
        </w:rPr>
        <w:t>（四）实施数智生态优化行动</w:t>
      </w:r>
    </w:p>
    <w:p w14:paraId="23A13428">
      <w:pPr>
        <w:spacing w:line="560" w:lineRule="exact"/>
        <w:ind w:firstLine="643" w:firstLineChars="200"/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_GB2312" w:cs="仿宋_GB2312"/>
          <w:b/>
          <w:bCs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_GB2312" w:cs="仿宋_GB2312"/>
          <w:b/>
          <w:bCs/>
          <w:sz w:val="32"/>
          <w:szCs w:val="32"/>
          <w:highlight w:val="none"/>
        </w:rPr>
        <w:t>.完善服务体系。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引进、培育既懂行业又懂数字的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数智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化转型服务商，面向规划咨询、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研发设计类、生产控制类、经营管理类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、IT及平台服务等领域，遴选具有核心服务能力的数字化转型服务商，构建优质服务商“供给清单”，实施分级分类管理和动态调整机制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常态化开展供需对接活动。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(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市工业和信息化局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牵头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_GB2312" w:cs="仿宋_GB2312"/>
          <w:strike w:val="0"/>
          <w:dstrike w:val="0"/>
          <w:sz w:val="32"/>
          <w:szCs w:val="32"/>
          <w:highlight w:val="none"/>
          <w:lang w:eastAsia="zh-CN"/>
        </w:rPr>
        <w:t>市商务局、市大数据局等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市直有关部门按职责分工负责）</w:t>
      </w:r>
    </w:p>
    <w:p w14:paraId="61C72A5B">
      <w:pPr>
        <w:spacing w:line="560" w:lineRule="exact"/>
        <w:ind w:firstLine="643" w:firstLineChars="200"/>
        <w:rPr>
          <w:rFonts w:hint="eastAsia" w:ascii="仿宋" w:hAnsi="仿宋" w:eastAsia="仿宋_GB2312" w:cs="仿宋_GB2312"/>
          <w:sz w:val="32"/>
          <w:szCs w:val="32"/>
          <w:highlight w:val="none"/>
        </w:rPr>
      </w:pPr>
      <w:r>
        <w:rPr>
          <w:rFonts w:hint="eastAsia" w:ascii="仿宋" w:hAnsi="仿宋" w:eastAsia="仿宋_GB2312" w:cs="仿宋_GB2312"/>
          <w:b/>
          <w:bCs/>
          <w:sz w:val="32"/>
          <w:szCs w:val="32"/>
          <w:highlight w:val="none"/>
        </w:rPr>
        <w:t>1</w:t>
      </w:r>
      <w:r>
        <w:rPr>
          <w:rFonts w:hint="eastAsia" w:ascii="仿宋" w:hAnsi="仿宋" w:eastAsia="仿宋_GB2312" w:cs="仿宋_GB2312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_GB2312" w:cs="仿宋_GB2312"/>
          <w:b/>
          <w:bCs/>
          <w:sz w:val="32"/>
          <w:szCs w:val="32"/>
          <w:highlight w:val="none"/>
        </w:rPr>
        <w:t>.加强人才培养。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推行首席数据官（CDO）制度，引导骨干企业与驻泰院校共建数字化领域学科，培育数字工匠、数字工程师等技术技能型人才。依托国家相关人才培养工程和项目，培养工业数智化领域科技领军人才、创新团队。对标行业紧缺人才目录，加强海外高端人才引进，完善人才服务保障机制。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(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市委组织部、市工业和信息化局、市人力资源社会保障局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牵头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市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直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有关部门按职责分工负责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）</w:t>
      </w:r>
    </w:p>
    <w:p w14:paraId="5D0CACDA">
      <w:pPr>
        <w:spacing w:line="560" w:lineRule="exact"/>
        <w:ind w:firstLine="643" w:firstLineChars="200"/>
        <w:rPr>
          <w:rFonts w:hint="eastAsia" w:ascii="仿宋" w:hAnsi="仿宋" w:eastAsia="仿宋_GB2312" w:cs="仿宋_GB2312"/>
          <w:sz w:val="32"/>
          <w:szCs w:val="32"/>
          <w:highlight w:val="none"/>
        </w:rPr>
      </w:pPr>
      <w:r>
        <w:rPr>
          <w:rFonts w:hint="eastAsia" w:ascii="仿宋" w:hAnsi="仿宋" w:eastAsia="仿宋_GB2312" w:cs="仿宋_GB2312"/>
          <w:b/>
          <w:bCs/>
          <w:sz w:val="32"/>
          <w:szCs w:val="32"/>
          <w:highlight w:val="none"/>
        </w:rPr>
        <w:t>1</w:t>
      </w:r>
      <w:r>
        <w:rPr>
          <w:rFonts w:hint="eastAsia" w:ascii="仿宋" w:hAnsi="仿宋" w:eastAsia="仿宋_GB2312" w:cs="仿宋_GB2312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_GB2312" w:cs="仿宋_GB2312"/>
          <w:b/>
          <w:bCs/>
          <w:sz w:val="32"/>
          <w:szCs w:val="32"/>
          <w:highlight w:val="none"/>
        </w:rPr>
        <w:t>.夯实安全保障。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落实工业企业数据安全主体责任，引导企业建立工业互联网和工业数据安全分类分级管理制度，指导落实工业控制安全防护，依托省工业互联网安全态势感知平台，提升企业风险识别和安全防护能力。培育工业领域网络和数据安全服务机构，发展网络和数据安全产业。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(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市工业和信息化局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牵头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市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直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有关部门按职责分工负责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）</w:t>
      </w:r>
    </w:p>
    <w:p w14:paraId="48E7AE91">
      <w:pPr>
        <w:spacing w:line="56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sz w:val="32"/>
          <w:szCs w:val="32"/>
          <w:highlight w:val="none"/>
        </w:rPr>
        <w:t>三、保障措施</w:t>
      </w:r>
    </w:p>
    <w:p w14:paraId="32A5771F">
      <w:pPr>
        <w:spacing w:line="560" w:lineRule="exact"/>
        <w:ind w:firstLine="640" w:firstLineChars="200"/>
        <w:rPr>
          <w:rFonts w:ascii="仿宋" w:hAnsi="仿宋" w:eastAsia="仿宋_GB2312" w:cs="仿宋_GB2312"/>
          <w:sz w:val="32"/>
          <w:szCs w:val="32"/>
          <w:highlight w:val="none"/>
        </w:rPr>
      </w:pP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各相关部门和县（市、区）政府要按照职责分工，上下联动、协同推进方案实施，加强政策有效衔接，形成高效工作机制。统筹各级政策资金，支持工业数智化转型发展。鼓励金融机构创新金融产品和服务，为工业企业数智化转型提供信贷支持。加强动态监测和跟踪分析，确保行动方案落到实处。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(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市工业和信息化局、市财政局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牵头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市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直</w:t>
      </w:r>
      <w:r>
        <w:rPr>
          <w:rFonts w:hint="eastAsia" w:ascii="仿宋" w:hAnsi="仿宋" w:eastAsia="仿宋_GB2312" w:cs="仿宋_GB2312"/>
          <w:sz w:val="32"/>
          <w:szCs w:val="32"/>
          <w:highlight w:val="none"/>
        </w:rPr>
        <w:t>有关部门按职责分工负责</w:t>
      </w:r>
      <w:r>
        <w:rPr>
          <w:rFonts w:hint="eastAsia" w:ascii="仿宋" w:hAnsi="仿宋" w:eastAsia="仿宋_GB2312" w:cs="仿宋_GB2312"/>
          <w:sz w:val="32"/>
          <w:szCs w:val="32"/>
          <w:highlight w:val="none"/>
          <w:lang w:eastAsia="zh-CN"/>
        </w:rPr>
        <w:t>）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02982358"/>
      <w:docPartObj>
        <w:docPartGallery w:val="autotext"/>
      </w:docPartObj>
    </w:sdtPr>
    <w:sdtContent>
      <w:p w14:paraId="75A0D02D">
        <w:pPr>
          <w:pStyle w:val="11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0959A4F">
    <w:pPr>
      <w:pStyle w:val="11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0FC98">
    <w:pPr>
      <w:pStyle w:val="11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3540F">
    <w:pPr>
      <w:pStyle w:val="1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CF96E">
    <w:pPr>
      <w:pStyle w:val="12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03F9B">
    <w:pPr>
      <w:pStyle w:val="12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19F40">
    <w:pPr>
      <w:pStyle w:val="1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AC"/>
    <w:rsid w:val="00076B11"/>
    <w:rsid w:val="000B5452"/>
    <w:rsid w:val="000E7380"/>
    <w:rsid w:val="00173EAC"/>
    <w:rsid w:val="00362B32"/>
    <w:rsid w:val="0036528E"/>
    <w:rsid w:val="003D4936"/>
    <w:rsid w:val="00447122"/>
    <w:rsid w:val="005315F8"/>
    <w:rsid w:val="0065235C"/>
    <w:rsid w:val="006C1885"/>
    <w:rsid w:val="00766C9E"/>
    <w:rsid w:val="00841D55"/>
    <w:rsid w:val="00884FE8"/>
    <w:rsid w:val="008D5E80"/>
    <w:rsid w:val="00AC3E2D"/>
    <w:rsid w:val="00C74316"/>
    <w:rsid w:val="00CF41EC"/>
    <w:rsid w:val="00D64AE1"/>
    <w:rsid w:val="00F22642"/>
    <w:rsid w:val="018D05C8"/>
    <w:rsid w:val="03F92894"/>
    <w:rsid w:val="05A01219"/>
    <w:rsid w:val="06361B7E"/>
    <w:rsid w:val="08241DD2"/>
    <w:rsid w:val="085920D9"/>
    <w:rsid w:val="088077E4"/>
    <w:rsid w:val="0B197C79"/>
    <w:rsid w:val="0B9744EA"/>
    <w:rsid w:val="0C34691B"/>
    <w:rsid w:val="0DCF4DDA"/>
    <w:rsid w:val="0F7D25CB"/>
    <w:rsid w:val="0F7D59F6"/>
    <w:rsid w:val="104E3DB9"/>
    <w:rsid w:val="10D500D4"/>
    <w:rsid w:val="117B48A9"/>
    <w:rsid w:val="129D1FD0"/>
    <w:rsid w:val="133E02C4"/>
    <w:rsid w:val="13920429"/>
    <w:rsid w:val="14153FD6"/>
    <w:rsid w:val="14203274"/>
    <w:rsid w:val="15436ADA"/>
    <w:rsid w:val="16544222"/>
    <w:rsid w:val="178F79B5"/>
    <w:rsid w:val="17B80C6E"/>
    <w:rsid w:val="1AF2200F"/>
    <w:rsid w:val="1AFFCEBC"/>
    <w:rsid w:val="1B1D6FFC"/>
    <w:rsid w:val="1BCB2D28"/>
    <w:rsid w:val="1BDB3E45"/>
    <w:rsid w:val="1CFA0E3F"/>
    <w:rsid w:val="1DB96EC4"/>
    <w:rsid w:val="1DC8425E"/>
    <w:rsid w:val="1F8B663F"/>
    <w:rsid w:val="22F42C65"/>
    <w:rsid w:val="23CD2672"/>
    <w:rsid w:val="247D6D03"/>
    <w:rsid w:val="267B1C9E"/>
    <w:rsid w:val="2750198D"/>
    <w:rsid w:val="27AE7A61"/>
    <w:rsid w:val="28017DE6"/>
    <w:rsid w:val="28571176"/>
    <w:rsid w:val="2A257AC6"/>
    <w:rsid w:val="2A6D6BF8"/>
    <w:rsid w:val="2AD37677"/>
    <w:rsid w:val="2B7A4B5A"/>
    <w:rsid w:val="2B942D1F"/>
    <w:rsid w:val="2CA46F92"/>
    <w:rsid w:val="30790154"/>
    <w:rsid w:val="30E402A4"/>
    <w:rsid w:val="3171464C"/>
    <w:rsid w:val="327153B7"/>
    <w:rsid w:val="328258BC"/>
    <w:rsid w:val="331658DE"/>
    <w:rsid w:val="333F3E87"/>
    <w:rsid w:val="340D1B3C"/>
    <w:rsid w:val="348A4CBF"/>
    <w:rsid w:val="349B2A17"/>
    <w:rsid w:val="35A91A40"/>
    <w:rsid w:val="399F67A7"/>
    <w:rsid w:val="3A64238F"/>
    <w:rsid w:val="3D404A98"/>
    <w:rsid w:val="3F1A1B0F"/>
    <w:rsid w:val="41904606"/>
    <w:rsid w:val="46433A80"/>
    <w:rsid w:val="47802144"/>
    <w:rsid w:val="48030BB8"/>
    <w:rsid w:val="493E3092"/>
    <w:rsid w:val="49560A3B"/>
    <w:rsid w:val="4A3B3197"/>
    <w:rsid w:val="4B2C18E1"/>
    <w:rsid w:val="4B5D4CBF"/>
    <w:rsid w:val="4B7A6191"/>
    <w:rsid w:val="4BA22AF7"/>
    <w:rsid w:val="4BAF3F44"/>
    <w:rsid w:val="4C68125C"/>
    <w:rsid w:val="4D5B4EE4"/>
    <w:rsid w:val="4FD44A54"/>
    <w:rsid w:val="50695A77"/>
    <w:rsid w:val="50746AF7"/>
    <w:rsid w:val="52744B93"/>
    <w:rsid w:val="52C8137C"/>
    <w:rsid w:val="53311071"/>
    <w:rsid w:val="53644E6C"/>
    <w:rsid w:val="56E758A3"/>
    <w:rsid w:val="5826241E"/>
    <w:rsid w:val="58F049CA"/>
    <w:rsid w:val="58F6064A"/>
    <w:rsid w:val="5F97635E"/>
    <w:rsid w:val="61433767"/>
    <w:rsid w:val="62885CDB"/>
    <w:rsid w:val="629C4E5A"/>
    <w:rsid w:val="62C236F2"/>
    <w:rsid w:val="62F04EC6"/>
    <w:rsid w:val="63C33BC6"/>
    <w:rsid w:val="671A2A3A"/>
    <w:rsid w:val="680447AD"/>
    <w:rsid w:val="697509FA"/>
    <w:rsid w:val="69DF63AF"/>
    <w:rsid w:val="6A1471F6"/>
    <w:rsid w:val="6BFD247D"/>
    <w:rsid w:val="6BFD299B"/>
    <w:rsid w:val="6C6F3E6A"/>
    <w:rsid w:val="6D7B0D9A"/>
    <w:rsid w:val="6D9F6377"/>
    <w:rsid w:val="6F052E4D"/>
    <w:rsid w:val="74A621C9"/>
    <w:rsid w:val="7610259A"/>
    <w:rsid w:val="761B087E"/>
    <w:rsid w:val="77FF681F"/>
    <w:rsid w:val="7A827EE4"/>
    <w:rsid w:val="7CBA44E6"/>
    <w:rsid w:val="7D2C7C8E"/>
    <w:rsid w:val="7D6910A4"/>
    <w:rsid w:val="7DBD2A7E"/>
    <w:rsid w:val="7F39127B"/>
    <w:rsid w:val="7F5F857E"/>
    <w:rsid w:val="DFBF8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3525</Words>
  <Characters>3573</Characters>
  <Lines>19</Lines>
  <Paragraphs>5</Paragraphs>
  <TotalTime>354</TotalTime>
  <ScaleCrop>false</ScaleCrop>
  <LinksUpToDate>false</LinksUpToDate>
  <CharactersWithSpaces>3573</CharactersWithSpaces>
  <Application>WPS Office_12.1.0.20783_F1E327BC-269C-435d-A152-05C5408002CA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2025-04-27T18:23:00Z</dcterms:created>
  <dc:creator>px1570@126.com</dc:creator>
  <cp:lastModifiedBy>ROQU</cp:lastModifiedBy>
  <cp:lastPrinted>2025-05-09T01:53:57Z</cp:lastPrinted>
  <dcterms:modified xsi:type="dcterms:W3CDTF">2025-05-09T02:14:13Z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2052-12.1.0.20783</vt:lpwstr>
  </property>
  <property fmtid="{D5CDD505-2E9C-101B-9397-08002B2CF9AE}" pid="3" name="ICV">
    <vt:lpwstr>192D70A9E8FD4643888E21BB70287508_13</vt:lpwstr>
  </property>
  <property fmtid="{D5CDD505-2E9C-101B-9397-08002B2CF9AE}" pid="4" name="KSOTemplateDocerSaveRecord">
    <vt:lpwstr>eyJoZGlkIjoiYTg4OGI1ZmY5ZGNmNzA4MzBjNzYyYjViZDJlN2M4MmIiLCJ1c2VySWQiOiIzOTUxNzExNjQifQ==</vt:lpwstr>
  </property>
</Properties>
</file>