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b w:val="0"/>
          <w:bCs w:val="0"/>
          <w:color w:val="auto"/>
          <w:sz w:val="72"/>
          <w:szCs w:val="72"/>
          <w:highlight w:val="none"/>
        </w:rPr>
      </w:pPr>
      <w:r>
        <w:rPr>
          <w:rFonts w:hint="eastAsia"/>
          <w:b w:val="0"/>
          <w:bCs w:val="0"/>
          <w:color w:val="auto"/>
          <w:sz w:val="72"/>
          <w:szCs w:val="72"/>
          <w:highlight w:val="none"/>
        </w:rPr>
        <w:t>泰 安 市</w:t>
      </w:r>
    </w:p>
    <w:p>
      <w:pPr>
        <w:jc w:val="center"/>
        <w:rPr>
          <w:b w:val="0"/>
          <w:bCs w:val="0"/>
          <w:color w:val="auto"/>
          <w:sz w:val="72"/>
          <w:szCs w:val="72"/>
          <w:highlight w:val="none"/>
        </w:rPr>
      </w:pPr>
      <w:r>
        <w:rPr>
          <w:rFonts w:hint="eastAsia"/>
          <w:b w:val="0"/>
          <w:bCs w:val="0"/>
          <w:color w:val="auto"/>
          <w:sz w:val="72"/>
          <w:szCs w:val="72"/>
          <w:highlight w:val="none"/>
        </w:rPr>
        <w:t>矿产资源总体规划</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宋体" w:hAnsi="宋体" w:cs="宋体"/>
          <w:b/>
          <w:bCs/>
          <w:color w:val="auto"/>
          <w:sz w:val="44"/>
          <w:szCs w:val="44"/>
          <w:highlight w:val="none"/>
        </w:rPr>
      </w:pPr>
      <w:r>
        <w:rPr>
          <w:rFonts w:hint="eastAsia" w:ascii="宋体" w:hAnsi="宋体" w:cs="宋体"/>
          <w:b/>
          <w:bCs/>
          <w:color w:val="auto"/>
          <w:sz w:val="44"/>
          <w:szCs w:val="44"/>
          <w:highlight w:val="none"/>
        </w:rPr>
        <w:t>（2021-2025年）</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ascii="宋体" w:hAnsi="宋体" w:cs="宋体"/>
          <w:color w:val="auto"/>
          <w:sz w:val="36"/>
          <w:szCs w:val="36"/>
          <w:highlight w:val="none"/>
        </w:rPr>
      </w:pPr>
    </w:p>
    <w:p>
      <w:pPr>
        <w:rPr>
          <w:color w:val="auto"/>
          <w:highlight w:val="none"/>
        </w:rPr>
      </w:pPr>
    </w:p>
    <w:p>
      <w:pPr>
        <w:pStyle w:val="2"/>
        <w:rPr>
          <w:color w:val="auto"/>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rPr>
          <w:color w:val="auto"/>
          <w:highlight w:val="none"/>
        </w:rPr>
      </w:pPr>
    </w:p>
    <w:p>
      <w:pPr>
        <w:pStyle w:val="2"/>
        <w:rPr>
          <w:color w:val="auto"/>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start="1"/>
          <w:cols w:space="0" w:num="1"/>
          <w:docGrid w:type="lines" w:linePitch="312" w:charSpace="0"/>
        </w:sectPr>
      </w:pPr>
    </w:p>
    <w:p>
      <w:pPr>
        <w:pStyle w:val="3"/>
        <w:jc w:val="center"/>
        <w:rPr>
          <w:rFonts w:hint="eastAsia" w:ascii="仿宋_GB2312" w:hAnsi="仿宋_GB2312" w:eastAsia="仿宋_GB2312" w:cs="仿宋_GB2312"/>
          <w:b/>
          <w:bCs/>
          <w:color w:val="auto"/>
          <w:sz w:val="40"/>
          <w:szCs w:val="40"/>
          <w:highlight w:val="none"/>
        </w:rPr>
      </w:pPr>
      <w:bookmarkStart w:id="0" w:name="_Toc25951"/>
      <w:bookmarkStart w:id="1" w:name="_Toc6781"/>
      <w:r>
        <w:rPr>
          <w:rFonts w:hint="eastAsia" w:ascii="仿宋_GB2312" w:hAnsi="仿宋_GB2312" w:eastAsia="仿宋_GB2312" w:cs="仿宋_GB2312"/>
          <w:b/>
          <w:bCs/>
          <w:color w:val="auto"/>
          <w:sz w:val="40"/>
          <w:szCs w:val="40"/>
          <w:highlight w:val="none"/>
        </w:rPr>
        <w:t>泰安市矿产资源总体规划（2021-2025年）</w:t>
      </w:r>
    </w:p>
    <w:p>
      <w:pPr>
        <w:pStyle w:val="3"/>
        <w:keepNext/>
        <w:keepLines/>
        <w:pageBreakBefore w:val="0"/>
        <w:widowControl w:val="0"/>
        <w:kinsoku/>
        <w:wordWrap/>
        <w:overflowPunct/>
        <w:topLinePunct w:val="0"/>
        <w:autoSpaceDE/>
        <w:autoSpaceDN/>
        <w:bidi w:val="0"/>
        <w:adjustRightInd/>
        <w:snapToGrid/>
        <w:spacing w:before="100" w:after="157" w:afterLines="50" w:line="600" w:lineRule="exact"/>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总则</w:t>
      </w:r>
      <w:bookmarkEnd w:id="0"/>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为发挥矿产资源在泰安市国民经济和社会发展中的重要支撑作用，促进矿业绿色、高质量发展，以新发展理念为引领，统筹谋划“十四五”期间泰安市矿产资源勘查、开发利用与保护、绿色矿业发展、矿区生态修复的发展大局，根据《中华人民共和国矿产资源法》《矿产资源规划编制实施办法》《自然资源部关于全面开展矿产资源规划（2021-2025年）编制工作的通知》《山东省自然资源厅关于全面开展矿产资源总体规划（2021-2025年）编制工作的通知》等要求，结合泰安市国民经济和社会发展需求，编制《泰安市矿产资源总体规划（2021-2025年）》（以下简称《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规划》是指导泰安市矿产资源勘查、开发利用与保护的纲领性文件，是依法审批和监督管理矿产资源勘查、开发利用、矿山地质环境保护与治理恢复活动的重要依据，是依法开展矿政管理的基础，是加强矿业宏观调控的基本手段，是编制县（市</w:t>
      </w:r>
      <w:r>
        <w:rPr>
          <w:rFonts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rPr>
        <w:t>区）矿产资源总体规划的依据。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《规划》适用于泰安市所辖行政区域。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《规划》以2020年为基准年，规划期为2021年至2025年，展望到2035年。</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color w:val="auto"/>
          <w:sz w:val="32"/>
          <w:szCs w:val="32"/>
          <w:highlight w:val="none"/>
        </w:rPr>
      </w:pPr>
      <w:bookmarkStart w:id="2" w:name="_Toc23938"/>
      <w:bookmarkStart w:id="3" w:name="_Toc8377"/>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rPr>
        <w:t>、指导思想、原则</w:t>
      </w:r>
      <w:bookmarkEnd w:id="2"/>
      <w:bookmarkEnd w:id="3"/>
    </w:p>
    <w:p>
      <w:pPr>
        <w:pStyle w:val="4"/>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4" w:name="_Toc8830"/>
      <w:bookmarkStart w:id="5" w:name="_Toc22497"/>
      <w:r>
        <w:rPr>
          <w:rFonts w:hint="eastAsia" w:ascii="仿宋_GB2312" w:hAnsi="仿宋_GB2312" w:eastAsia="仿宋_GB2312" w:cs="仿宋_GB2312"/>
          <w:b w:val="0"/>
          <w:bCs w:val="0"/>
          <w:color w:val="auto"/>
          <w:sz w:val="32"/>
          <w:szCs w:val="32"/>
          <w:highlight w:val="none"/>
        </w:rPr>
        <w:t>（一）指导思想</w:t>
      </w:r>
      <w:bookmarkEnd w:id="4"/>
      <w:bookmarkEnd w:id="5"/>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坚持以习近平新时代中国特色社会主义思想为指导，全面贯彻党的十九大和十九届二中、三中、四中、五中全会和二十大精神，深入贯彻习近平生态文明思想，认真落实习近平总书记对山东工作的重要指示要求，完整、准确、全面贯彻新发展理念，科学把握新发展阶段，主动融入新发展格局，牢固树立和践行绿水青山就是金山银山的理念，持续深化生态赋能，促进人与自然和谐共生。以满足人民日益增长的美好生活需要为根本目的，主动融入新发展格局，加快培育现代产业体系，深入推进治理体系和治理能力现代化，勇做新时代泰山“挑山工”，为全面建设新时代现代化强市开好局、起好步。坚持矿业生态保护优先,以绿色高质重发展为核心，优化开发保护格局，提高资源利用效率，推进矿产资源管理改革。挖掘本地区优势资源潜力，提高矿产资源保障能力，促进矿业经济健康平稳可持续发展。</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bookmarkStart w:id="6" w:name="_Toc28128"/>
      <w:bookmarkStart w:id="7" w:name="_Toc18028"/>
      <w:r>
        <w:rPr>
          <w:rFonts w:hint="eastAsia" w:ascii="仿宋_GB2312" w:hAnsi="仿宋_GB2312" w:eastAsia="仿宋_GB2312" w:cs="仿宋_GB2312"/>
          <w:b w:val="0"/>
          <w:bCs w:val="0"/>
          <w:color w:val="auto"/>
          <w:sz w:val="32"/>
          <w:szCs w:val="32"/>
          <w:highlight w:val="none"/>
        </w:rPr>
        <w:t>（二）基本原则</w:t>
      </w:r>
      <w:bookmarkEnd w:id="6"/>
      <w:bookmarkEnd w:id="7"/>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bookmarkStart w:id="8" w:name="_Toc19203"/>
      <w:r>
        <w:rPr>
          <w:rFonts w:hint="eastAsia" w:ascii="仿宋_GB2312" w:hAnsi="仿宋_GB2312" w:eastAsia="仿宋_GB2312" w:cs="仿宋_GB2312"/>
          <w:color w:val="auto"/>
          <w:sz w:val="32"/>
          <w:szCs w:val="32"/>
          <w:highlight w:val="none"/>
        </w:rPr>
        <w:t>1.贯彻绿色发展理念，积极推进绿色矿业发展</w:t>
      </w:r>
      <w:bookmarkEnd w:id="8"/>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始终坚持生态保护优先，紧紧围绕生态文明建设总体要求，守住自然生态安全边界，推进资源总量管理、科学配置、节约集约、综合利用。加强绿色矿山建设，实施绿色勘查、绿色开发，促进矿业绿色高质量发展，实现资源开发利用与生态环境保护相协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bookmarkStart w:id="9" w:name="_Toc20747"/>
      <w:r>
        <w:rPr>
          <w:rFonts w:hint="eastAsia" w:ascii="仿宋_GB2312" w:hAnsi="仿宋_GB2312" w:eastAsia="仿宋_GB2312" w:cs="仿宋_GB2312"/>
          <w:color w:val="auto"/>
          <w:sz w:val="32"/>
          <w:szCs w:val="32"/>
          <w:highlight w:val="none"/>
        </w:rPr>
        <w:t>2.加强矿产资源集约、节约利用</w:t>
      </w:r>
      <w:bookmarkEnd w:id="9"/>
      <w:r>
        <w:rPr>
          <w:rFonts w:hint="eastAsia" w:ascii="仿宋_GB2312" w:hAnsi="仿宋_GB2312" w:eastAsia="仿宋_GB2312" w:cs="仿宋_GB2312"/>
          <w:color w:val="auto"/>
          <w:sz w:val="32"/>
          <w:szCs w:val="32"/>
          <w:highlight w:val="none"/>
        </w:rPr>
        <w:t>，提高资源利用效率</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面落实节约优先战略，努力创新资源节约集约利用机制，以资源节约集约利用促进转方式、调结构和生态文明建设。以绿色矿山建设为抓手，鼓励矿山企业使用先进适用技术，支持矿山企业智能化设备改造升级，优选具备条件的大型矿山开展试点，推进智慧矿山建设。提高矿山开采回采率、选矿回收率和综合利用率，进而提升矿产资源利用效率及对经济社会发展的支撑能力。</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bookmarkStart w:id="10" w:name="_Toc13883"/>
      <w:r>
        <w:rPr>
          <w:rFonts w:hint="eastAsia" w:ascii="仿宋_GB2312" w:hAnsi="仿宋_GB2312" w:eastAsia="仿宋_GB2312" w:cs="仿宋_GB2312"/>
          <w:color w:val="auto"/>
          <w:sz w:val="32"/>
          <w:szCs w:val="32"/>
          <w:highlight w:val="none"/>
        </w:rPr>
        <w:t>3.加强宏观调控，促进矿业市场有序健康发展</w:t>
      </w:r>
      <w:bookmarkEnd w:id="10"/>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充分发挥宏观调控的引导约束作用，综合运用经济、法律和必要的行政手段，以保障经济安全、资源有效供给为目标，正确引导和合理确定矿产勘查、开发利用和矿山地质环境保护与治理的空间布局和发展方向，确定资源勘查与开发利用的重点和规模，以市场需求为导向，深入开展市内外投资与加工贸易合作，充分发挥互补优势与合作潜力，建立稳定、多元、开放的市内外资源合作开发体系。</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bookmarkStart w:id="11" w:name="_Toc18623"/>
      <w:r>
        <w:rPr>
          <w:rFonts w:hint="eastAsia" w:ascii="仿宋_GB2312" w:hAnsi="仿宋_GB2312" w:eastAsia="仿宋_GB2312" w:cs="仿宋_GB2312"/>
          <w:color w:val="auto"/>
          <w:sz w:val="32"/>
          <w:szCs w:val="32"/>
          <w:highlight w:val="none"/>
        </w:rPr>
        <w:t>4.坚持共享理念，确保矿业活动惠民利民</w:t>
      </w:r>
      <w:bookmarkEnd w:id="11"/>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加快矿产资源管理制度改革，理顺体制机制，转变管理方式。把治理整顿矿业秩序和建立公平、规范、开放、有序的矿业权市场有机的结合起来，切实做到资源开发与环境保护相协调，为促进地区经济的高质量发展，为全面建设小康社会提供有力的资源保障。</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bookmarkStart w:id="12" w:name="_Toc5514"/>
      <w:bookmarkStart w:id="13" w:name="_Toc12950"/>
      <w:r>
        <w:rPr>
          <w:rFonts w:hint="eastAsia" w:ascii="黑体" w:hAnsi="黑体" w:eastAsia="黑体" w:cs="黑体"/>
          <w:b w:val="0"/>
          <w:bCs w:val="0"/>
          <w:color w:val="auto"/>
          <w:sz w:val="32"/>
          <w:szCs w:val="32"/>
          <w:highlight w:val="none"/>
          <w:lang w:val="en-US" w:eastAsia="zh-CN"/>
        </w:rPr>
        <w:t>二、规划目标</w:t>
      </w:r>
      <w:bookmarkEnd w:id="12"/>
      <w:bookmarkEnd w:id="13"/>
    </w:p>
    <w:p>
      <w:pPr>
        <w:pStyle w:val="4"/>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bookmarkStart w:id="14" w:name="_Toc20021"/>
      <w:bookmarkStart w:id="15" w:name="_Toc14366"/>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2025年规划目标</w:t>
      </w:r>
      <w:bookmarkEnd w:id="14"/>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地质调查工作</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开展大汶河流域1∶5万区域水文地质调查；</w:t>
      </w:r>
      <w:r>
        <w:rPr>
          <w:rFonts w:hint="eastAsia" w:ascii="仿宋_GB2312" w:hAnsi="仿宋_GB2312" w:eastAsia="仿宋_GB2312" w:cs="仿宋_GB2312"/>
          <w:color w:val="auto"/>
          <w:sz w:val="32"/>
          <w:szCs w:val="32"/>
          <w:highlight w:val="none"/>
          <w:lang w:val="zh-CN"/>
        </w:rPr>
        <w:t>开展新泰市1:5万土地质量地球化学调查与评价；</w:t>
      </w:r>
      <w:r>
        <w:rPr>
          <w:rFonts w:hint="eastAsia" w:ascii="仿宋_GB2312" w:hAnsi="仿宋_GB2312" w:eastAsia="仿宋_GB2312" w:cs="仿宋_GB2312"/>
          <w:color w:val="auto"/>
          <w:sz w:val="32"/>
          <w:szCs w:val="32"/>
          <w:highlight w:val="none"/>
        </w:rPr>
        <w:t>在泰山、大汶河廊道及东平湖等不同生态功能区推进生态地质调查评价；探索开展盐穴溶腔、密闭采空区等硐穴资源调查；开展主城区1∶2.5万以上比例尺城市地质调查；建设城市地质大数据共享平台。</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2.矿产勘查</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围绕泰安市重要矿产及优势矿产资源，推进重点勘查项目和重要找矿远景区勘查，加强已知矿集区、矿区深部和外围找矿，积极探索新区，鼓励资源勘查开发，努力实现找矿突破，提高资源保障程度。重点勘查铁、金、地热、岩盐等矿产，夯实资源基础。预计探矿权数量32个，力争规划期内新增大中型矿产地1-2处。</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3.矿产资源开发利用</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合理调控开采总量和采矿权数量，提高矿产资源综合利用水平和规模化开发程度。矿山数量约120个，矿产品开采总量约1.49亿吨。大中型矿山所占比例达到70%以上，矿产资源利用水平进一步提高。</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4.矿区生态修复</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规范矿山地质环境治理恢复基金的管理使用，落实主体责任，新建和生产矿山地质环境得到有效保护和及时治理；历史遗留问题综合治理取得显著成效，基本建成制度完善、责任明确、措施得当、管理到位的矿山地质环境保护和治理工作机制。到2025年，全市基本完成历史遗留矿山的生态修复，生产矿山实行“边开采边治理”全市矿山地质环境治理工作基本实现“不欠旧账、不添新账”的局面。</w:t>
      </w:r>
    </w:p>
    <w:p>
      <w:pPr>
        <w:pStyle w:val="2"/>
      </w:pPr>
    </w:p>
    <w:tbl>
      <w:tblPr>
        <w:tblStyle w:val="13"/>
        <w:tblW w:w="86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7E6E6" w:themeFill="background2"/>
        <w:tblLayout w:type="fixed"/>
        <w:tblCellMar>
          <w:top w:w="0" w:type="dxa"/>
          <w:left w:w="108" w:type="dxa"/>
          <w:bottom w:w="0" w:type="dxa"/>
          <w:right w:w="108" w:type="dxa"/>
        </w:tblCellMar>
      </w:tblPr>
      <w:tblGrid>
        <w:gridCol w:w="1180"/>
        <w:gridCol w:w="3439"/>
        <w:gridCol w:w="1169"/>
        <w:gridCol w:w="1594"/>
        <w:gridCol w:w="1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7E6E6" w:themeFill="background2"/>
          <w:tblCellMar>
            <w:top w:w="0" w:type="dxa"/>
            <w:left w:w="108" w:type="dxa"/>
            <w:bottom w:w="0" w:type="dxa"/>
            <w:right w:w="108" w:type="dxa"/>
          </w:tblCellMar>
        </w:tblPrEx>
        <w:trPr>
          <w:trHeight w:val="625" w:hRule="atLeast"/>
        </w:trPr>
        <w:tc>
          <w:tcPr>
            <w:tcW w:w="8620" w:type="dxa"/>
            <w:gridSpan w:val="5"/>
            <w:tcBorders>
              <w:top w:val="single" w:color="000000" w:sz="4" w:space="0"/>
              <w:left w:val="single" w:color="000000" w:sz="4" w:space="0"/>
              <w:bottom w:val="single" w:color="000000" w:sz="4" w:space="0"/>
            </w:tcBorders>
            <w:shd w:val="clear" w:color="auto" w:fill="CFCECE" w:themeFill="background2" w:themeFillShade="E5"/>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 xml:space="preserve">专栏一    </w:t>
            </w:r>
            <w:r>
              <w:rPr>
                <w:rFonts w:hint="eastAsia" w:ascii="仿宋_GB2312" w:hAnsi="仿宋" w:eastAsia="仿宋_GB2312"/>
                <w:b/>
                <w:color w:val="auto"/>
                <w:szCs w:val="24"/>
                <w:highlight w:val="none"/>
              </w:rPr>
              <w:t>“十四五”泰安市</w:t>
            </w:r>
            <w:r>
              <w:rPr>
                <w:rFonts w:hint="eastAsia" w:ascii="仿宋_GB2312" w:hAnsi="仿宋_GB2312" w:eastAsia="仿宋_GB2312" w:cs="仿宋_GB2312"/>
                <w:b/>
                <w:color w:val="auto"/>
                <w:sz w:val="24"/>
                <w:highlight w:val="none"/>
              </w:rPr>
              <w:t>矿产资源规划主要指标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118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类别</w:t>
            </w:r>
          </w:p>
        </w:tc>
        <w:tc>
          <w:tcPr>
            <w:tcW w:w="3439" w:type="dxa"/>
            <w:tcBorders>
              <w:top w:val="single" w:color="000000" w:sz="4" w:space="0"/>
              <w:left w:val="single" w:color="000000" w:sz="4" w:space="0"/>
              <w:bottom w:val="single" w:color="000000" w:sz="4" w:space="0"/>
              <w:right w:val="single" w:color="auto" w:sz="4" w:space="0"/>
            </w:tcBorders>
            <w:shd w:val="clear" w:color="auto" w:fill="E7E6E6" w:themeFill="background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指标名称</w:t>
            </w:r>
          </w:p>
        </w:tc>
        <w:tc>
          <w:tcPr>
            <w:tcW w:w="1169" w:type="dxa"/>
            <w:tcBorders>
              <w:top w:val="single" w:color="000000" w:sz="4" w:space="0"/>
              <w:left w:val="single" w:color="000000" w:sz="4" w:space="0"/>
              <w:bottom w:val="single" w:color="000000" w:sz="4" w:space="0"/>
              <w:right w:val="single" w:color="auto" w:sz="4" w:space="0"/>
            </w:tcBorders>
            <w:shd w:val="clear" w:color="auto" w:fill="E7E6E6" w:themeFill="background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指标单位</w:t>
            </w:r>
          </w:p>
        </w:tc>
        <w:tc>
          <w:tcPr>
            <w:tcW w:w="1594" w:type="dxa"/>
            <w:tcBorders>
              <w:top w:val="single" w:color="000000" w:sz="4" w:space="0"/>
              <w:left w:val="single" w:color="auto" w:sz="4" w:space="0"/>
              <w:bottom w:val="single" w:color="000000" w:sz="4" w:space="0"/>
              <w:right w:val="single" w:color="000000" w:sz="4" w:space="0"/>
            </w:tcBorders>
            <w:shd w:val="clear" w:color="auto" w:fill="E7E6E6" w:themeFill="background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指标值</w:t>
            </w:r>
          </w:p>
        </w:tc>
        <w:tc>
          <w:tcPr>
            <w:tcW w:w="1238"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指标属性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7E6E6" w:themeFill="background2"/>
          <w:tblCellMar>
            <w:top w:w="0" w:type="dxa"/>
            <w:left w:w="108" w:type="dxa"/>
            <w:bottom w:w="0" w:type="dxa"/>
            <w:right w:w="108" w:type="dxa"/>
          </w:tblCellMar>
        </w:tblPrEx>
        <w:trPr>
          <w:trHeight w:val="476" w:hRule="atLeast"/>
        </w:trPr>
        <w:tc>
          <w:tcPr>
            <w:tcW w:w="1180" w:type="dxa"/>
            <w:vMerge w:val="restart"/>
            <w:tcBorders>
              <w:top w:val="single" w:color="000000" w:sz="4" w:space="0"/>
              <w:left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bCs/>
                <w:color w:val="auto"/>
                <w:highlight w:val="none"/>
              </w:rPr>
            </w:pPr>
            <w:r>
              <w:rPr>
                <w:rFonts w:hint="eastAsia" w:ascii="仿宋_GB2312" w:hAnsi="Times New Roman" w:eastAsia="仿宋_GB2312"/>
                <w:color w:val="auto"/>
                <w:kern w:val="0"/>
                <w:sz w:val="20"/>
                <w:highlight w:val="none"/>
              </w:rPr>
              <w:t>基础性、公益性地质调查</w:t>
            </w:r>
          </w:p>
        </w:tc>
        <w:tc>
          <w:tcPr>
            <w:tcW w:w="3439" w:type="dxa"/>
            <w:tcBorders>
              <w:top w:val="single" w:color="000000" w:sz="4" w:space="0"/>
              <w:left w:val="single" w:color="000000" w:sz="4" w:space="0"/>
              <w:bottom w:val="single" w:color="000000"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1∶5万区域水文地质调查</w:t>
            </w:r>
          </w:p>
        </w:tc>
        <w:tc>
          <w:tcPr>
            <w:tcW w:w="1169" w:type="dxa"/>
            <w:tcBorders>
              <w:top w:val="single" w:color="000000" w:sz="4" w:space="0"/>
              <w:left w:val="single" w:color="000000" w:sz="4" w:space="0"/>
              <w:bottom w:val="single" w:color="000000" w:sz="4" w:space="0"/>
              <w:right w:val="single" w:color="auto" w:sz="4" w:space="0"/>
            </w:tcBorders>
            <w:shd w:val="clear" w:color="auto" w:fill="E7E6E6" w:themeFill="background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bCs/>
                <w:color w:val="auto"/>
                <w:highlight w:val="none"/>
              </w:rPr>
            </w:pPr>
          </w:p>
        </w:tc>
        <w:tc>
          <w:tcPr>
            <w:tcW w:w="1594" w:type="dxa"/>
            <w:tcBorders>
              <w:top w:val="single" w:color="000000" w:sz="4" w:space="0"/>
              <w:left w:val="single" w:color="auto"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大汶河流域</w:t>
            </w:r>
          </w:p>
        </w:tc>
        <w:tc>
          <w:tcPr>
            <w:tcW w:w="1238"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1180" w:type="dxa"/>
            <w:vMerge w:val="continue"/>
            <w:tcBorders>
              <w:left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Times New Roman" w:eastAsia="仿宋_GB2312"/>
                <w:color w:val="auto"/>
                <w:kern w:val="0"/>
                <w:sz w:val="20"/>
                <w:highlight w:val="none"/>
              </w:rPr>
            </w:pPr>
          </w:p>
        </w:tc>
        <w:tc>
          <w:tcPr>
            <w:tcW w:w="3439" w:type="dxa"/>
            <w:tcBorders>
              <w:top w:val="single" w:color="000000" w:sz="4" w:space="0"/>
              <w:left w:val="single" w:color="000000" w:sz="4" w:space="0"/>
              <w:bottom w:val="single" w:color="000000"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zh-CN"/>
              </w:rPr>
              <w:t>1:5万土地质量地球化学调查评价</w:t>
            </w:r>
          </w:p>
        </w:tc>
        <w:tc>
          <w:tcPr>
            <w:tcW w:w="1169" w:type="dxa"/>
            <w:tcBorders>
              <w:top w:val="single" w:color="000000" w:sz="4" w:space="0"/>
              <w:left w:val="single" w:color="000000" w:sz="4" w:space="0"/>
              <w:bottom w:val="single" w:color="000000" w:sz="4" w:space="0"/>
              <w:right w:val="single" w:color="auto" w:sz="4" w:space="0"/>
            </w:tcBorders>
            <w:shd w:val="clear" w:color="auto" w:fill="E7E6E6" w:themeFill="background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bCs/>
                <w:color w:val="auto"/>
                <w:highlight w:val="none"/>
              </w:rPr>
            </w:pPr>
          </w:p>
        </w:tc>
        <w:tc>
          <w:tcPr>
            <w:tcW w:w="1594" w:type="dxa"/>
            <w:tcBorders>
              <w:top w:val="single" w:color="000000" w:sz="4" w:space="0"/>
              <w:left w:val="single" w:color="auto"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新泰幅</w:t>
            </w:r>
          </w:p>
        </w:tc>
        <w:tc>
          <w:tcPr>
            <w:tcW w:w="1238"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7E6E6" w:themeFill="background2"/>
          <w:tblCellMar>
            <w:top w:w="0" w:type="dxa"/>
            <w:left w:w="108" w:type="dxa"/>
            <w:bottom w:w="0" w:type="dxa"/>
            <w:right w:w="108" w:type="dxa"/>
          </w:tblCellMar>
        </w:tblPrEx>
        <w:trPr>
          <w:trHeight w:val="476" w:hRule="atLeast"/>
        </w:trPr>
        <w:tc>
          <w:tcPr>
            <w:tcW w:w="1180" w:type="dxa"/>
            <w:vMerge w:val="continue"/>
            <w:tcBorders>
              <w:left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Times New Roman" w:eastAsia="仿宋_GB2312"/>
                <w:color w:val="auto"/>
                <w:kern w:val="0"/>
                <w:sz w:val="20"/>
                <w:highlight w:val="none"/>
              </w:rPr>
            </w:pPr>
          </w:p>
        </w:tc>
        <w:tc>
          <w:tcPr>
            <w:tcW w:w="3439" w:type="dxa"/>
            <w:tcBorders>
              <w:top w:val="single" w:color="000000" w:sz="4" w:space="0"/>
              <w:left w:val="single" w:color="000000" w:sz="4" w:space="0"/>
              <w:bottom w:val="single" w:color="000000"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生态地质调查评价</w:t>
            </w:r>
          </w:p>
        </w:tc>
        <w:tc>
          <w:tcPr>
            <w:tcW w:w="1169" w:type="dxa"/>
            <w:tcBorders>
              <w:top w:val="single" w:color="000000" w:sz="4" w:space="0"/>
              <w:left w:val="single" w:color="000000" w:sz="4" w:space="0"/>
              <w:bottom w:val="single" w:color="000000" w:sz="4" w:space="0"/>
              <w:right w:val="single" w:color="auto" w:sz="4" w:space="0"/>
            </w:tcBorders>
            <w:shd w:val="clear" w:color="auto" w:fill="E7E6E6" w:themeFill="background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bCs/>
                <w:color w:val="auto"/>
                <w:highlight w:val="none"/>
              </w:rPr>
            </w:pPr>
          </w:p>
        </w:tc>
        <w:tc>
          <w:tcPr>
            <w:tcW w:w="1594" w:type="dxa"/>
            <w:tcBorders>
              <w:top w:val="single" w:color="000000" w:sz="4" w:space="0"/>
              <w:left w:val="single" w:color="auto"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泰山、东平湖</w:t>
            </w:r>
          </w:p>
        </w:tc>
        <w:tc>
          <w:tcPr>
            <w:tcW w:w="1238"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1180" w:type="dxa"/>
            <w:vMerge w:val="continue"/>
            <w:tcBorders>
              <w:left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Times New Roman" w:eastAsia="仿宋_GB2312"/>
                <w:color w:val="auto"/>
                <w:kern w:val="0"/>
                <w:sz w:val="20"/>
                <w:highlight w:val="none"/>
              </w:rPr>
            </w:pPr>
          </w:p>
        </w:tc>
        <w:tc>
          <w:tcPr>
            <w:tcW w:w="3439" w:type="dxa"/>
            <w:tcBorders>
              <w:top w:val="single" w:color="000000" w:sz="4" w:space="0"/>
              <w:left w:val="single" w:color="000000" w:sz="4" w:space="0"/>
              <w:bottom w:val="single" w:color="000000"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硐穴资源调查</w:t>
            </w:r>
          </w:p>
        </w:tc>
        <w:tc>
          <w:tcPr>
            <w:tcW w:w="1169" w:type="dxa"/>
            <w:tcBorders>
              <w:top w:val="single" w:color="000000" w:sz="4" w:space="0"/>
              <w:left w:val="single" w:color="000000" w:sz="4" w:space="0"/>
              <w:bottom w:val="single" w:color="000000" w:sz="4" w:space="0"/>
              <w:right w:val="single" w:color="auto" w:sz="4" w:space="0"/>
            </w:tcBorders>
            <w:shd w:val="clear" w:color="auto" w:fill="E7E6E6" w:themeFill="background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bCs/>
                <w:color w:val="auto"/>
                <w:highlight w:val="none"/>
              </w:rPr>
            </w:pPr>
          </w:p>
        </w:tc>
        <w:tc>
          <w:tcPr>
            <w:tcW w:w="1594" w:type="dxa"/>
            <w:tcBorders>
              <w:top w:val="single" w:color="000000" w:sz="4" w:space="0"/>
              <w:left w:val="single" w:color="auto"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大汶口盆地</w:t>
            </w:r>
          </w:p>
        </w:tc>
        <w:tc>
          <w:tcPr>
            <w:tcW w:w="1238"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1180" w:type="dxa"/>
            <w:vMerge w:val="continue"/>
            <w:tcBorders>
              <w:left w:val="single" w:color="000000"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Times New Roman" w:eastAsia="仿宋_GB2312"/>
                <w:color w:val="auto"/>
                <w:kern w:val="0"/>
                <w:sz w:val="20"/>
                <w:highlight w:val="none"/>
              </w:rPr>
            </w:pPr>
          </w:p>
        </w:tc>
        <w:tc>
          <w:tcPr>
            <w:tcW w:w="3439" w:type="dxa"/>
            <w:tcBorders>
              <w:top w:val="single" w:color="000000" w:sz="4" w:space="0"/>
              <w:left w:val="single" w:color="000000" w:sz="4" w:space="0"/>
              <w:bottom w:val="single" w:color="000000"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城市地质调查</w:t>
            </w:r>
          </w:p>
        </w:tc>
        <w:tc>
          <w:tcPr>
            <w:tcW w:w="1169" w:type="dxa"/>
            <w:tcBorders>
              <w:top w:val="single" w:color="000000" w:sz="4" w:space="0"/>
              <w:left w:val="single" w:color="000000" w:sz="4" w:space="0"/>
              <w:bottom w:val="single" w:color="000000" w:sz="4" w:space="0"/>
              <w:right w:val="single" w:color="auto" w:sz="4" w:space="0"/>
            </w:tcBorders>
            <w:shd w:val="clear" w:color="auto" w:fill="E7E6E6" w:themeFill="background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bCs/>
                <w:color w:val="auto"/>
                <w:highlight w:val="none"/>
              </w:rPr>
            </w:pPr>
          </w:p>
        </w:tc>
        <w:tc>
          <w:tcPr>
            <w:tcW w:w="1594" w:type="dxa"/>
            <w:tcBorders>
              <w:top w:val="single" w:color="000000" w:sz="4" w:space="0"/>
              <w:left w:val="single" w:color="auto"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泰安主城区</w:t>
            </w:r>
          </w:p>
        </w:tc>
        <w:tc>
          <w:tcPr>
            <w:tcW w:w="1238"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1180" w:type="dxa"/>
            <w:vMerge w:val="restart"/>
            <w:tcBorders>
              <w:top w:val="single" w:color="000000" w:sz="4" w:space="0"/>
              <w:left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矿产资源勘查</w:t>
            </w:r>
          </w:p>
        </w:tc>
        <w:tc>
          <w:tcPr>
            <w:tcW w:w="3439" w:type="dxa"/>
            <w:tcBorders>
              <w:top w:val="single" w:color="000000" w:sz="4" w:space="0"/>
              <w:left w:val="single" w:color="000000" w:sz="4" w:space="0"/>
              <w:bottom w:val="single" w:color="000000"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探矿权数量</w:t>
            </w:r>
          </w:p>
        </w:tc>
        <w:tc>
          <w:tcPr>
            <w:tcW w:w="1169" w:type="dxa"/>
            <w:tcBorders>
              <w:top w:val="single" w:color="000000" w:sz="4" w:space="0"/>
              <w:left w:val="single" w:color="000000" w:sz="4" w:space="0"/>
              <w:bottom w:val="single" w:color="000000"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个</w:t>
            </w:r>
          </w:p>
        </w:tc>
        <w:tc>
          <w:tcPr>
            <w:tcW w:w="1594" w:type="dxa"/>
            <w:tcBorders>
              <w:top w:val="single" w:color="000000" w:sz="4" w:space="0"/>
              <w:left w:val="single" w:color="auto"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32</w:t>
            </w:r>
          </w:p>
        </w:tc>
        <w:tc>
          <w:tcPr>
            <w:tcW w:w="1238"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7E6E6" w:themeFill="background2"/>
          <w:tblCellMar>
            <w:top w:w="0" w:type="dxa"/>
            <w:left w:w="108" w:type="dxa"/>
            <w:bottom w:w="0" w:type="dxa"/>
            <w:right w:w="108" w:type="dxa"/>
          </w:tblCellMar>
        </w:tblPrEx>
        <w:trPr>
          <w:trHeight w:val="476" w:hRule="atLeast"/>
        </w:trPr>
        <w:tc>
          <w:tcPr>
            <w:tcW w:w="1180" w:type="dxa"/>
            <w:vMerge w:val="continue"/>
            <w:tcBorders>
              <w:left w:val="single" w:color="000000"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p>
        </w:tc>
        <w:tc>
          <w:tcPr>
            <w:tcW w:w="3439" w:type="dxa"/>
            <w:tcBorders>
              <w:top w:val="single" w:color="000000" w:sz="4" w:space="0"/>
              <w:left w:val="single" w:color="000000" w:sz="4" w:space="0"/>
              <w:bottom w:val="single" w:color="000000"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新发现矿产地</w:t>
            </w:r>
          </w:p>
        </w:tc>
        <w:tc>
          <w:tcPr>
            <w:tcW w:w="1169" w:type="dxa"/>
            <w:tcBorders>
              <w:top w:val="single" w:color="000000" w:sz="4" w:space="0"/>
              <w:left w:val="single" w:color="000000" w:sz="4" w:space="0"/>
              <w:bottom w:val="single" w:color="000000"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处</w:t>
            </w:r>
          </w:p>
        </w:tc>
        <w:tc>
          <w:tcPr>
            <w:tcW w:w="1594" w:type="dxa"/>
            <w:tcBorders>
              <w:top w:val="single" w:color="000000" w:sz="4" w:space="0"/>
              <w:left w:val="single" w:color="auto"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bCs/>
                <w:color w:val="auto"/>
                <w:szCs w:val="24"/>
                <w:highlight w:val="none"/>
              </w:rPr>
              <w:t>1-</w:t>
            </w:r>
            <w:r>
              <w:rPr>
                <w:rFonts w:hint="eastAsia" w:ascii="仿宋_GB2312" w:hAnsi="仿宋_GB2312" w:eastAsia="仿宋_GB2312" w:cs="仿宋_GB2312"/>
                <w:color w:val="auto"/>
                <w:highlight w:val="none"/>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1180" w:type="dxa"/>
            <w:vMerge w:val="restart"/>
            <w:tcBorders>
              <w:top w:val="single" w:color="auto" w:sz="4" w:space="0"/>
              <w:left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矿产资源开发利用与保护</w:t>
            </w:r>
          </w:p>
        </w:tc>
        <w:tc>
          <w:tcPr>
            <w:tcW w:w="3439" w:type="dxa"/>
            <w:tcBorders>
              <w:top w:val="single" w:color="000000"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采矿权数量</w:t>
            </w:r>
          </w:p>
        </w:tc>
        <w:tc>
          <w:tcPr>
            <w:tcW w:w="1169" w:type="dxa"/>
            <w:tcBorders>
              <w:top w:val="single" w:color="000000" w:sz="4" w:space="0"/>
              <w:left w:val="single" w:color="000000" w:sz="4" w:space="0"/>
              <w:bottom w:val="single" w:color="000000"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个</w:t>
            </w:r>
          </w:p>
        </w:tc>
        <w:tc>
          <w:tcPr>
            <w:tcW w:w="1594" w:type="dxa"/>
            <w:tcBorders>
              <w:top w:val="single" w:color="000000" w:sz="4" w:space="0"/>
              <w:left w:val="single" w:color="auto"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120</w:t>
            </w:r>
          </w:p>
        </w:tc>
        <w:tc>
          <w:tcPr>
            <w:tcW w:w="1238"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1180" w:type="dxa"/>
            <w:vMerge w:val="continue"/>
            <w:tcBorders>
              <w:left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p>
        </w:tc>
        <w:tc>
          <w:tcPr>
            <w:tcW w:w="3439" w:type="dxa"/>
            <w:tcBorders>
              <w:top w:val="single" w:color="auto"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矿产开采总量</w:t>
            </w:r>
          </w:p>
        </w:tc>
        <w:tc>
          <w:tcPr>
            <w:tcW w:w="1169" w:type="dxa"/>
            <w:tcBorders>
              <w:top w:val="single" w:color="000000"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亿吨</w:t>
            </w:r>
          </w:p>
        </w:tc>
        <w:tc>
          <w:tcPr>
            <w:tcW w:w="1594" w:type="dxa"/>
            <w:tcBorders>
              <w:top w:val="single" w:color="000000" w:sz="4" w:space="0"/>
              <w:left w:val="single" w:color="auto" w:sz="4" w:space="0"/>
              <w:bottom w:val="single" w:color="auto"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1.46</w:t>
            </w:r>
          </w:p>
        </w:tc>
        <w:tc>
          <w:tcPr>
            <w:tcW w:w="1238" w:type="dxa"/>
            <w:tcBorders>
              <w:top w:val="single" w:color="000000" w:sz="4" w:space="0"/>
              <w:left w:val="single" w:color="000000" w:sz="4" w:space="0"/>
              <w:bottom w:val="single" w:color="auto"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1180" w:type="dxa"/>
            <w:vMerge w:val="continue"/>
            <w:tcBorders>
              <w:left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p>
        </w:tc>
        <w:tc>
          <w:tcPr>
            <w:tcW w:w="3439" w:type="dxa"/>
            <w:tcBorders>
              <w:top w:val="single" w:color="000000"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rPr>
              <w:t>煤</w:t>
            </w:r>
            <w:r>
              <w:rPr>
                <w:rFonts w:hint="eastAsia" w:ascii="仿宋_GB2312" w:hAnsi="仿宋_GB2312" w:eastAsia="仿宋_GB2312" w:cs="仿宋_GB2312"/>
                <w:color w:val="auto"/>
                <w:highlight w:val="none"/>
              </w:rPr>
              <w:t>矿</w:t>
            </w:r>
          </w:p>
        </w:tc>
        <w:tc>
          <w:tcPr>
            <w:tcW w:w="1169" w:type="dxa"/>
            <w:tcBorders>
              <w:top w:val="single" w:color="000000"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rPr>
              <w:t>万吨</w:t>
            </w:r>
          </w:p>
        </w:tc>
        <w:tc>
          <w:tcPr>
            <w:tcW w:w="1594" w:type="dxa"/>
            <w:tcBorders>
              <w:top w:val="single" w:color="000000" w:sz="4" w:space="0"/>
              <w:left w:val="single" w:color="auto" w:sz="4" w:space="0"/>
              <w:bottom w:val="single" w:color="auto" w:sz="4" w:space="0"/>
              <w:right w:val="single" w:color="000000" w:sz="4" w:space="0"/>
            </w:tcBorders>
            <w:shd w:val="clear" w:color="auto" w:fill="E7E6E6" w:themeFill="background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0"/>
                <w:szCs w:val="20"/>
                <w:highlight w:val="none"/>
                <w:lang w:bidi="ar"/>
              </w:rPr>
              <w:t>1000</w:t>
            </w:r>
          </w:p>
        </w:tc>
        <w:tc>
          <w:tcPr>
            <w:tcW w:w="1238" w:type="dxa"/>
            <w:tcBorders>
              <w:top w:val="single" w:color="000000" w:sz="4" w:space="0"/>
              <w:left w:val="single" w:color="000000" w:sz="4" w:space="0"/>
              <w:bottom w:val="single" w:color="auto"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1180" w:type="dxa"/>
            <w:vMerge w:val="continue"/>
            <w:tcBorders>
              <w:left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p>
        </w:tc>
        <w:tc>
          <w:tcPr>
            <w:tcW w:w="3439" w:type="dxa"/>
            <w:tcBorders>
              <w:top w:val="single" w:color="000000"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rPr>
              <w:t>铁</w:t>
            </w:r>
            <w:r>
              <w:rPr>
                <w:rFonts w:hint="eastAsia" w:ascii="仿宋_GB2312" w:hAnsi="仿宋_GB2312" w:eastAsia="仿宋_GB2312" w:cs="仿宋_GB2312"/>
                <w:color w:val="auto"/>
                <w:highlight w:val="none"/>
              </w:rPr>
              <w:t>矿</w:t>
            </w:r>
          </w:p>
        </w:tc>
        <w:tc>
          <w:tcPr>
            <w:tcW w:w="1169" w:type="dxa"/>
            <w:tcBorders>
              <w:top w:val="single" w:color="000000"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rPr>
              <w:t>万吨</w:t>
            </w:r>
          </w:p>
        </w:tc>
        <w:tc>
          <w:tcPr>
            <w:tcW w:w="1594" w:type="dxa"/>
            <w:tcBorders>
              <w:top w:val="single" w:color="000000" w:sz="4" w:space="0"/>
              <w:left w:val="single" w:color="auto" w:sz="4" w:space="0"/>
              <w:bottom w:val="single" w:color="auto" w:sz="4" w:space="0"/>
              <w:right w:val="single" w:color="000000" w:sz="4" w:space="0"/>
            </w:tcBorders>
            <w:shd w:val="clear" w:color="auto" w:fill="E7E6E6" w:themeFill="background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0"/>
                <w:szCs w:val="20"/>
                <w:highlight w:val="none"/>
                <w:lang w:bidi="ar"/>
              </w:rPr>
              <w:t>915</w:t>
            </w:r>
          </w:p>
        </w:tc>
        <w:tc>
          <w:tcPr>
            <w:tcW w:w="1238" w:type="dxa"/>
            <w:tcBorders>
              <w:top w:val="single" w:color="000000" w:sz="4" w:space="0"/>
              <w:left w:val="single" w:color="000000" w:sz="4" w:space="0"/>
              <w:bottom w:val="single" w:color="auto"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1180" w:type="dxa"/>
            <w:vMerge w:val="continue"/>
            <w:tcBorders>
              <w:left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p>
        </w:tc>
        <w:tc>
          <w:tcPr>
            <w:tcW w:w="3439" w:type="dxa"/>
            <w:tcBorders>
              <w:top w:val="single" w:color="000000"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石膏</w:t>
            </w:r>
          </w:p>
        </w:tc>
        <w:tc>
          <w:tcPr>
            <w:tcW w:w="1169" w:type="dxa"/>
            <w:tcBorders>
              <w:top w:val="single" w:color="000000"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万吨</w:t>
            </w:r>
          </w:p>
        </w:tc>
        <w:tc>
          <w:tcPr>
            <w:tcW w:w="1594" w:type="dxa"/>
            <w:tcBorders>
              <w:top w:val="single" w:color="000000" w:sz="4" w:space="0"/>
              <w:left w:val="single" w:color="auto" w:sz="4" w:space="0"/>
              <w:bottom w:val="single" w:color="auto" w:sz="4" w:space="0"/>
              <w:right w:val="single" w:color="000000" w:sz="4" w:space="0"/>
            </w:tcBorders>
            <w:shd w:val="clear" w:color="auto" w:fill="E7E6E6" w:themeFill="background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0"/>
                <w:szCs w:val="20"/>
                <w:highlight w:val="none"/>
                <w:lang w:bidi="ar"/>
              </w:rPr>
              <w:t>225</w:t>
            </w:r>
          </w:p>
        </w:tc>
        <w:tc>
          <w:tcPr>
            <w:tcW w:w="1238" w:type="dxa"/>
            <w:tcBorders>
              <w:top w:val="single" w:color="000000" w:sz="4" w:space="0"/>
              <w:left w:val="single" w:color="000000" w:sz="4" w:space="0"/>
              <w:bottom w:val="single" w:color="auto"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7E6E6" w:themeFill="background2"/>
          <w:tblCellMar>
            <w:top w:w="0" w:type="dxa"/>
            <w:left w:w="108" w:type="dxa"/>
            <w:bottom w:w="0" w:type="dxa"/>
            <w:right w:w="108" w:type="dxa"/>
          </w:tblCellMar>
        </w:tblPrEx>
        <w:trPr>
          <w:trHeight w:val="476" w:hRule="atLeast"/>
        </w:trPr>
        <w:tc>
          <w:tcPr>
            <w:tcW w:w="1180" w:type="dxa"/>
            <w:vMerge w:val="continue"/>
            <w:tcBorders>
              <w:left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p>
        </w:tc>
        <w:tc>
          <w:tcPr>
            <w:tcW w:w="3439" w:type="dxa"/>
            <w:tcBorders>
              <w:top w:val="single" w:color="000000"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岩盐</w:t>
            </w:r>
          </w:p>
        </w:tc>
        <w:tc>
          <w:tcPr>
            <w:tcW w:w="1169" w:type="dxa"/>
            <w:tcBorders>
              <w:top w:val="single" w:color="000000"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万吨</w:t>
            </w:r>
          </w:p>
        </w:tc>
        <w:tc>
          <w:tcPr>
            <w:tcW w:w="1594" w:type="dxa"/>
            <w:tcBorders>
              <w:top w:val="single" w:color="000000" w:sz="4" w:space="0"/>
              <w:left w:val="single" w:color="auto" w:sz="4" w:space="0"/>
              <w:bottom w:val="single" w:color="auto" w:sz="4" w:space="0"/>
              <w:right w:val="single" w:color="000000" w:sz="4" w:space="0"/>
            </w:tcBorders>
            <w:shd w:val="clear" w:color="auto" w:fill="E7E6E6" w:themeFill="background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0"/>
                <w:szCs w:val="20"/>
                <w:highlight w:val="none"/>
                <w:lang w:bidi="ar"/>
              </w:rPr>
              <w:t>2000</w:t>
            </w:r>
          </w:p>
        </w:tc>
        <w:tc>
          <w:tcPr>
            <w:tcW w:w="1238" w:type="dxa"/>
            <w:tcBorders>
              <w:top w:val="single" w:color="000000" w:sz="4" w:space="0"/>
              <w:left w:val="single" w:color="000000" w:sz="4" w:space="0"/>
              <w:bottom w:val="single" w:color="auto"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7E6E6" w:themeFill="background2"/>
          <w:tblCellMar>
            <w:top w:w="0" w:type="dxa"/>
            <w:left w:w="108" w:type="dxa"/>
            <w:bottom w:w="0" w:type="dxa"/>
            <w:right w:w="108" w:type="dxa"/>
          </w:tblCellMar>
        </w:tblPrEx>
        <w:trPr>
          <w:trHeight w:val="476" w:hRule="atLeast"/>
        </w:trPr>
        <w:tc>
          <w:tcPr>
            <w:tcW w:w="1180" w:type="dxa"/>
            <w:vMerge w:val="continue"/>
            <w:tcBorders>
              <w:left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p>
        </w:tc>
        <w:tc>
          <w:tcPr>
            <w:tcW w:w="3439" w:type="dxa"/>
            <w:tcBorders>
              <w:top w:val="single" w:color="000000"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rPr>
              <w:t>水泥用灰岩</w:t>
            </w:r>
          </w:p>
        </w:tc>
        <w:tc>
          <w:tcPr>
            <w:tcW w:w="1169" w:type="dxa"/>
            <w:tcBorders>
              <w:top w:val="single" w:color="000000"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rPr>
              <w:t>万吨</w:t>
            </w:r>
          </w:p>
        </w:tc>
        <w:tc>
          <w:tcPr>
            <w:tcW w:w="1594" w:type="dxa"/>
            <w:tcBorders>
              <w:top w:val="single" w:color="000000" w:sz="4" w:space="0"/>
              <w:left w:val="single" w:color="auto" w:sz="4" w:space="0"/>
              <w:bottom w:val="single" w:color="auto" w:sz="4" w:space="0"/>
              <w:right w:val="single" w:color="000000" w:sz="4" w:space="0"/>
            </w:tcBorders>
            <w:shd w:val="clear" w:color="auto" w:fill="E7E6E6" w:themeFill="background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0"/>
                <w:szCs w:val="20"/>
                <w:highlight w:val="none"/>
                <w:lang w:bidi="ar"/>
              </w:rPr>
              <w:t>1500</w:t>
            </w:r>
          </w:p>
        </w:tc>
        <w:tc>
          <w:tcPr>
            <w:tcW w:w="1238" w:type="dxa"/>
            <w:tcBorders>
              <w:top w:val="single" w:color="000000" w:sz="4" w:space="0"/>
              <w:left w:val="single" w:color="000000" w:sz="4" w:space="0"/>
              <w:bottom w:val="single" w:color="auto"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1180" w:type="dxa"/>
            <w:vMerge w:val="continue"/>
            <w:tcBorders>
              <w:left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p>
        </w:tc>
        <w:tc>
          <w:tcPr>
            <w:tcW w:w="3439" w:type="dxa"/>
            <w:tcBorders>
              <w:top w:val="single" w:color="000000"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rPr>
              <w:t>饰面用花岗岩</w:t>
            </w:r>
          </w:p>
        </w:tc>
        <w:tc>
          <w:tcPr>
            <w:tcW w:w="1169" w:type="dxa"/>
            <w:tcBorders>
              <w:top w:val="single" w:color="000000"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rPr>
              <w:t>万吨</w:t>
            </w:r>
          </w:p>
        </w:tc>
        <w:tc>
          <w:tcPr>
            <w:tcW w:w="1594" w:type="dxa"/>
            <w:tcBorders>
              <w:top w:val="single" w:color="000000" w:sz="4" w:space="0"/>
              <w:left w:val="single" w:color="auto" w:sz="4" w:space="0"/>
              <w:bottom w:val="single" w:color="auto" w:sz="4" w:space="0"/>
              <w:right w:val="single" w:color="000000" w:sz="4" w:space="0"/>
            </w:tcBorders>
            <w:shd w:val="clear" w:color="auto" w:fill="E7E6E6" w:themeFill="background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0"/>
                <w:szCs w:val="20"/>
                <w:highlight w:val="none"/>
                <w:lang w:bidi="ar"/>
              </w:rPr>
              <w:t>450</w:t>
            </w:r>
          </w:p>
        </w:tc>
        <w:tc>
          <w:tcPr>
            <w:tcW w:w="1238" w:type="dxa"/>
            <w:tcBorders>
              <w:top w:val="single" w:color="000000" w:sz="4" w:space="0"/>
              <w:left w:val="single" w:color="000000" w:sz="4" w:space="0"/>
              <w:bottom w:val="single" w:color="auto"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1180" w:type="dxa"/>
            <w:vMerge w:val="continue"/>
            <w:tcBorders>
              <w:left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p>
        </w:tc>
        <w:tc>
          <w:tcPr>
            <w:tcW w:w="3439" w:type="dxa"/>
            <w:tcBorders>
              <w:top w:val="single" w:color="000000"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rPr>
              <w:t>建筑用砂石</w:t>
            </w:r>
          </w:p>
        </w:tc>
        <w:tc>
          <w:tcPr>
            <w:tcW w:w="1169" w:type="dxa"/>
            <w:tcBorders>
              <w:top w:val="single" w:color="000000"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rPr>
              <w:t>万吨</w:t>
            </w:r>
          </w:p>
        </w:tc>
        <w:tc>
          <w:tcPr>
            <w:tcW w:w="1594" w:type="dxa"/>
            <w:tcBorders>
              <w:top w:val="single" w:color="000000" w:sz="4" w:space="0"/>
              <w:left w:val="single" w:color="auto" w:sz="4" w:space="0"/>
              <w:bottom w:val="single" w:color="auto"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8500</w:t>
            </w:r>
          </w:p>
        </w:tc>
        <w:tc>
          <w:tcPr>
            <w:tcW w:w="1238" w:type="dxa"/>
            <w:tcBorders>
              <w:top w:val="single" w:color="000000" w:sz="4" w:space="0"/>
              <w:left w:val="single" w:color="000000" w:sz="4" w:space="0"/>
              <w:bottom w:val="single" w:color="auto"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7E6E6" w:themeFill="background2"/>
          <w:tblCellMar>
            <w:top w:w="0" w:type="dxa"/>
            <w:left w:w="108" w:type="dxa"/>
            <w:bottom w:w="0" w:type="dxa"/>
            <w:right w:w="108" w:type="dxa"/>
          </w:tblCellMar>
        </w:tblPrEx>
        <w:trPr>
          <w:trHeight w:val="476" w:hRule="atLeast"/>
        </w:trPr>
        <w:tc>
          <w:tcPr>
            <w:tcW w:w="1180" w:type="dxa"/>
            <w:vMerge w:val="continue"/>
            <w:tcBorders>
              <w:left w:val="single" w:color="000000"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p>
        </w:tc>
        <w:tc>
          <w:tcPr>
            <w:tcW w:w="3439" w:type="dxa"/>
            <w:tcBorders>
              <w:top w:val="single" w:color="000000"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大中型矿山比例</w:t>
            </w:r>
          </w:p>
        </w:tc>
        <w:tc>
          <w:tcPr>
            <w:tcW w:w="1169" w:type="dxa"/>
            <w:tcBorders>
              <w:top w:val="single" w:color="000000" w:sz="4" w:space="0"/>
              <w:left w:val="single" w:color="000000" w:sz="4" w:space="0"/>
              <w:bottom w:val="single" w:color="auto" w:sz="4" w:space="0"/>
              <w:right w:val="single" w:color="auto"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p>
        </w:tc>
        <w:tc>
          <w:tcPr>
            <w:tcW w:w="1594" w:type="dxa"/>
            <w:tcBorders>
              <w:top w:val="single" w:color="000000" w:sz="4" w:space="0"/>
              <w:left w:val="single" w:color="auto" w:sz="4" w:space="0"/>
              <w:bottom w:val="single" w:color="auto"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≥70</w:t>
            </w:r>
          </w:p>
        </w:tc>
        <w:tc>
          <w:tcPr>
            <w:tcW w:w="1238" w:type="dxa"/>
            <w:tcBorders>
              <w:top w:val="single" w:color="000000" w:sz="4" w:space="0"/>
              <w:left w:val="single" w:color="000000" w:sz="4" w:space="0"/>
              <w:bottom w:val="single" w:color="auto" w:sz="4" w:space="0"/>
              <w:right w:val="single" w:color="000000" w:sz="4" w:space="0"/>
            </w:tcBorders>
            <w:shd w:val="clear" w:color="auto" w:fill="E7E6E6" w:themeFill="background2"/>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预期性</w:t>
            </w:r>
          </w:p>
        </w:tc>
      </w:tr>
    </w:tbl>
    <w:p>
      <w:pPr>
        <w:pStyle w:val="4"/>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）2035年远景目标</w:t>
      </w:r>
      <w:bookmarkEnd w:id="15"/>
    </w:p>
    <w:p>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到2035年，全市矿业生产基本实现现代化，矿业发展与生态文明有机融合，矿产资源对国民经济和社会发展的支撑能力得到进一步加强，矿产资源勘查、开发利用全周期绿色管控全面实现，矿产资源利用更加集约高效，智能化绿色矿山建设全面完成，数字矿业平台基本建成，未来矿山初见成效，全市矿产资源治理体系和治理能力现代化</w:t>
      </w:r>
      <w:bookmarkStart w:id="74" w:name="_GoBack"/>
      <w:bookmarkEnd w:id="74"/>
      <w:r>
        <w:rPr>
          <w:rFonts w:hint="eastAsia" w:ascii="仿宋_GB2312" w:hAnsi="仿宋_GB2312" w:eastAsia="仿宋_GB2312" w:cs="仿宋_GB2312"/>
          <w:color w:val="auto"/>
          <w:sz w:val="32"/>
          <w:szCs w:val="32"/>
          <w:highlight w:val="none"/>
        </w:rPr>
        <w:t>基本实现。</w:t>
      </w:r>
    </w:p>
    <w:p>
      <w:pPr>
        <w:pStyle w:val="3"/>
        <w:pageBreakBefore w:val="0"/>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color w:val="auto"/>
          <w:sz w:val="32"/>
          <w:szCs w:val="32"/>
          <w:highlight w:val="none"/>
        </w:rPr>
      </w:pPr>
      <w:bookmarkStart w:id="16" w:name="_Toc17616"/>
      <w:bookmarkStart w:id="17" w:name="_Toc25875"/>
      <w:r>
        <w:rPr>
          <w:rFonts w:hint="eastAsia" w:ascii="黑体" w:hAnsi="黑体" w:eastAsia="黑体" w:cs="黑体"/>
          <w:b w:val="0"/>
          <w:bCs w:val="0"/>
          <w:color w:val="auto"/>
          <w:sz w:val="32"/>
          <w:szCs w:val="32"/>
          <w:highlight w:val="none"/>
        </w:rPr>
        <w:t>三、矿产勘查开发与保护布局</w:t>
      </w:r>
      <w:bookmarkEnd w:id="16"/>
      <w:bookmarkEnd w:id="17"/>
    </w:p>
    <w:p>
      <w:pPr>
        <w:pStyle w:val="4"/>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18" w:name="_Toc20518"/>
      <w:bookmarkStart w:id="19" w:name="_Toc11316"/>
      <w:r>
        <w:rPr>
          <w:rFonts w:hint="eastAsia" w:ascii="仿宋_GB2312" w:hAnsi="仿宋_GB2312" w:eastAsia="仿宋_GB2312" w:cs="仿宋_GB2312"/>
          <w:b w:val="0"/>
          <w:bCs w:val="0"/>
          <w:color w:val="auto"/>
          <w:sz w:val="32"/>
          <w:szCs w:val="32"/>
          <w:highlight w:val="none"/>
        </w:rPr>
        <w:t>（一）矿产资源勘查开采调控方向</w:t>
      </w:r>
      <w:bookmarkEnd w:id="18"/>
      <w:bookmarkEnd w:id="19"/>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落实国家和山东省矿产资源安全战略，结合泰安市实际，合理确定重点、限制勘查开采矿种</w:t>
      </w: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1.重点勘查开采矿种</w:t>
      </w: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重点勘查矿种：地热、金、铁、萤石、饰面用花岗岩、矿泉水等。</w:t>
      </w: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重点开采矿种：煤炭、铁、岩盐、饰面用花岗岩、建筑石料用灰岩等。</w:t>
      </w: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重点勘查开采的矿种，加强各级财政资金勘查投入，提供更多基础地质信息，优先探矿权投放，鼓励社会资金投入。优化资源配置，推动资源规模化、集约化开发，严格按照规划区块设置投放采矿权，加强矿山日常监管，切实保护生态环境。严格规范矿业权出让登记准入管理，提升勘查开采质量和水平。 </w:t>
      </w: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2.限制勘查开采矿种</w:t>
      </w: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限制勘查开采矿种：水泥用灰岩、石膏。</w:t>
      </w: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限制勘查开采的矿种，严格矿业权出让登记管理，依据资源供需形势对其开采总量进行调控，同时，严格日常监管，保护生态环境。 </w:t>
      </w: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3.禁止勘查开采矿种</w:t>
      </w: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砂金、可耕地的砖瓦用粘土。</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bookmarkStart w:id="20" w:name="_Toc10195"/>
      <w:bookmarkStart w:id="21" w:name="_Toc22969"/>
      <w:r>
        <w:rPr>
          <w:rFonts w:hint="eastAsia" w:ascii="仿宋_GB2312" w:hAnsi="仿宋_GB2312" w:eastAsia="仿宋_GB2312" w:cs="仿宋_GB2312"/>
          <w:b w:val="0"/>
          <w:bCs w:val="0"/>
          <w:color w:val="auto"/>
          <w:sz w:val="32"/>
          <w:szCs w:val="32"/>
          <w:highlight w:val="none"/>
        </w:rPr>
        <w:t>（二）矿产资源产业发展布局</w:t>
      </w:r>
      <w:bookmarkEnd w:id="20"/>
      <w:bookmarkEnd w:id="21"/>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lang w:val="zh-CN"/>
        </w:rPr>
      </w:pPr>
      <w:bookmarkStart w:id="22" w:name="_Toc18924"/>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zh-CN"/>
        </w:rPr>
        <w:t>东部</w:t>
      </w:r>
      <w:bookmarkEnd w:id="22"/>
      <w:r>
        <w:rPr>
          <w:rFonts w:hint="eastAsia" w:ascii="仿宋_GB2312" w:hAnsi="仿宋_GB2312" w:eastAsia="仿宋_GB2312" w:cs="仿宋_GB2312"/>
          <w:color w:val="auto"/>
          <w:sz w:val="32"/>
          <w:szCs w:val="32"/>
          <w:highlight w:val="none"/>
        </w:rPr>
        <w:t>能源及金属、非金属勘查开采区</w:t>
      </w: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包括新泰市和岱岳区东部地区。以新汶煤田、化马湾-雁翎关和刘杜地区金矿、羊流地区钾长石、龙廷地区饰面用花岗岩等主要矿产开发为依托，构建能源、煤化工、黄金、新型建材等产业基地，提高资源利用率。</w:t>
      </w: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lang w:val="zh-CN"/>
        </w:rPr>
      </w:pPr>
      <w:bookmarkStart w:id="23" w:name="_Toc141859715"/>
      <w:bookmarkStart w:id="24" w:name="_Toc26032"/>
      <w:r>
        <w:rPr>
          <w:rFonts w:hint="eastAsia" w:ascii="仿宋_GB2312" w:hAnsi="仿宋_GB2312" w:eastAsia="仿宋_GB2312" w:cs="仿宋_GB2312"/>
          <w:color w:val="auto"/>
          <w:sz w:val="32"/>
          <w:szCs w:val="32"/>
          <w:highlight w:val="none"/>
          <w:lang w:val="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zh-CN"/>
        </w:rPr>
        <w:t>中部</w:t>
      </w:r>
      <w:bookmarkEnd w:id="23"/>
      <w:bookmarkEnd w:id="24"/>
      <w:bookmarkStart w:id="25" w:name="_Toc141859716"/>
      <w:bookmarkStart w:id="26" w:name="_Toc142472492"/>
      <w:bookmarkStart w:id="27" w:name="_Toc142472265"/>
      <w:r>
        <w:rPr>
          <w:rFonts w:hint="eastAsia" w:ascii="仿宋_GB2312" w:hAnsi="仿宋_GB2312" w:eastAsia="仿宋_GB2312" w:cs="仿宋_GB2312"/>
          <w:color w:val="auto"/>
          <w:sz w:val="32"/>
          <w:szCs w:val="32"/>
          <w:highlight w:val="none"/>
        </w:rPr>
        <w:t>非金属勘查开采区</w:t>
      </w: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包括岱岳区中西部、泰山区、宁阳县东部、肥城市东部地区。以石膏、岩盐、水泥用灰岩、建筑石料用灰岩等主</w:t>
      </w:r>
      <w:bookmarkEnd w:id="25"/>
      <w:bookmarkEnd w:id="26"/>
      <w:bookmarkEnd w:id="27"/>
      <w:bookmarkStart w:id="28" w:name="_Toc141859717"/>
      <w:bookmarkStart w:id="29" w:name="_Toc142472493"/>
      <w:bookmarkStart w:id="30" w:name="_Toc142472266"/>
      <w:r>
        <w:rPr>
          <w:rFonts w:hint="eastAsia" w:ascii="仿宋_GB2312" w:hAnsi="仿宋_GB2312" w:eastAsia="仿宋_GB2312" w:cs="仿宋_GB2312"/>
          <w:color w:val="auto"/>
          <w:sz w:val="32"/>
          <w:szCs w:val="32"/>
          <w:highlight w:val="none"/>
          <w:lang w:val="zh-CN"/>
        </w:rPr>
        <w:t>要矿产开发为依托，建设新型建材和盐精细化工产业，提高石膏、岩盐和石灰岩资源利用率。</w:t>
      </w:r>
    </w:p>
    <w:bookmarkEnd w:id="28"/>
    <w:bookmarkEnd w:id="29"/>
    <w:bookmarkEnd w:id="30"/>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lang w:val="zh-CN"/>
        </w:rPr>
      </w:pPr>
      <w:bookmarkStart w:id="31" w:name="_Toc21483"/>
      <w:bookmarkStart w:id="32" w:name="_Toc141859718"/>
      <w:r>
        <w:rPr>
          <w:rFonts w:hint="eastAsia" w:ascii="仿宋_GB2312" w:hAnsi="仿宋_GB2312" w:eastAsia="仿宋_GB2312" w:cs="仿宋_GB2312"/>
          <w:color w:val="auto"/>
          <w:sz w:val="32"/>
          <w:szCs w:val="32"/>
          <w:highlight w:val="none"/>
          <w:lang w:val="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zh-CN"/>
        </w:rPr>
        <w:t>西部</w:t>
      </w:r>
      <w:bookmarkEnd w:id="31"/>
      <w:bookmarkEnd w:id="32"/>
      <w:r>
        <w:rPr>
          <w:rFonts w:hint="eastAsia" w:ascii="仿宋_GB2312" w:hAnsi="仿宋_GB2312" w:eastAsia="仿宋_GB2312" w:cs="仿宋_GB2312"/>
          <w:color w:val="auto"/>
          <w:sz w:val="32"/>
          <w:szCs w:val="32"/>
          <w:highlight w:val="none"/>
        </w:rPr>
        <w:t>能源及金属、建材勘查开采区</w:t>
      </w: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包括肥城市中西部、宁阳县中西部、东平县地区。以肥城煤田、宁汶煤田、东平铁矿、地热、石灰岩、饰面石材等主要矿产开发为依托，构建能源、煤化工和铁矿产业基地，并增强水泥用灰岩及建筑石料用灰岩保障能力。</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bookmarkStart w:id="33" w:name="_Toc11359"/>
      <w:bookmarkStart w:id="34" w:name="_Toc11672"/>
      <w:r>
        <w:rPr>
          <w:rFonts w:hint="eastAsia" w:ascii="仿宋_GB2312" w:hAnsi="仿宋_GB2312" w:eastAsia="仿宋_GB2312" w:cs="仿宋_GB2312"/>
          <w:b w:val="0"/>
          <w:bCs w:val="0"/>
          <w:color w:val="auto"/>
          <w:sz w:val="32"/>
          <w:szCs w:val="32"/>
          <w:highlight w:val="none"/>
        </w:rPr>
        <w:t>（三）矿产资源规划分区</w:t>
      </w:r>
      <w:bookmarkEnd w:id="33"/>
      <w:bookmarkEnd w:id="34"/>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lang w:val="zh-CN"/>
        </w:rPr>
      </w:pPr>
      <w:bookmarkStart w:id="35" w:name="_Toc14499"/>
      <w:r>
        <w:rPr>
          <w:rFonts w:hint="eastAsia" w:ascii="仿宋_GB2312" w:hAnsi="仿宋_GB2312" w:eastAsia="仿宋_GB2312" w:cs="仿宋_GB2312"/>
          <w:color w:val="auto"/>
          <w:sz w:val="32"/>
          <w:szCs w:val="32"/>
          <w:highlight w:val="none"/>
          <w:lang w:val="zh-CN"/>
        </w:rPr>
        <w:t>1.国家规划矿区</w:t>
      </w: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落实国家规划矿区2处。</w:t>
      </w:r>
      <w:r>
        <w:rPr>
          <w:rFonts w:hint="eastAsia" w:ascii="仿宋_GB2312" w:hAnsi="仿宋_GB2312" w:eastAsia="仿宋_GB2312" w:cs="仿宋_GB2312"/>
          <w:color w:val="auto"/>
          <w:sz w:val="32"/>
          <w:szCs w:val="32"/>
          <w:highlight w:val="none"/>
        </w:rPr>
        <w:t>国家规划矿区内优先保障战略性矿产勘查开发，严格矿业权人勘查开采准入条件，支持现有矿业权人以矿业权、资本、技术等形式进行合作，支持自愿依法进行有序整合，实施整装勘查、规模开发。</w:t>
      </w: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2.重点开采区</w:t>
      </w: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落实省规划重点开采区10处，其中，铁矿1处，砂石类重点开采区9处；本次划定岩盐重点开采区1处。</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5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500" w:type="dxa"/>
            <w:gridSpan w:val="2"/>
            <w:shd w:val="clear" w:color="auto" w:fill="CFCECE" w:themeFill="background2" w:themeFillShade="E5"/>
            <w:vAlign w:val="center"/>
          </w:tcPr>
          <w:p>
            <w:pPr>
              <w:pStyle w:val="2"/>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专栏二    泰安市矿产资源重点开采区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51" w:type="dxa"/>
            <w:shd w:val="clear" w:color="auto" w:fill="E7E6E6" w:themeFill="background2"/>
            <w:vAlign w:val="center"/>
          </w:tcPr>
          <w:p>
            <w:pPr>
              <w:pStyle w:val="2"/>
              <w:jc w:val="center"/>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矿种</w:t>
            </w:r>
          </w:p>
        </w:tc>
        <w:tc>
          <w:tcPr>
            <w:tcW w:w="5849" w:type="dxa"/>
            <w:shd w:val="clear" w:color="auto" w:fill="E7E6E6" w:themeFill="background2"/>
            <w:vAlign w:val="center"/>
          </w:tcPr>
          <w:p>
            <w:pPr>
              <w:pStyle w:val="2"/>
              <w:jc w:val="center"/>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51" w:type="dxa"/>
            <w:shd w:val="clear" w:color="auto" w:fill="E7E6E6" w:themeFill="background2"/>
            <w:vAlign w:val="center"/>
          </w:tcPr>
          <w:p>
            <w:pPr>
              <w:pStyle w:val="2"/>
              <w:jc w:val="center"/>
              <w:rPr>
                <w:rFonts w:ascii="仿宋_GB2312" w:hAnsi="仿宋_GB2312" w:eastAsia="仿宋_GB2312" w:cs="仿宋_GB2312"/>
                <w:color w:val="auto"/>
                <w:sz w:val="21"/>
                <w:highlight w:val="none"/>
              </w:rPr>
            </w:pPr>
            <w:r>
              <w:rPr>
                <w:rFonts w:hint="eastAsia" w:ascii="仿宋_GB2312" w:hAnsi="仿宋_GB2312" w:eastAsia="仿宋_GB2312" w:cs="仿宋_GB2312"/>
                <w:color w:val="auto"/>
                <w:kern w:val="0"/>
                <w:sz w:val="21"/>
                <w:highlight w:val="none"/>
                <w:lang w:bidi="ar"/>
              </w:rPr>
              <w:t>铁</w:t>
            </w:r>
          </w:p>
        </w:tc>
        <w:tc>
          <w:tcPr>
            <w:tcW w:w="5849" w:type="dxa"/>
            <w:shd w:val="clear" w:color="auto" w:fill="E7E6E6" w:themeFill="background2"/>
            <w:vAlign w:val="center"/>
          </w:tcPr>
          <w:p>
            <w:pPr>
              <w:pStyle w:val="2"/>
              <w:ind w:firstLine="210" w:firstLineChars="100"/>
              <w:jc w:val="left"/>
              <w:rPr>
                <w:rFonts w:ascii="仿宋_GB2312" w:hAnsi="仿宋_GB2312" w:eastAsia="仿宋_GB2312" w:cs="仿宋_GB2312"/>
                <w:color w:val="auto"/>
                <w:sz w:val="21"/>
                <w:highlight w:val="none"/>
              </w:rPr>
            </w:pPr>
            <w:r>
              <w:rPr>
                <w:rFonts w:hint="eastAsia" w:ascii="仿宋_GB2312" w:hAnsi="仿宋_GB2312" w:eastAsia="仿宋_GB2312" w:cs="仿宋_GB2312"/>
                <w:color w:val="auto"/>
                <w:kern w:val="0"/>
                <w:sz w:val="21"/>
                <w:highlight w:val="none"/>
                <w:lang w:bidi="ar"/>
              </w:rPr>
              <w:t>山东东平-汶上铁矿重点开采区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51" w:type="dxa"/>
            <w:shd w:val="clear" w:color="auto" w:fill="E7E6E6" w:themeFill="background2"/>
            <w:vAlign w:val="center"/>
          </w:tcPr>
          <w:p>
            <w:pPr>
              <w:pStyle w:val="2"/>
              <w:jc w:val="center"/>
              <w:rPr>
                <w:rFonts w:ascii="仿宋_GB2312" w:hAnsi="仿宋_GB2312" w:eastAsia="仿宋_GB2312" w:cs="仿宋_GB2312"/>
                <w:color w:val="auto"/>
                <w:sz w:val="21"/>
                <w:highlight w:val="none"/>
              </w:rPr>
            </w:pPr>
            <w:r>
              <w:rPr>
                <w:rFonts w:hint="eastAsia" w:ascii="仿宋_GB2312" w:hAnsi="仿宋_GB2312" w:eastAsia="仿宋_GB2312" w:cs="仿宋_GB2312"/>
                <w:color w:val="auto"/>
                <w:kern w:val="0"/>
                <w:sz w:val="21"/>
                <w:highlight w:val="none"/>
                <w:lang w:bidi="ar"/>
              </w:rPr>
              <w:t>岩盐</w:t>
            </w:r>
          </w:p>
        </w:tc>
        <w:tc>
          <w:tcPr>
            <w:tcW w:w="5849" w:type="dxa"/>
            <w:shd w:val="clear" w:color="auto" w:fill="E7E6E6" w:themeFill="background2"/>
            <w:vAlign w:val="center"/>
          </w:tcPr>
          <w:p>
            <w:pPr>
              <w:pStyle w:val="2"/>
              <w:ind w:firstLine="210" w:firstLineChars="100"/>
              <w:jc w:val="left"/>
              <w:rPr>
                <w:rFonts w:ascii="仿宋_GB2312" w:hAnsi="仿宋_GB2312" w:eastAsia="仿宋_GB2312" w:cs="仿宋_GB2312"/>
                <w:color w:val="auto"/>
                <w:sz w:val="21"/>
                <w:highlight w:val="none"/>
              </w:rPr>
            </w:pPr>
            <w:r>
              <w:rPr>
                <w:rFonts w:hint="eastAsia" w:ascii="仿宋_GB2312" w:hAnsi="仿宋_GB2312" w:eastAsia="仿宋_GB2312" w:cs="仿宋_GB2312"/>
                <w:color w:val="auto"/>
                <w:kern w:val="0"/>
                <w:sz w:val="21"/>
                <w:highlight w:val="none"/>
                <w:lang w:bidi="ar"/>
              </w:rPr>
              <w:t>大汶口盆地盐类矿区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51" w:type="dxa"/>
            <w:shd w:val="clear" w:color="auto" w:fill="E7E6E6" w:themeFill="background2"/>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其他矿产</w:t>
            </w:r>
          </w:p>
        </w:tc>
        <w:tc>
          <w:tcPr>
            <w:tcW w:w="5849" w:type="dxa"/>
            <w:shd w:val="clear" w:color="auto" w:fill="E7E6E6" w:themeFill="background2"/>
            <w:vAlign w:val="center"/>
          </w:tcPr>
          <w:p>
            <w:pPr>
              <w:widowControl/>
              <w:ind w:firstLine="210" w:firstLineChars="1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建筑用砂石、饰面石材等为主的重点开采区9处</w:t>
            </w:r>
          </w:p>
        </w:tc>
      </w:tr>
    </w:tbl>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重点开采区内，加大矿业权投放，稳定资源供应能力。支持矿山企业整合重组，提升规模化、集约化开发水平。实施“净矿”出让，新建矿山规模应达到中型以上。加强资源科学开采，推广先进适用选冶技术，实现资源高效利用，提升共伴生矿产及废石、尾矿综合利用水平，推进资源规模开发和产业集聚发展。</w:t>
      </w: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砂石类重点开采区内积极推行“整体出让、整体开发”模式，新建建筑石料矿山生产规模不低于100万吨/年，提升规模化开采水平。明确区内采矿权个数、开采总量及最低开采规模，引导集中开采、规模开采、绿色开采。</w:t>
      </w:r>
    </w:p>
    <w:p>
      <w:pPr>
        <w:pStyle w:val="3"/>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color w:val="auto"/>
          <w:sz w:val="32"/>
          <w:szCs w:val="32"/>
          <w:highlight w:val="none"/>
        </w:rPr>
      </w:pPr>
      <w:bookmarkStart w:id="36" w:name="_Toc14073"/>
      <w:r>
        <w:rPr>
          <w:rFonts w:hint="eastAsia" w:ascii="黑体" w:hAnsi="黑体" w:eastAsia="黑体" w:cs="黑体"/>
          <w:b w:val="0"/>
          <w:bCs w:val="0"/>
          <w:color w:val="auto"/>
          <w:sz w:val="32"/>
          <w:szCs w:val="32"/>
          <w:highlight w:val="none"/>
        </w:rPr>
        <w:t>四、矿产资源调查评价与勘查</w:t>
      </w:r>
      <w:bookmarkEnd w:id="36"/>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37" w:name="_Toc4862"/>
      <w:r>
        <w:rPr>
          <w:rFonts w:hint="eastAsia" w:ascii="仿宋_GB2312" w:hAnsi="仿宋_GB2312" w:eastAsia="仿宋_GB2312" w:cs="仿宋_GB2312"/>
          <w:b w:val="0"/>
          <w:bCs w:val="0"/>
          <w:color w:val="auto"/>
          <w:sz w:val="32"/>
          <w:szCs w:val="32"/>
          <w:highlight w:val="none"/>
        </w:rPr>
        <w:t>（一）地质调查</w:t>
      </w:r>
      <w:bookmarkEnd w:id="37"/>
    </w:p>
    <w:bookmarkEnd w:id="35"/>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lang w:val="zh-CN"/>
        </w:rPr>
      </w:pPr>
      <w:r>
        <w:rPr>
          <w:rFonts w:hint="eastAsia" w:ascii="仿宋_GB2312" w:hAnsi="仿宋_GB2312" w:eastAsia="仿宋_GB2312" w:cs="仿宋_GB2312"/>
          <w:bCs/>
          <w:color w:val="auto"/>
          <w:sz w:val="32"/>
          <w:szCs w:val="32"/>
          <w:highlight w:val="none"/>
          <w:lang w:val="zh-CN"/>
        </w:rPr>
        <w:t>根据经济社会发展实际需要，开展公益性地质矿产调查工作，为社会商业性矿产勘查提供基础信息服务，同时鼓励多渠道社会投资，开展适应市场需求的商业性矿产勘查，提高地质矿产勘查程度和矿产资源的保障能力。</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在大汶河流域（泰安境内）开展1∶5万区域水文地质调查；</w:t>
      </w:r>
      <w:r>
        <w:rPr>
          <w:rFonts w:hint="eastAsia" w:ascii="仿宋_GB2312" w:hAnsi="仿宋_GB2312" w:eastAsia="仿宋_GB2312" w:cs="仿宋_GB2312"/>
          <w:color w:val="auto"/>
          <w:sz w:val="32"/>
          <w:szCs w:val="32"/>
          <w:highlight w:val="none"/>
          <w:lang w:val="zh-CN"/>
        </w:rPr>
        <w:t>开展新泰市1:5万土地质量地球化学调查与评价；</w:t>
      </w:r>
      <w:r>
        <w:rPr>
          <w:rFonts w:hint="eastAsia" w:ascii="仿宋_GB2312" w:hAnsi="仿宋_GB2312" w:eastAsia="仿宋_GB2312" w:cs="仿宋_GB2312"/>
          <w:color w:val="auto"/>
          <w:sz w:val="32"/>
          <w:szCs w:val="32"/>
          <w:highlight w:val="none"/>
          <w:lang w:val="en-US" w:eastAsia="zh-CN"/>
        </w:rPr>
        <w:t>推进市域内鲁西富铁矿成矿带1:5万区域矿产地质调查；</w:t>
      </w:r>
      <w:r>
        <w:rPr>
          <w:rFonts w:hint="eastAsia" w:ascii="仿宋_GB2312" w:hAnsi="仿宋_GB2312" w:eastAsia="仿宋_GB2312" w:cs="仿宋_GB2312"/>
          <w:color w:val="auto"/>
          <w:sz w:val="32"/>
          <w:szCs w:val="32"/>
          <w:highlight w:val="none"/>
        </w:rPr>
        <w:t>在泰山、大汶河廊道及东平湖等不同生态功能区</w:t>
      </w:r>
      <w:r>
        <w:rPr>
          <w:rFonts w:hint="eastAsia" w:ascii="仿宋_GB2312" w:hAnsi="仿宋_GB2312" w:eastAsia="仿宋_GB2312" w:cs="仿宋_GB2312"/>
          <w:color w:val="auto"/>
          <w:sz w:val="32"/>
          <w:szCs w:val="32"/>
          <w:highlight w:val="none"/>
          <w:lang w:val="en-US" w:eastAsia="zh-CN"/>
        </w:rPr>
        <w:t>及黄河流域（泰安段）</w:t>
      </w:r>
      <w:r>
        <w:rPr>
          <w:rFonts w:hint="eastAsia" w:ascii="仿宋_GB2312" w:hAnsi="仿宋_GB2312" w:eastAsia="仿宋_GB2312" w:cs="仿宋_GB2312"/>
          <w:color w:val="auto"/>
          <w:sz w:val="32"/>
          <w:szCs w:val="32"/>
          <w:highlight w:val="none"/>
        </w:rPr>
        <w:t>推进生态地质调查评价；</w:t>
      </w:r>
      <w:r>
        <w:rPr>
          <w:rFonts w:hint="eastAsia" w:ascii="仿宋_GB2312" w:hAnsi="仿宋_GB2312" w:eastAsia="仿宋_GB2312" w:cs="仿宋_GB2312"/>
          <w:color w:val="auto"/>
          <w:sz w:val="32"/>
          <w:szCs w:val="32"/>
          <w:highlight w:val="none"/>
          <w:lang w:val="en-US" w:eastAsia="zh-CN"/>
        </w:rPr>
        <w:t>探索开展典型岩溶水文地质单元碳汇碳储地质调查评价；</w:t>
      </w:r>
      <w:r>
        <w:rPr>
          <w:rFonts w:hint="eastAsia" w:ascii="仿宋_GB2312" w:hAnsi="仿宋_GB2312" w:eastAsia="仿宋_GB2312" w:cs="仿宋_GB2312"/>
          <w:color w:val="auto"/>
          <w:sz w:val="32"/>
          <w:szCs w:val="32"/>
          <w:highlight w:val="none"/>
        </w:rPr>
        <w:t>探索开展盐穴溶腔、密闭采空区等硐穴资源调查；在主要煤炭矿集区推进生态地质调查；开展主城区1∶2.5万以上比例尺城市地质调查；建设城市地质大数据共享平台。</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lang w:val="zh-CN"/>
        </w:rPr>
      </w:pPr>
      <w:bookmarkStart w:id="38" w:name="_Toc16682"/>
      <w:r>
        <w:rPr>
          <w:rFonts w:hint="eastAsia" w:ascii="仿宋_GB2312" w:hAnsi="仿宋_GB2312" w:eastAsia="仿宋_GB2312" w:cs="仿宋_GB2312"/>
          <w:b w:val="0"/>
          <w:bCs w:val="0"/>
          <w:color w:val="auto"/>
          <w:sz w:val="32"/>
          <w:szCs w:val="32"/>
          <w:highlight w:val="none"/>
          <w:lang w:val="zh-CN"/>
        </w:rPr>
        <w:t>（二）矿产资源勘查</w:t>
      </w:r>
      <w:bookmarkEnd w:id="38"/>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矿产资源赋存特点和开发利用现状，合理确定矿产资源勘查布局和划分勘查规划分区。对具备成矿远景和资源潜力的地区，地质矿产工作程度较高区，加强已知矿集区、矿区深部和外围找矿。重点开展地热、矿泉水矿产资源勘查，加大勘查力度，</w:t>
      </w:r>
      <w:r>
        <w:rPr>
          <w:rFonts w:ascii="仿宋_GB2312" w:hAnsi="仿宋_GB2312" w:eastAsia="仿宋_GB2312" w:cs="仿宋_GB2312"/>
          <w:color w:val="auto"/>
          <w:sz w:val="32"/>
          <w:szCs w:val="32"/>
          <w:highlight w:val="none"/>
        </w:rPr>
        <w:t>服务地方经济发展</w:t>
      </w:r>
      <w:r>
        <w:rPr>
          <w:rFonts w:hint="eastAsia" w:ascii="仿宋_GB2312" w:hAnsi="仿宋_GB2312" w:eastAsia="仿宋_GB2312" w:cs="仿宋_GB2312"/>
          <w:color w:val="auto"/>
          <w:sz w:val="32"/>
          <w:szCs w:val="32"/>
          <w:highlight w:val="none"/>
        </w:rPr>
        <w:t>；在新泰、东平等区域开展铁矿、金矿勘查工作；开展肥城洼里地区及岱岳区姚庄地区油页岩勘查；加强房村地区自然硫勘查；加强新泰饰面用花岗岩矿产</w:t>
      </w:r>
      <w:r>
        <w:rPr>
          <w:rFonts w:hint="eastAsia" w:ascii="仿宋_GB2312" w:hAnsi="仿宋_GB2312" w:eastAsia="仿宋_GB2312" w:cs="仿宋_GB2312"/>
          <w:color w:val="auto"/>
          <w:sz w:val="32"/>
          <w:szCs w:val="32"/>
          <w:highlight w:val="none"/>
          <w:lang w:val="en-US" w:eastAsia="zh-CN"/>
        </w:rPr>
        <w:t>以及（花岗）伟晶岩有关的</w:t>
      </w:r>
      <w:r>
        <w:rPr>
          <w:rFonts w:hint="eastAsia" w:ascii="仿宋_GB2312" w:hAnsi="仿宋_GB2312" w:eastAsia="仿宋_GB2312" w:cs="仿宋_GB2312"/>
          <w:color w:val="auto"/>
          <w:sz w:val="32"/>
          <w:szCs w:val="32"/>
          <w:highlight w:val="none"/>
        </w:rPr>
        <w:t>铷、铌、钽等</w:t>
      </w:r>
      <w:r>
        <w:rPr>
          <w:rFonts w:hint="eastAsia" w:ascii="仿宋_GB2312" w:hAnsi="仿宋_GB2312" w:eastAsia="仿宋_GB2312" w:cs="仿宋_GB2312"/>
          <w:color w:val="auto"/>
          <w:sz w:val="32"/>
          <w:szCs w:val="32"/>
          <w:highlight w:val="none"/>
          <w:lang w:val="en-US" w:eastAsia="zh-CN"/>
        </w:rPr>
        <w:t>稀有矿产</w:t>
      </w:r>
      <w:r>
        <w:rPr>
          <w:rFonts w:hint="eastAsia" w:ascii="仿宋_GB2312" w:hAnsi="仿宋_GB2312" w:eastAsia="仿宋_GB2312" w:cs="仿宋_GB2312"/>
          <w:color w:val="auto"/>
          <w:sz w:val="32"/>
          <w:szCs w:val="32"/>
          <w:highlight w:val="none"/>
        </w:rPr>
        <w:t>勘查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加强肥城九山萤石矿勘查工作</w:t>
      </w:r>
      <w:r>
        <w:rPr>
          <w:rFonts w:hint="eastAsia" w:ascii="仿宋_GB2312" w:hAnsi="仿宋_GB2312" w:eastAsia="仿宋_GB2312" w:cs="仿宋_GB2312"/>
          <w:color w:val="auto"/>
          <w:sz w:val="32"/>
          <w:szCs w:val="32"/>
          <w:highlight w:val="none"/>
        </w:rPr>
        <w:t>。</w:t>
      </w:r>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39" w:name="_Toc3812"/>
      <w:r>
        <w:rPr>
          <w:rFonts w:hint="eastAsia" w:ascii="仿宋_GB2312" w:hAnsi="仿宋_GB2312" w:eastAsia="仿宋_GB2312" w:cs="仿宋_GB2312"/>
          <w:b w:val="0"/>
          <w:bCs w:val="0"/>
          <w:color w:val="auto"/>
          <w:sz w:val="32"/>
          <w:szCs w:val="32"/>
          <w:highlight w:val="none"/>
        </w:rPr>
        <w:t>（三）勘查规划区块设置</w:t>
      </w:r>
      <w:bookmarkEnd w:id="39"/>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加强统筹部署，争取中央财政资金支持，加大地方财政资金投入，促进地勘基金项目成果转化，提高财政资金利用效益。通过财政资金引导，社会资金跟进，共同推进勘查。明确社会资金在商业性勘查中的投资主体地位，支持矿业权人以矿业权、资本、技术等形式进行合作，支持现有矿业权进行自愿依法有序整合，实现找矿突破。</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落实省规划勘查区块8个，其中，铁矿3个，金矿4个，油页岩1个；</w:t>
      </w:r>
      <w:r>
        <w:rPr>
          <w:rFonts w:hint="eastAsia" w:ascii="仿宋_GB2312" w:hAnsi="仿宋_GB2312" w:eastAsia="仿宋_GB2312" w:cs="仿宋_GB2312"/>
          <w:color w:val="auto"/>
          <w:sz w:val="32"/>
          <w:szCs w:val="32"/>
          <w:highlight w:val="none"/>
        </w:rPr>
        <w:t>本次划定勘查规划区块11个，其中，地热2个，矿泉水3个，其他非金属矿6个。</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勘查规划区块投放要与泰安市矿业经济发展相适应。充分结合市场需求有计划投放探矿权。一个勘查规划区块原则上只设一个勘查主体，并明确勘查周期，实施综合勘查评价。拟投放探矿权应与勘查规划区块范围基本一致，不得降低勘查阶段。禁止在生态保护红线范围内投放与管控要求不符的新设探矿权。严格勘查规划区块管理，建立和完善勘查规划区块动态管理机制。</w:t>
      </w:r>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40" w:name="_Toc39"/>
      <w:r>
        <w:rPr>
          <w:rFonts w:hint="eastAsia" w:ascii="仿宋_GB2312" w:hAnsi="仿宋_GB2312" w:eastAsia="仿宋_GB2312" w:cs="仿宋_GB2312"/>
          <w:b w:val="0"/>
          <w:bCs w:val="0"/>
          <w:color w:val="auto"/>
          <w:sz w:val="32"/>
          <w:szCs w:val="32"/>
          <w:highlight w:val="none"/>
        </w:rPr>
        <w:t>（四）绿色勘查</w:t>
      </w:r>
      <w:bookmarkEnd w:id="40"/>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将生态环境保护贯穿于勘查活动的立项、设计、实施、恢复和验收的全过程、各环节，在勘查活动中履行保护生态环境义务和责任。依靠科技和管理创新，积极采用新理论、新手段、新方法、新工艺、新设备、新材料，最大限度地避免或减轻勘查活动对生态环境的扰动和影响。坚持依法勘查，严格执行国家和地方相关法律法规及行业规范、标准等；协调好地方关系，共建和谐勘查环境。规范绿色勘查管理，制定和完善管理制度和保障措施，将绿色勘查管理的内容融入日常管理工作，加强检查，确保勘查工作对生态环境的影响处于可控、可恢复范围。</w:t>
      </w:r>
    </w:p>
    <w:p>
      <w:pPr>
        <w:pStyle w:val="3"/>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color w:val="auto"/>
          <w:sz w:val="32"/>
          <w:szCs w:val="32"/>
          <w:highlight w:val="none"/>
        </w:rPr>
      </w:pPr>
      <w:bookmarkStart w:id="41" w:name="_Toc13176"/>
      <w:bookmarkStart w:id="42" w:name="_Toc8298"/>
      <w:r>
        <w:rPr>
          <w:rFonts w:hint="eastAsia" w:ascii="黑体" w:hAnsi="黑体" w:eastAsia="黑体" w:cs="黑体"/>
          <w:b w:val="0"/>
          <w:bCs w:val="0"/>
          <w:color w:val="auto"/>
          <w:sz w:val="32"/>
          <w:szCs w:val="32"/>
          <w:highlight w:val="none"/>
        </w:rPr>
        <w:t>五、矿产资源开发利用与保护</w:t>
      </w:r>
      <w:bookmarkEnd w:id="41"/>
      <w:bookmarkEnd w:id="42"/>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43" w:name="_Toc238"/>
      <w:bookmarkStart w:id="44" w:name="_Toc4191"/>
      <w:r>
        <w:rPr>
          <w:rFonts w:hint="eastAsia" w:ascii="仿宋_GB2312" w:hAnsi="仿宋_GB2312" w:eastAsia="仿宋_GB2312" w:cs="仿宋_GB2312"/>
          <w:b w:val="0"/>
          <w:bCs w:val="0"/>
          <w:color w:val="auto"/>
          <w:sz w:val="32"/>
          <w:szCs w:val="32"/>
          <w:highlight w:val="none"/>
        </w:rPr>
        <w:t>（一）合理确定开发强度</w:t>
      </w:r>
      <w:bookmarkEnd w:id="43"/>
      <w:bookmarkEnd w:id="44"/>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bookmarkStart w:id="45" w:name="_Toc28351"/>
      <w:r>
        <w:rPr>
          <w:rFonts w:hint="eastAsia" w:ascii="仿宋_GB2312" w:hAnsi="仿宋_GB2312" w:eastAsia="仿宋_GB2312" w:cs="仿宋_GB2312"/>
          <w:bCs/>
          <w:color w:val="auto"/>
          <w:sz w:val="32"/>
          <w:szCs w:val="32"/>
          <w:highlight w:val="none"/>
        </w:rPr>
        <w:t>1</w:t>
      </w:r>
      <w:bookmarkEnd w:id="45"/>
      <w:r>
        <w:rPr>
          <w:rFonts w:hint="eastAsia" w:ascii="仿宋_GB2312" w:hAnsi="仿宋_GB2312" w:eastAsia="仿宋_GB2312" w:cs="仿宋_GB2312"/>
          <w:bCs/>
          <w:color w:val="auto"/>
          <w:sz w:val="32"/>
          <w:szCs w:val="32"/>
          <w:highlight w:val="none"/>
        </w:rPr>
        <w:t>.开采总量</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实施矿产资源开采总量管理，合理调控开发强度，稳定主要矿产资源供给，推进矿产资源节约集约、循环利用，提升资源开发利用水平。预计到2025年全市矿产开发总量约1.46亿吨，其中：煤1000万吨、铁915万吨、石膏225万吨，岩盐2000万吨、水泥用石灰岩1500万吨、饰面用花岗岩450万吨、建筑用砂石8500万吨左右。</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bookmarkStart w:id="46" w:name="_Toc7254"/>
      <w:r>
        <w:rPr>
          <w:rFonts w:hint="eastAsia" w:ascii="仿宋_GB2312" w:hAnsi="仿宋_GB2312" w:eastAsia="仿宋_GB2312" w:cs="仿宋_GB2312"/>
          <w:bCs/>
          <w:color w:val="auto"/>
          <w:sz w:val="32"/>
          <w:szCs w:val="32"/>
          <w:highlight w:val="none"/>
        </w:rPr>
        <w:t>2.采矿权数量及规模</w:t>
      </w:r>
      <w:bookmarkEnd w:id="46"/>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加大企业改革改组改造力度，促进矿业经济上规模、上水平。形成主导产业突出、骨干企业多、核心竞争力强的产业集群。培育无机非金属新材料、精细化工等主导产业，建立绿色环保型矿山企业。优化矿产资源开采规模结构，逐步实现规模化、集约化开采。预计到2025年全市采矿权数量约120个，大中型矿山比例达到70%以上。</w:t>
      </w:r>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47" w:name="_Toc11325"/>
      <w:bookmarkStart w:id="48" w:name="_Toc32543"/>
      <w:r>
        <w:rPr>
          <w:rFonts w:hint="eastAsia" w:ascii="仿宋_GB2312" w:hAnsi="仿宋_GB2312" w:eastAsia="仿宋_GB2312" w:cs="仿宋_GB2312"/>
          <w:b w:val="0"/>
          <w:bCs w:val="0"/>
          <w:color w:val="auto"/>
          <w:sz w:val="32"/>
          <w:szCs w:val="32"/>
          <w:highlight w:val="none"/>
        </w:rPr>
        <w:t>（二）优化开发利用结构</w:t>
      </w:r>
      <w:bookmarkEnd w:id="47"/>
      <w:bookmarkEnd w:id="48"/>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重点支持矿业发展迫切需要解决的关键、共性、配套、关联度大的技术和有利于提高竞争力的高附加值产品的研究与开发，增强精深加工矿产品生产能力。引导、支持矿山企业进行生产要素重组，升级矿山开采、选矿、加工工艺、技术装备，融入网络经济，提高劳动力素质，高效利用矿产资源，形成以大型矿业集团为主体，大中小型矿山协调发展的矿产开发新格局，逐步实现矿山企业“互联网＋”的物联网运行模式。</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1.煤炭</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提升煤炭资源利用效率。推进煤炭产业改造升级，大力提高资源开发利用效率。围绕煤炭的高效清洁利用，以煤炭产业链延伸作为主攻方向，重点打造煤化工、煤建材、煤电等循环经济产业链。</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2.铁矿</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鼓励开展低品位沉积变质型铁矿选矿工艺和环境保护措施的研究。重点解决低品位沉积变质型铁矿的经济有效利用，大力推广先进适用的采选技术。</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3.岩盐</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除生产加碘精制盐外，以钠盐的深加工为方向，着力发展以钠盐为原料的深加工产业，走盐碱结合的道路，开拓烧碱、氯化物、金属钠等项目。</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4.石膏</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开发下游产品、增加矿产品附加值，实施石膏采矿、选矿、磨矿和石膏制品加工一体化。重点发展新型墙体材料、石膏模型粉、无水石膏、高纯超细石膏板、粉刷石膏、石膏砌块等为主导产品的大型石膏制品基地。</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5.水泥用灰岩</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合理开发、有效利用石灰岩资源，坚持“控制总量、调整结构、淘汰落后”的原则。形成技术先进、管理科学、规模化生产、集约化经营的大型水泥企业集团，促进水泥用灰岩合理开发利用。</w:t>
      </w:r>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49" w:name="_Toc20841"/>
      <w:bookmarkStart w:id="50" w:name="_Toc22752"/>
      <w:r>
        <w:rPr>
          <w:rFonts w:hint="eastAsia" w:ascii="仿宋_GB2312" w:hAnsi="仿宋_GB2312" w:eastAsia="仿宋_GB2312" w:cs="仿宋_GB2312"/>
          <w:b w:val="0"/>
          <w:bCs w:val="0"/>
          <w:color w:val="auto"/>
          <w:sz w:val="32"/>
          <w:szCs w:val="32"/>
          <w:highlight w:val="none"/>
        </w:rPr>
        <w:t>（三）严格规划准入管理</w:t>
      </w:r>
      <w:bookmarkEnd w:id="49"/>
      <w:bookmarkEnd w:id="50"/>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1.开采规模准入</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严格控制探矿权转采矿权、新出让采矿权的最低开采规模，煤矿应达到 </w:t>
      </w:r>
      <w:r>
        <w:rPr>
          <w:rFonts w:ascii="仿宋_GB2312" w:hAnsi="仿宋_GB2312" w:eastAsia="仿宋_GB2312" w:cs="仿宋_GB2312"/>
          <w:color w:val="auto"/>
          <w:sz w:val="32"/>
          <w:szCs w:val="32"/>
          <w:highlight w:val="none"/>
        </w:rPr>
        <w:t xml:space="preserve">45 </w:t>
      </w:r>
      <w:r>
        <w:rPr>
          <w:rFonts w:hint="eastAsia" w:ascii="仿宋_GB2312" w:hAnsi="仿宋_GB2312" w:eastAsia="仿宋_GB2312" w:cs="仿宋_GB2312"/>
          <w:color w:val="auto"/>
          <w:sz w:val="32"/>
          <w:szCs w:val="32"/>
          <w:highlight w:val="none"/>
        </w:rPr>
        <w:t>万吨</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 xml:space="preserve">年、金矿应达到 </w:t>
      </w:r>
      <w:r>
        <w:rPr>
          <w:rFonts w:ascii="仿宋_GB2312" w:hAnsi="仿宋_GB2312" w:eastAsia="仿宋_GB2312" w:cs="仿宋_GB2312"/>
          <w:color w:val="auto"/>
          <w:sz w:val="32"/>
          <w:szCs w:val="32"/>
          <w:highlight w:val="none"/>
        </w:rPr>
        <w:t xml:space="preserve">9 </w:t>
      </w:r>
      <w:r>
        <w:rPr>
          <w:rFonts w:hint="eastAsia" w:ascii="仿宋_GB2312" w:hAnsi="仿宋_GB2312" w:eastAsia="仿宋_GB2312" w:cs="仿宋_GB2312"/>
          <w:color w:val="auto"/>
          <w:sz w:val="32"/>
          <w:szCs w:val="32"/>
          <w:highlight w:val="none"/>
        </w:rPr>
        <w:t>万吨</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 xml:space="preserve">年、铁矿应达到 </w:t>
      </w:r>
      <w:r>
        <w:rPr>
          <w:rFonts w:ascii="仿宋_GB2312" w:hAnsi="仿宋_GB2312" w:eastAsia="仿宋_GB2312" w:cs="仿宋_GB2312"/>
          <w:color w:val="auto"/>
          <w:sz w:val="32"/>
          <w:szCs w:val="32"/>
          <w:highlight w:val="none"/>
        </w:rPr>
        <w:t>45</w:t>
      </w:r>
      <w:r>
        <w:rPr>
          <w:rFonts w:hint="eastAsia" w:ascii="仿宋_GB2312" w:hAnsi="仿宋_GB2312" w:eastAsia="仿宋_GB2312" w:cs="仿宋_GB2312"/>
          <w:color w:val="auto"/>
          <w:sz w:val="32"/>
          <w:szCs w:val="32"/>
          <w:highlight w:val="none"/>
        </w:rPr>
        <w:t>万吨</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年。规划期内继续暂停新批石膏矿山。</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2.技术经济条件准入</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需有矿产资源开发利用方案，开采方法、选矿工艺及采、选设备必须科学、先进、合理、安全。开采回采率、选矿回收率、综合利用率等指标达到部、省“三率”最低指标规定的要求。</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3.绿色矿山建设准入</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严格执行《山东省绿色矿山建设管理办法》，基建矿山同步开展绿色矿山建设，长期停产矿山在恢复生产前必须达到绿色矿山建设标准，同时加强对纳入绿色矿山名录库的矿山的监督管理。</w:t>
      </w:r>
    </w:p>
    <w:tbl>
      <w:tblPr>
        <w:tblStyle w:val="13"/>
        <w:tblW w:w="4940" w:type="pct"/>
        <w:jc w:val="center"/>
        <w:tblLayout w:type="autofit"/>
        <w:tblCellMar>
          <w:top w:w="0" w:type="dxa"/>
          <w:left w:w="108" w:type="dxa"/>
          <w:bottom w:w="0" w:type="dxa"/>
          <w:right w:w="108" w:type="dxa"/>
        </w:tblCellMar>
      </w:tblPr>
      <w:tblGrid>
        <w:gridCol w:w="705"/>
        <w:gridCol w:w="1318"/>
        <w:gridCol w:w="1888"/>
        <w:gridCol w:w="1103"/>
        <w:gridCol w:w="1014"/>
        <w:gridCol w:w="1068"/>
        <w:gridCol w:w="1324"/>
      </w:tblGrid>
      <w:tr>
        <w:tblPrEx>
          <w:tblCellMar>
            <w:top w:w="0" w:type="dxa"/>
            <w:left w:w="108" w:type="dxa"/>
            <w:bottom w:w="0" w:type="dxa"/>
            <w:right w:w="108" w:type="dxa"/>
          </w:tblCellMar>
        </w:tblPrEx>
        <w:trPr>
          <w:trHeight w:val="812"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widowControl/>
              <w:jc w:val="center"/>
              <w:textAlignment w:val="center"/>
              <w:rPr>
                <w:rFonts w:ascii="Arial" w:hAnsi="Arial" w:eastAsia="等线" w:cs="Arial"/>
                <w:b/>
                <w:bCs/>
                <w:color w:val="auto"/>
                <w:kern w:val="0"/>
                <w:highlight w:val="none"/>
                <w:lang w:bidi="ar"/>
              </w:rPr>
            </w:pPr>
            <w:r>
              <w:rPr>
                <w:rFonts w:hint="eastAsia" w:ascii="仿宋_GB2312" w:hAnsi="仿宋_GB2312" w:eastAsia="仿宋_GB2312" w:cs="仿宋_GB2312"/>
                <w:b/>
                <w:bCs/>
                <w:color w:val="auto"/>
                <w:kern w:val="0"/>
                <w:highlight w:val="none"/>
              </w:rPr>
              <w:t>专栏三    泰安市重点矿种矿山最低开采规模</w:t>
            </w:r>
          </w:p>
        </w:tc>
      </w:tr>
      <w:tr>
        <w:tblPrEx>
          <w:tblCellMar>
            <w:top w:w="0" w:type="dxa"/>
            <w:left w:w="108" w:type="dxa"/>
            <w:bottom w:w="0" w:type="dxa"/>
            <w:right w:w="108" w:type="dxa"/>
          </w:tblCellMar>
        </w:tblPrEx>
        <w:trPr>
          <w:trHeight w:val="532" w:hRule="atLeast"/>
          <w:jc w:val="center"/>
        </w:trPr>
        <w:tc>
          <w:tcPr>
            <w:tcW w:w="419" w:type="pct"/>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kern w:val="0"/>
                <w:highlight w:val="none"/>
                <w:lang w:bidi="ar"/>
              </w:rPr>
              <w:t>序号</w:t>
            </w:r>
          </w:p>
        </w:tc>
        <w:tc>
          <w:tcPr>
            <w:tcW w:w="783" w:type="pct"/>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kern w:val="0"/>
                <w:highlight w:val="none"/>
                <w:lang w:bidi="ar"/>
              </w:rPr>
              <w:t>矿产名称</w:t>
            </w:r>
          </w:p>
        </w:tc>
        <w:tc>
          <w:tcPr>
            <w:tcW w:w="1121" w:type="pct"/>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kern w:val="0"/>
                <w:highlight w:val="none"/>
                <w:lang w:bidi="ar"/>
              </w:rPr>
              <w:t>开采规模单位</w:t>
            </w:r>
          </w:p>
        </w:tc>
        <w:tc>
          <w:tcPr>
            <w:tcW w:w="1891" w:type="pct"/>
            <w:gridSpan w:val="3"/>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kern w:val="0"/>
                <w:highlight w:val="none"/>
                <w:lang w:bidi="ar"/>
              </w:rPr>
              <w:t>矿山最低开采规模</w:t>
            </w:r>
          </w:p>
        </w:tc>
        <w:tc>
          <w:tcPr>
            <w:tcW w:w="783" w:type="pct"/>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kern w:val="0"/>
                <w:highlight w:val="none"/>
                <w:lang w:bidi="ar"/>
              </w:rPr>
              <w:t>备注</w:t>
            </w:r>
          </w:p>
        </w:tc>
      </w:tr>
      <w:tr>
        <w:tblPrEx>
          <w:tblCellMar>
            <w:top w:w="0" w:type="dxa"/>
            <w:left w:w="108" w:type="dxa"/>
            <w:bottom w:w="0" w:type="dxa"/>
            <w:right w:w="108" w:type="dxa"/>
          </w:tblCellMar>
        </w:tblPrEx>
        <w:trPr>
          <w:trHeight w:val="532" w:hRule="atLeast"/>
          <w:jc w:val="center"/>
        </w:trPr>
        <w:tc>
          <w:tcPr>
            <w:tcW w:w="419" w:type="pct"/>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jc w:val="center"/>
              <w:rPr>
                <w:rFonts w:ascii="仿宋_GB2312" w:hAnsi="仿宋_GB2312" w:eastAsia="仿宋_GB2312" w:cs="仿宋_GB2312"/>
                <w:b/>
                <w:bCs/>
                <w:color w:val="auto"/>
                <w:highlight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jc w:val="center"/>
              <w:rPr>
                <w:rFonts w:ascii="仿宋_GB2312" w:hAnsi="仿宋_GB2312" w:eastAsia="仿宋_GB2312" w:cs="仿宋_GB2312"/>
                <w:b/>
                <w:bCs/>
                <w:color w:val="auto"/>
                <w:highlight w:val="none"/>
              </w:rPr>
            </w:pPr>
          </w:p>
        </w:tc>
        <w:tc>
          <w:tcPr>
            <w:tcW w:w="1121" w:type="pct"/>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jc w:val="center"/>
              <w:rPr>
                <w:rFonts w:ascii="仿宋_GB2312" w:hAnsi="仿宋_GB2312" w:eastAsia="仿宋_GB2312" w:cs="仿宋_GB2312"/>
                <w:b/>
                <w:bCs/>
                <w:color w:val="auto"/>
                <w:highlight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kern w:val="0"/>
                <w:highlight w:val="none"/>
                <w:lang w:bidi="ar"/>
              </w:rPr>
              <w:t>大型</w:t>
            </w:r>
          </w:p>
        </w:tc>
        <w:tc>
          <w:tcPr>
            <w:tcW w:w="602"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kern w:val="0"/>
                <w:highlight w:val="none"/>
                <w:lang w:bidi="ar"/>
              </w:rPr>
              <w:t>中型</w:t>
            </w:r>
          </w:p>
        </w:tc>
        <w:tc>
          <w:tcPr>
            <w:tcW w:w="63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kern w:val="0"/>
                <w:highlight w:val="none"/>
                <w:lang w:bidi="ar"/>
              </w:rPr>
              <w:t>小型</w:t>
            </w:r>
          </w:p>
        </w:tc>
        <w:tc>
          <w:tcPr>
            <w:tcW w:w="783" w:type="pct"/>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jc w:val="center"/>
              <w:rPr>
                <w:rFonts w:ascii="仿宋_GB2312" w:hAnsi="仿宋_GB2312" w:eastAsia="仿宋_GB2312" w:cs="仿宋_GB2312"/>
                <w:b/>
                <w:bCs/>
                <w:color w:val="auto"/>
                <w:highlight w:val="none"/>
              </w:rPr>
            </w:pPr>
          </w:p>
        </w:tc>
      </w:tr>
      <w:tr>
        <w:tblPrEx>
          <w:tblCellMar>
            <w:top w:w="0" w:type="dxa"/>
            <w:left w:w="108" w:type="dxa"/>
            <w:bottom w:w="0" w:type="dxa"/>
            <w:right w:w="108" w:type="dxa"/>
          </w:tblCellMar>
        </w:tblPrEx>
        <w:trPr>
          <w:trHeight w:val="579"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1</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煤炭</w:t>
            </w:r>
          </w:p>
        </w:tc>
        <w:tc>
          <w:tcPr>
            <w:tcW w:w="1121"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原煤万吨/年</w:t>
            </w:r>
          </w:p>
        </w:tc>
        <w:tc>
          <w:tcPr>
            <w:tcW w:w="655"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120</w:t>
            </w:r>
          </w:p>
        </w:tc>
        <w:tc>
          <w:tcPr>
            <w:tcW w:w="602"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45</w:t>
            </w:r>
          </w:p>
        </w:tc>
        <w:tc>
          <w:tcPr>
            <w:tcW w:w="63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jc w:val="center"/>
              <w:rPr>
                <w:rFonts w:ascii="仿宋_GB2312" w:hAnsi="仿宋_GB2312" w:eastAsia="仿宋_GB2312" w:cs="仿宋_GB2312"/>
                <w:color w:val="auto"/>
                <w:highlight w:val="none"/>
              </w:rPr>
            </w:pPr>
          </w:p>
        </w:tc>
      </w:tr>
      <w:tr>
        <w:tblPrEx>
          <w:tblCellMar>
            <w:top w:w="0" w:type="dxa"/>
            <w:left w:w="108" w:type="dxa"/>
            <w:bottom w:w="0" w:type="dxa"/>
            <w:right w:w="108" w:type="dxa"/>
          </w:tblCellMar>
        </w:tblPrEx>
        <w:trPr>
          <w:trHeight w:val="579"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2</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地热</w:t>
            </w:r>
          </w:p>
        </w:tc>
        <w:tc>
          <w:tcPr>
            <w:tcW w:w="1121"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万立方米/年</w:t>
            </w:r>
          </w:p>
        </w:tc>
        <w:tc>
          <w:tcPr>
            <w:tcW w:w="655"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20</w:t>
            </w:r>
          </w:p>
        </w:tc>
        <w:tc>
          <w:tcPr>
            <w:tcW w:w="602"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10</w:t>
            </w:r>
          </w:p>
        </w:tc>
        <w:tc>
          <w:tcPr>
            <w:tcW w:w="63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w:t>
            </w:r>
            <w:r>
              <w:rPr>
                <w:rFonts w:hint="eastAsia" w:ascii="仿宋_GB2312" w:hAnsi="仿宋_GB2312" w:eastAsia="仿宋_GB2312" w:cs="仿宋_GB2312"/>
                <w:color w:val="auto"/>
                <w:highlight w:val="none"/>
                <w:vertAlign w:val="superscript"/>
              </w:rPr>
              <w:t>*</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jc w:val="center"/>
              <w:rPr>
                <w:rFonts w:ascii="仿宋_GB2312" w:hAnsi="仿宋_GB2312" w:eastAsia="仿宋_GB2312" w:cs="仿宋_GB2312"/>
                <w:color w:val="auto"/>
                <w:highlight w:val="none"/>
              </w:rPr>
            </w:pPr>
          </w:p>
        </w:tc>
      </w:tr>
      <w:tr>
        <w:tblPrEx>
          <w:tblCellMar>
            <w:top w:w="0" w:type="dxa"/>
            <w:left w:w="108" w:type="dxa"/>
            <w:bottom w:w="0" w:type="dxa"/>
            <w:right w:w="108" w:type="dxa"/>
          </w:tblCellMar>
        </w:tblPrEx>
        <w:trPr>
          <w:trHeight w:val="579"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3</w:t>
            </w:r>
          </w:p>
        </w:tc>
        <w:tc>
          <w:tcPr>
            <w:tcW w:w="783" w:type="pct"/>
            <w:tcBorders>
              <w:top w:val="single" w:color="000000" w:sz="4" w:space="0"/>
              <w:left w:val="single" w:color="000000" w:sz="4" w:space="0"/>
              <w:bottom w:val="nil"/>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铁矿</w:t>
            </w:r>
          </w:p>
        </w:tc>
        <w:tc>
          <w:tcPr>
            <w:tcW w:w="1121" w:type="pct"/>
            <w:tcBorders>
              <w:top w:val="single" w:color="000000" w:sz="4" w:space="0"/>
              <w:left w:val="single" w:color="000000" w:sz="4" w:space="0"/>
              <w:bottom w:val="nil"/>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矿石万吨/年</w:t>
            </w:r>
          </w:p>
        </w:tc>
        <w:tc>
          <w:tcPr>
            <w:tcW w:w="655" w:type="pct"/>
            <w:tcBorders>
              <w:top w:val="single" w:color="000000" w:sz="4" w:space="0"/>
              <w:left w:val="single" w:color="000000" w:sz="4" w:space="0"/>
              <w:bottom w:val="nil"/>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100/200</w:t>
            </w:r>
          </w:p>
        </w:tc>
        <w:tc>
          <w:tcPr>
            <w:tcW w:w="602" w:type="pct"/>
            <w:tcBorders>
              <w:top w:val="single" w:color="000000" w:sz="4" w:space="0"/>
              <w:left w:val="single" w:color="000000" w:sz="4" w:space="0"/>
              <w:bottom w:val="nil"/>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45/60</w:t>
            </w:r>
          </w:p>
        </w:tc>
        <w:tc>
          <w:tcPr>
            <w:tcW w:w="633" w:type="pct"/>
            <w:tcBorders>
              <w:top w:val="single" w:color="000000" w:sz="4" w:space="0"/>
              <w:left w:val="single" w:color="000000" w:sz="4" w:space="0"/>
              <w:bottom w:val="nil"/>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w:t>
            </w:r>
          </w:p>
        </w:tc>
        <w:tc>
          <w:tcPr>
            <w:tcW w:w="783" w:type="pct"/>
            <w:tcBorders>
              <w:top w:val="single" w:color="000000" w:sz="4" w:space="0"/>
              <w:left w:val="single" w:color="000000" w:sz="4" w:space="0"/>
              <w:bottom w:val="nil"/>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地下/露天</w:t>
            </w:r>
          </w:p>
        </w:tc>
      </w:tr>
      <w:tr>
        <w:tblPrEx>
          <w:tblCellMar>
            <w:top w:w="0" w:type="dxa"/>
            <w:left w:w="108" w:type="dxa"/>
            <w:bottom w:w="0" w:type="dxa"/>
            <w:right w:w="108" w:type="dxa"/>
          </w:tblCellMar>
        </w:tblPrEx>
        <w:trPr>
          <w:trHeight w:val="579"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4</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岩金</w:t>
            </w:r>
          </w:p>
        </w:tc>
        <w:tc>
          <w:tcPr>
            <w:tcW w:w="1121"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矿石万吨/年</w:t>
            </w:r>
          </w:p>
        </w:tc>
        <w:tc>
          <w:tcPr>
            <w:tcW w:w="655"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15</w:t>
            </w:r>
          </w:p>
        </w:tc>
        <w:tc>
          <w:tcPr>
            <w:tcW w:w="602"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9</w:t>
            </w:r>
          </w:p>
        </w:tc>
        <w:tc>
          <w:tcPr>
            <w:tcW w:w="633" w:type="pct"/>
            <w:tcBorders>
              <w:top w:val="single" w:color="000000" w:sz="4" w:space="0"/>
              <w:left w:val="single" w:color="000000" w:sz="4" w:space="0"/>
              <w:bottom w:val="nil"/>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jc w:val="center"/>
              <w:rPr>
                <w:rFonts w:ascii="仿宋_GB2312" w:hAnsi="仿宋_GB2312" w:eastAsia="仿宋_GB2312" w:cs="仿宋_GB2312"/>
                <w:color w:val="auto"/>
                <w:highlight w:val="none"/>
              </w:rPr>
            </w:pPr>
          </w:p>
        </w:tc>
      </w:tr>
      <w:tr>
        <w:tblPrEx>
          <w:tblCellMar>
            <w:top w:w="0" w:type="dxa"/>
            <w:left w:w="108" w:type="dxa"/>
            <w:bottom w:w="0" w:type="dxa"/>
            <w:right w:w="108" w:type="dxa"/>
          </w:tblCellMar>
        </w:tblPrEx>
        <w:trPr>
          <w:trHeight w:val="579"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5</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石膏</w:t>
            </w:r>
          </w:p>
        </w:tc>
        <w:tc>
          <w:tcPr>
            <w:tcW w:w="1121"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矿石万吨/年</w:t>
            </w:r>
          </w:p>
        </w:tc>
        <w:tc>
          <w:tcPr>
            <w:tcW w:w="655"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30</w:t>
            </w:r>
          </w:p>
        </w:tc>
        <w:tc>
          <w:tcPr>
            <w:tcW w:w="602"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w:t>
            </w:r>
          </w:p>
        </w:tc>
        <w:tc>
          <w:tcPr>
            <w:tcW w:w="633" w:type="pct"/>
            <w:tcBorders>
              <w:top w:val="single" w:color="000000" w:sz="4" w:space="0"/>
              <w:left w:val="single" w:color="000000" w:sz="4" w:space="0"/>
              <w:bottom w:val="nil"/>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jc w:val="center"/>
              <w:rPr>
                <w:rFonts w:ascii="仿宋_GB2312" w:hAnsi="仿宋_GB2312" w:eastAsia="仿宋_GB2312" w:cs="仿宋_GB2312"/>
                <w:color w:val="auto"/>
                <w:highlight w:val="none"/>
              </w:rPr>
            </w:pPr>
          </w:p>
        </w:tc>
      </w:tr>
      <w:tr>
        <w:tblPrEx>
          <w:tblCellMar>
            <w:top w:w="0" w:type="dxa"/>
            <w:left w:w="108" w:type="dxa"/>
            <w:bottom w:w="0" w:type="dxa"/>
            <w:right w:w="108" w:type="dxa"/>
          </w:tblCellMar>
        </w:tblPrEx>
        <w:trPr>
          <w:trHeight w:val="579"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6</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长石</w:t>
            </w:r>
          </w:p>
        </w:tc>
        <w:tc>
          <w:tcPr>
            <w:tcW w:w="1121"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矿石万吨/年</w:t>
            </w:r>
          </w:p>
        </w:tc>
        <w:tc>
          <w:tcPr>
            <w:tcW w:w="655"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20</w:t>
            </w:r>
          </w:p>
        </w:tc>
        <w:tc>
          <w:tcPr>
            <w:tcW w:w="602"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10</w:t>
            </w:r>
          </w:p>
        </w:tc>
        <w:tc>
          <w:tcPr>
            <w:tcW w:w="633" w:type="pct"/>
            <w:tcBorders>
              <w:top w:val="single" w:color="000000" w:sz="4" w:space="0"/>
              <w:left w:val="single" w:color="000000" w:sz="4" w:space="0"/>
              <w:bottom w:val="nil"/>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jc w:val="center"/>
              <w:rPr>
                <w:rFonts w:ascii="仿宋_GB2312" w:hAnsi="仿宋_GB2312" w:eastAsia="仿宋_GB2312" w:cs="仿宋_GB2312"/>
                <w:color w:val="auto"/>
                <w:highlight w:val="none"/>
              </w:rPr>
            </w:pPr>
          </w:p>
        </w:tc>
      </w:tr>
      <w:tr>
        <w:tblPrEx>
          <w:tblCellMar>
            <w:top w:w="0" w:type="dxa"/>
            <w:left w:w="108" w:type="dxa"/>
            <w:bottom w:w="0" w:type="dxa"/>
            <w:right w:w="108" w:type="dxa"/>
          </w:tblCellMar>
        </w:tblPrEx>
        <w:trPr>
          <w:trHeight w:val="579"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7</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岩盐</w:t>
            </w:r>
          </w:p>
        </w:tc>
        <w:tc>
          <w:tcPr>
            <w:tcW w:w="1121"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矿石万吨/年</w:t>
            </w:r>
          </w:p>
        </w:tc>
        <w:tc>
          <w:tcPr>
            <w:tcW w:w="655"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20</w:t>
            </w:r>
          </w:p>
        </w:tc>
        <w:tc>
          <w:tcPr>
            <w:tcW w:w="602"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10</w:t>
            </w:r>
          </w:p>
        </w:tc>
        <w:tc>
          <w:tcPr>
            <w:tcW w:w="633" w:type="pct"/>
            <w:tcBorders>
              <w:top w:val="single" w:color="000000" w:sz="4" w:space="0"/>
              <w:left w:val="single" w:color="000000" w:sz="4" w:space="0"/>
              <w:bottom w:val="nil"/>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jc w:val="center"/>
              <w:rPr>
                <w:rFonts w:ascii="仿宋_GB2312" w:hAnsi="仿宋_GB2312" w:eastAsia="仿宋_GB2312" w:cs="仿宋_GB2312"/>
                <w:color w:val="auto"/>
                <w:highlight w:val="none"/>
              </w:rPr>
            </w:pPr>
          </w:p>
        </w:tc>
      </w:tr>
      <w:tr>
        <w:tblPrEx>
          <w:tblCellMar>
            <w:top w:w="0" w:type="dxa"/>
            <w:left w:w="108" w:type="dxa"/>
            <w:bottom w:w="0" w:type="dxa"/>
            <w:right w:w="108" w:type="dxa"/>
          </w:tblCellMar>
        </w:tblPrEx>
        <w:trPr>
          <w:trHeight w:val="579"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8</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水泥用灰岩</w:t>
            </w:r>
          </w:p>
        </w:tc>
        <w:tc>
          <w:tcPr>
            <w:tcW w:w="1121"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矿石万吨/年</w:t>
            </w:r>
          </w:p>
        </w:tc>
        <w:tc>
          <w:tcPr>
            <w:tcW w:w="655"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100</w:t>
            </w:r>
          </w:p>
        </w:tc>
        <w:tc>
          <w:tcPr>
            <w:tcW w:w="602" w:type="pct"/>
            <w:tcBorders>
              <w:top w:val="single" w:color="000000" w:sz="4" w:space="0"/>
              <w:left w:val="single" w:color="000000" w:sz="4" w:space="0"/>
              <w:bottom w:val="nil"/>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w:t>
            </w:r>
          </w:p>
        </w:tc>
        <w:tc>
          <w:tcPr>
            <w:tcW w:w="633" w:type="pct"/>
            <w:tcBorders>
              <w:top w:val="single" w:color="000000" w:sz="4" w:space="0"/>
              <w:left w:val="single" w:color="000000" w:sz="4" w:space="0"/>
              <w:bottom w:val="nil"/>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jc w:val="center"/>
              <w:rPr>
                <w:rFonts w:ascii="仿宋_GB2312" w:hAnsi="仿宋_GB2312" w:eastAsia="仿宋_GB2312" w:cs="仿宋_GB2312"/>
                <w:color w:val="auto"/>
                <w:highlight w:val="none"/>
              </w:rPr>
            </w:pPr>
          </w:p>
        </w:tc>
      </w:tr>
      <w:tr>
        <w:tblPrEx>
          <w:tblCellMar>
            <w:top w:w="0" w:type="dxa"/>
            <w:left w:w="108" w:type="dxa"/>
            <w:bottom w:w="0" w:type="dxa"/>
            <w:right w:w="108" w:type="dxa"/>
          </w:tblCellMar>
        </w:tblPrEx>
        <w:trPr>
          <w:trHeight w:val="579"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9</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饰面石材</w:t>
            </w:r>
          </w:p>
        </w:tc>
        <w:tc>
          <w:tcPr>
            <w:tcW w:w="1121"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矿石万立方米/年</w:t>
            </w:r>
          </w:p>
        </w:tc>
        <w:tc>
          <w:tcPr>
            <w:tcW w:w="655"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w:t>
            </w:r>
          </w:p>
        </w:tc>
        <w:tc>
          <w:tcPr>
            <w:tcW w:w="633" w:type="pct"/>
            <w:tcBorders>
              <w:top w:val="single" w:color="000000" w:sz="4" w:space="0"/>
              <w:left w:val="single" w:color="000000" w:sz="4" w:space="0"/>
              <w:bottom w:val="nil"/>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jc w:val="center"/>
              <w:rPr>
                <w:rFonts w:ascii="仿宋_GB2312" w:hAnsi="仿宋_GB2312" w:eastAsia="仿宋_GB2312" w:cs="仿宋_GB2312"/>
                <w:color w:val="auto"/>
                <w:highlight w:val="none"/>
              </w:rPr>
            </w:pPr>
          </w:p>
        </w:tc>
      </w:tr>
      <w:tr>
        <w:tblPrEx>
          <w:tblCellMar>
            <w:top w:w="0" w:type="dxa"/>
            <w:left w:w="108" w:type="dxa"/>
            <w:bottom w:w="0" w:type="dxa"/>
            <w:right w:w="108" w:type="dxa"/>
          </w:tblCellMar>
        </w:tblPrEx>
        <w:trPr>
          <w:trHeight w:val="579"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10</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砂石</w:t>
            </w:r>
          </w:p>
        </w:tc>
        <w:tc>
          <w:tcPr>
            <w:tcW w:w="1121"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矿石万吨/年</w:t>
            </w:r>
          </w:p>
        </w:tc>
        <w:tc>
          <w:tcPr>
            <w:tcW w:w="655"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100</w:t>
            </w:r>
          </w:p>
        </w:tc>
        <w:tc>
          <w:tcPr>
            <w:tcW w:w="602"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w:t>
            </w:r>
          </w:p>
        </w:tc>
        <w:tc>
          <w:tcPr>
            <w:tcW w:w="633" w:type="pct"/>
            <w:tcBorders>
              <w:top w:val="single" w:color="000000" w:sz="4" w:space="0"/>
              <w:left w:val="single" w:color="000000" w:sz="4" w:space="0"/>
              <w:bottom w:val="nil"/>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jc w:val="center"/>
              <w:rPr>
                <w:rFonts w:ascii="仿宋_GB2312" w:hAnsi="仿宋_GB2312" w:eastAsia="仿宋_GB2312" w:cs="仿宋_GB2312"/>
                <w:color w:val="auto"/>
                <w:highlight w:val="none"/>
              </w:rPr>
            </w:pPr>
          </w:p>
        </w:tc>
      </w:tr>
      <w:tr>
        <w:tblPrEx>
          <w:tblCellMar>
            <w:top w:w="0" w:type="dxa"/>
            <w:left w:w="108" w:type="dxa"/>
            <w:bottom w:w="0" w:type="dxa"/>
            <w:right w:w="108" w:type="dxa"/>
          </w:tblCellMar>
        </w:tblPrEx>
        <w:trPr>
          <w:trHeight w:val="579"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11</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建筑用砂</w:t>
            </w:r>
          </w:p>
        </w:tc>
        <w:tc>
          <w:tcPr>
            <w:tcW w:w="1121"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矿石万吨/年</w:t>
            </w:r>
          </w:p>
        </w:tc>
        <w:tc>
          <w:tcPr>
            <w:tcW w:w="655"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30</w:t>
            </w:r>
          </w:p>
        </w:tc>
        <w:tc>
          <w:tcPr>
            <w:tcW w:w="602"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8</w:t>
            </w:r>
          </w:p>
        </w:tc>
        <w:tc>
          <w:tcPr>
            <w:tcW w:w="633" w:type="pct"/>
            <w:tcBorders>
              <w:top w:val="single" w:color="000000" w:sz="4" w:space="0"/>
              <w:left w:val="single" w:color="000000" w:sz="4" w:space="0"/>
              <w:bottom w:val="nil"/>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jc w:val="center"/>
              <w:rPr>
                <w:rFonts w:ascii="仿宋_GB2312" w:hAnsi="仿宋_GB2312" w:eastAsia="仿宋_GB2312" w:cs="仿宋_GB2312"/>
                <w:color w:val="auto"/>
                <w:highlight w:val="none"/>
              </w:rPr>
            </w:pPr>
          </w:p>
        </w:tc>
      </w:tr>
      <w:tr>
        <w:tblPrEx>
          <w:tblCellMar>
            <w:top w:w="0" w:type="dxa"/>
            <w:left w:w="108" w:type="dxa"/>
            <w:bottom w:w="0" w:type="dxa"/>
            <w:right w:w="108" w:type="dxa"/>
          </w:tblCellMar>
        </w:tblPrEx>
        <w:trPr>
          <w:trHeight w:val="579"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12</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矿泉水</w:t>
            </w:r>
          </w:p>
        </w:tc>
        <w:tc>
          <w:tcPr>
            <w:tcW w:w="1121"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万吨/年</w:t>
            </w:r>
          </w:p>
        </w:tc>
        <w:tc>
          <w:tcPr>
            <w:tcW w:w="655"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5</w:t>
            </w:r>
          </w:p>
        </w:tc>
        <w:tc>
          <w:tcPr>
            <w:tcW w:w="633" w:type="pct"/>
            <w:tcBorders>
              <w:top w:val="single" w:color="000000" w:sz="4" w:space="0"/>
              <w:left w:val="single" w:color="000000" w:sz="4" w:space="0"/>
              <w:bottom w:val="nil"/>
              <w:right w:val="single" w:color="000000" w:sz="4" w:space="0"/>
            </w:tcBorders>
            <w:shd w:val="clear" w:color="auto" w:fill="E7E6E6" w:themeFill="background2"/>
            <w:vAlign w:val="center"/>
          </w:tcPr>
          <w:p>
            <w:pPr>
              <w:widowControl/>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lang w:bidi="ar"/>
              </w:rPr>
              <w:t>3</w:t>
            </w:r>
          </w:p>
        </w:tc>
        <w:tc>
          <w:tcPr>
            <w:tcW w:w="78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jc w:val="center"/>
              <w:rPr>
                <w:rFonts w:ascii="仿宋_GB2312" w:hAnsi="仿宋_GB2312" w:eastAsia="仿宋_GB2312" w:cs="仿宋_GB2312"/>
                <w:color w:val="auto"/>
                <w:highlight w:val="none"/>
              </w:rPr>
            </w:pPr>
          </w:p>
        </w:tc>
      </w:tr>
      <w:tr>
        <w:tblPrEx>
          <w:tblCellMar>
            <w:top w:w="0" w:type="dxa"/>
            <w:left w:w="108" w:type="dxa"/>
            <w:bottom w:w="0" w:type="dxa"/>
            <w:right w:w="108" w:type="dxa"/>
          </w:tblCellMar>
        </w:tblPrEx>
        <w:trPr>
          <w:trHeight w:val="1335" w:hRule="atLeast"/>
          <w:jc w:val="center"/>
        </w:trPr>
        <w:tc>
          <w:tcPr>
            <w:tcW w:w="5000" w:type="pct"/>
            <w:gridSpan w:val="7"/>
            <w:tcBorders>
              <w:top w:val="single" w:color="000000" w:sz="4" w:space="0"/>
              <w:left w:val="nil"/>
              <w:bottom w:val="nil"/>
              <w:right w:val="nil"/>
            </w:tcBorders>
            <w:shd w:val="clear" w:color="auto" w:fill="auto"/>
            <w:vAlign w:val="center"/>
          </w:tcPr>
          <w:p>
            <w:pPr>
              <w:ind w:left="420" w:hanging="420" w:hanging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注：矿山最低开采规模是指新建（含整合）矿山需要达到的最低生产建设规模；表中未列矿种的新建矿山执行山东省矿产资源规划确定的最低开采规模；断裂带型地热小型矿山最低开采规模为2万立方米/年。</w:t>
            </w:r>
          </w:p>
        </w:tc>
      </w:tr>
    </w:tbl>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4.生态环境准入</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探矿权转采矿权、新出让采矿权，严格落实国土空间三条控制线，以及自然保护地、风景名胜区等生态环境敏感区管控要求，依法依规编制矿山环境影响评价文件、矿山地质环境保护与土地复垦方案。</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5.支持开展资源整合 </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资源节约集约利用、矿山安全生产和环境保护等方面需求，根据最新矿业权管理相关政策要求，因地制宜做好不适宜单独设立矿业权的零星或夹缝资源整合。主要包括现有煤矿、铁矿和非金属矿山的夹缝资源等。</w:t>
      </w:r>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51" w:name="_Toc1548"/>
      <w:r>
        <w:rPr>
          <w:rFonts w:hint="eastAsia" w:ascii="仿宋_GB2312" w:hAnsi="仿宋_GB2312" w:eastAsia="仿宋_GB2312" w:cs="仿宋_GB2312"/>
          <w:b w:val="0"/>
          <w:bCs w:val="0"/>
          <w:color w:val="auto"/>
          <w:sz w:val="32"/>
          <w:szCs w:val="32"/>
          <w:highlight w:val="none"/>
        </w:rPr>
        <w:t>（四）矿产资源节约利用与保护</w:t>
      </w:r>
      <w:bookmarkEnd w:id="51"/>
      <w:r>
        <w:rPr>
          <w:rFonts w:hint="eastAsia" w:ascii="仿宋_GB2312" w:hAnsi="仿宋_GB2312" w:eastAsia="仿宋_GB2312" w:cs="仿宋_GB2312"/>
          <w:b w:val="0"/>
          <w:bCs w:val="0"/>
          <w:color w:val="auto"/>
          <w:sz w:val="32"/>
          <w:szCs w:val="32"/>
          <w:highlight w:val="none"/>
        </w:rPr>
        <w:t xml:space="preserve"> </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1.强化资源综合利用 </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加强矿产资源节约集约与综合利用，强化“三率”指标评估，落实企业节约与综合高效利用矿产资源的主体责任。对具有工业价值的共伴生矿产统一规划、综合开采、综合利用；鼓励采用煤矸石井下充填开采技术，提高煤矸石综合利用率；鼓励共伴生矿产资源开采、选矿过程中的综合开发利用；鼓励采取先进技术加强对废石、尾矿等资源二次利用及有用矿物元素的再利用，固体持证矿山新产生废石综合利用率达到 </w:t>
      </w:r>
      <w:r>
        <w:rPr>
          <w:rFonts w:ascii="仿宋_GB2312" w:hAnsi="仿宋_GB2312" w:eastAsia="仿宋_GB2312" w:cs="仿宋_GB2312"/>
          <w:color w:val="auto"/>
          <w:sz w:val="32"/>
          <w:szCs w:val="32"/>
          <w:highlight w:val="none"/>
        </w:rPr>
        <w:t>90%</w:t>
      </w:r>
      <w:r>
        <w:rPr>
          <w:rFonts w:hint="eastAsia" w:ascii="仿宋_GB2312" w:hAnsi="仿宋_GB2312" w:eastAsia="仿宋_GB2312" w:cs="仿宋_GB2312"/>
          <w:color w:val="auto"/>
          <w:sz w:val="32"/>
          <w:szCs w:val="32"/>
          <w:highlight w:val="none"/>
        </w:rPr>
        <w:t xml:space="preserve">以上、新产生尾矿综合利用率达到 </w:t>
      </w:r>
      <w:r>
        <w:rPr>
          <w:rFonts w:ascii="仿宋_GB2312" w:hAnsi="仿宋_GB2312" w:eastAsia="仿宋_GB2312" w:cs="仿宋_GB2312"/>
          <w:color w:val="auto"/>
          <w:sz w:val="32"/>
          <w:szCs w:val="32"/>
          <w:highlight w:val="none"/>
        </w:rPr>
        <w:t>60%</w:t>
      </w:r>
      <w:r>
        <w:rPr>
          <w:rFonts w:hint="eastAsia" w:ascii="仿宋_GB2312" w:hAnsi="仿宋_GB2312" w:eastAsia="仿宋_GB2312" w:cs="仿宋_GB2312"/>
          <w:color w:val="auto"/>
          <w:sz w:val="32"/>
          <w:szCs w:val="32"/>
          <w:highlight w:val="none"/>
        </w:rPr>
        <w:t xml:space="preserve">以上。 </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2.鼓励科技创新 </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支持矿山企业与科研机构、高等院校合作建立技术平台，推进技术与资本、技术与市场的融合，支持自主创新，开展矿业领域循环经济发展需要的科技人才培养和先进关键技术研发。 </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3.推广先进适用技术 </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加强政府引导，推广矿产资源节约与综合利用先进适用技术，完善鼓励提高矿产资源利用水平的相关政策，鼓励建设无尾无废矿山。 </w:t>
      </w:r>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52" w:name="_Toc28504"/>
      <w:r>
        <w:rPr>
          <w:rFonts w:hint="eastAsia" w:ascii="仿宋_GB2312" w:hAnsi="仿宋_GB2312" w:eastAsia="仿宋_GB2312" w:cs="仿宋_GB2312"/>
          <w:b w:val="0"/>
          <w:bCs w:val="0"/>
          <w:color w:val="auto"/>
          <w:sz w:val="32"/>
          <w:szCs w:val="32"/>
          <w:highlight w:val="none"/>
        </w:rPr>
        <w:t>（五）开采规划区块设置</w:t>
      </w:r>
      <w:bookmarkEnd w:id="52"/>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开采规划区块设置必须符合各级国土空间规划和矿产资源规划分区管理要求，优先在能源资源基地、国家规划矿区、重点开采区内设置开采规划区块。 根据当地社会经济发展需求有序投放采矿权。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采规划区块设置应满足生态保护红线管控要求，确保与生态保护要求相协调。禁止在生态保护红线范围内投放与红线管控要求不符的新设采矿权。因国土空间用途管控要求、自然生态安全边界、区域发展定位等发生变化，涉及的开采规划区块范围应予以调整。一个开采规划区块原则上只设一个开采主体，防止大矿小开、一矿多开。《矿产勘查开采分类目录》第三类矿产的开采</w:t>
      </w:r>
      <w:r>
        <w:rPr>
          <w:rFonts w:ascii="仿宋_GB2312" w:hAnsi="仿宋_GB2312" w:eastAsia="仿宋_GB2312" w:cs="仿宋_GB2312"/>
          <w:color w:val="auto"/>
          <w:sz w:val="32"/>
          <w:szCs w:val="32"/>
          <w:highlight w:val="none"/>
        </w:rPr>
        <w:t>区块</w:t>
      </w:r>
      <w:r>
        <w:rPr>
          <w:rFonts w:hint="eastAsia" w:ascii="仿宋_GB2312" w:hAnsi="仿宋_GB2312" w:eastAsia="仿宋_GB2312" w:cs="仿宋_GB2312"/>
          <w:color w:val="auto"/>
          <w:sz w:val="32"/>
          <w:szCs w:val="32"/>
          <w:highlight w:val="none"/>
        </w:rPr>
        <w:t xml:space="preserve">，满足相应勘查、开发标准的，可升级为第二类矿产采矿权区块公开出让，不在开采规划区块表内体现；已有采矿权延续、变更等矿业权审批，探矿权转为采矿权、经批复的矿业权整合等情形，按照矿业权审批和出让等相关规定办理，不在开采规划区块表内体现；采矿权设置时，应进一步落实永久基本农田保护、生态保护、自然保护地、饮用水源地保护等禁止性、限制性要求，按照要求对相应的范围予以避让或采取限制性措施。 </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国家出资勘查或探矿权灭失且勘查工作程度达到设置采矿权条件的，历史遗留并实际利用的现有地热井、矿泉水井和卤水井，普通建筑用砂石类等无需勘查可直接设置采矿权的，以及采矿权灭失经核实仍存在可供开采矿产资源量等特殊情形的，在符合上述设置原则前提下，可直接划定开采规划区块。</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落实省规划设置萤石开采规划区块1个；本规划拟设置开采规划区块23个，其中，岩盐8个，水泥用灰岩1个，饰面用花岗岩7个，地热1个，矿泉水6个。</w:t>
      </w:r>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53" w:name="_Toc711"/>
      <w:r>
        <w:rPr>
          <w:rFonts w:hint="eastAsia" w:ascii="仿宋_GB2312" w:hAnsi="仿宋_GB2312" w:eastAsia="仿宋_GB2312" w:cs="仿宋_GB2312"/>
          <w:b w:val="0"/>
          <w:bCs w:val="0"/>
          <w:color w:val="auto"/>
          <w:sz w:val="32"/>
          <w:szCs w:val="32"/>
          <w:highlight w:val="none"/>
        </w:rPr>
        <w:t>（六）规范砂石资源开发利用</w:t>
      </w:r>
      <w:bookmarkEnd w:id="53"/>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1.砂石资源开发布局</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东平县、新泰市、肥城市、宁阳县等砂石资源丰富的县（市、区）根据市场需求制定石灰岩和花岗岩等采矿权年度投放计划，促进规模开采、整体修复。严禁在生态保护红线、城市规划区、基本农田范围，以及省道以上重要公路、客运铁路可视范围内设置露天采矿权。预计规划期内泰安市砂石资源矿山产量可达到8500万吨。</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2.砂石矿山准入要求</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新建砂石矿山生产规模不低于 </w:t>
      </w:r>
      <w:r>
        <w:rPr>
          <w:rFonts w:ascii="仿宋_GB2312" w:hAnsi="仿宋_GB2312" w:eastAsia="仿宋_GB2312" w:cs="仿宋_GB2312"/>
          <w:color w:val="auto"/>
          <w:sz w:val="32"/>
          <w:szCs w:val="32"/>
          <w:highlight w:val="none"/>
        </w:rPr>
        <w:t xml:space="preserve">100 </w:t>
      </w:r>
      <w:r>
        <w:rPr>
          <w:rFonts w:hint="eastAsia" w:ascii="仿宋_GB2312" w:hAnsi="仿宋_GB2312" w:eastAsia="仿宋_GB2312" w:cs="仿宋_GB2312"/>
          <w:color w:val="auto"/>
          <w:sz w:val="32"/>
          <w:szCs w:val="32"/>
          <w:highlight w:val="none"/>
        </w:rPr>
        <w:t>万吨</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 xml:space="preserve">年，且服务年限不少于 </w:t>
      </w:r>
      <w:r>
        <w:rPr>
          <w:rFonts w:ascii="仿宋_GB2312" w:hAnsi="仿宋_GB2312" w:eastAsia="仿宋_GB2312" w:cs="仿宋_GB2312"/>
          <w:color w:val="auto"/>
          <w:sz w:val="32"/>
          <w:szCs w:val="32"/>
          <w:highlight w:val="none"/>
        </w:rPr>
        <w:t xml:space="preserve">10 </w:t>
      </w:r>
      <w:r>
        <w:rPr>
          <w:rFonts w:hint="eastAsia" w:ascii="仿宋_GB2312" w:hAnsi="仿宋_GB2312" w:eastAsia="仿宋_GB2312" w:cs="仿宋_GB2312"/>
          <w:color w:val="auto"/>
          <w:sz w:val="32"/>
          <w:szCs w:val="32"/>
          <w:highlight w:val="none"/>
        </w:rPr>
        <w:t xml:space="preserve">年。 </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推行“整体出让、整体开发”模式。支持有实力的大型骨干企业通过兼并、收购、整合等方式对现有砂石资源矿山企业进行整合重组，着力打造开采规范、生态环保、安全生产、集约高效的大型矿山企业，推进砂石集约化、规模化、基地化生产。 </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3.砂石资源管控措施</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统筹做好砂石资源开发利用与生态修复。新建露天开采砂石类矿山，须结合矿区周边人文、生态、产业等布局，探索实施采矿终了效果管控制度，适当限制深坑凹陷式开采，科学规划采矿终了预期效果，合理确定开采方式和修复模式，纳入采矿权出让公告，实行前置管理和过程管控。 </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 xml:space="preserve">支持产业协同发展 </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加大机制砂研发与应用，支持利用矿山尾矿尾渣、废石、石粉、泥粉及露天矿山剥离物等研发新型建筑材料。推动砂石矿山企业与下游深加工企业合作，大力推广相关先进技术产业化应用，促进跨行业、跨领域的产业协同和政策协同，推进砂石产业合理有序发展。 </w:t>
      </w:r>
    </w:p>
    <w:p>
      <w:pPr>
        <w:pStyle w:val="3"/>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color w:val="auto"/>
          <w:sz w:val="32"/>
          <w:szCs w:val="32"/>
          <w:highlight w:val="none"/>
        </w:rPr>
      </w:pPr>
      <w:bookmarkStart w:id="54" w:name="_Toc14948"/>
      <w:bookmarkStart w:id="55" w:name="_Toc27570"/>
      <w:r>
        <w:rPr>
          <w:rFonts w:hint="eastAsia" w:ascii="黑体" w:hAnsi="黑体" w:eastAsia="黑体" w:cs="黑体"/>
          <w:b w:val="0"/>
          <w:bCs w:val="0"/>
          <w:color w:val="auto"/>
          <w:sz w:val="32"/>
          <w:szCs w:val="32"/>
          <w:highlight w:val="none"/>
        </w:rPr>
        <w:t>六、</w:t>
      </w:r>
      <w:bookmarkEnd w:id="54"/>
      <w:r>
        <w:rPr>
          <w:rFonts w:hint="eastAsia" w:ascii="黑体" w:hAnsi="黑体" w:eastAsia="黑体" w:cs="黑体"/>
          <w:b w:val="0"/>
          <w:bCs w:val="0"/>
          <w:color w:val="auto"/>
          <w:sz w:val="32"/>
          <w:szCs w:val="32"/>
          <w:highlight w:val="none"/>
        </w:rPr>
        <w:t>绿色矿业发展</w:t>
      </w:r>
      <w:bookmarkEnd w:id="55"/>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56" w:name="_Toc32464"/>
      <w:bookmarkStart w:id="57" w:name="_Toc21434"/>
      <w:r>
        <w:rPr>
          <w:rFonts w:hint="eastAsia" w:ascii="仿宋_GB2312" w:hAnsi="仿宋_GB2312" w:eastAsia="仿宋_GB2312" w:cs="仿宋_GB2312"/>
          <w:b w:val="0"/>
          <w:bCs w:val="0"/>
          <w:color w:val="auto"/>
          <w:sz w:val="32"/>
          <w:szCs w:val="32"/>
          <w:highlight w:val="none"/>
        </w:rPr>
        <w:t>（一）绿色矿山建设</w:t>
      </w:r>
      <w:bookmarkEnd w:id="56"/>
      <w:bookmarkEnd w:id="57"/>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bookmarkStart w:id="58" w:name="_Toc26838"/>
      <w:r>
        <w:rPr>
          <w:rFonts w:hint="eastAsia" w:ascii="仿宋_GB2312" w:hAnsi="仿宋_GB2312" w:eastAsia="仿宋_GB2312" w:cs="仿宋_GB2312"/>
          <w:color w:val="auto"/>
          <w:sz w:val="32"/>
          <w:szCs w:val="32"/>
          <w:highlight w:val="none"/>
        </w:rPr>
        <w:t>1.绿色矿山建设工作</w:t>
      </w:r>
      <w:bookmarkEnd w:id="58"/>
      <w:r>
        <w:rPr>
          <w:rFonts w:hint="eastAsia" w:ascii="仿宋_GB2312" w:hAnsi="仿宋_GB2312" w:eastAsia="仿宋_GB2312" w:cs="仿宋_GB2312"/>
          <w:color w:val="auto"/>
          <w:sz w:val="32"/>
          <w:szCs w:val="32"/>
          <w:highlight w:val="none"/>
        </w:rPr>
        <w:t>计划</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健全“政府引导、部门协同、企业主建、科学评估、社会监督”的矿业绿色高质量发展工作机制；总结可复制、可推广的绿色矿山建设先进典型，引领带动全市绿色矿山建设。</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规划期内，所有</w:t>
      </w:r>
      <w:r>
        <w:rPr>
          <w:rFonts w:hint="eastAsia" w:ascii="仿宋_GB2312" w:hAnsi="仿宋_GB2312" w:eastAsia="仿宋_GB2312" w:cs="仿宋_GB2312"/>
          <w:color w:val="auto"/>
          <w:sz w:val="32"/>
          <w:szCs w:val="32"/>
          <w:highlight w:val="none"/>
          <w:lang w:val="en-US" w:eastAsia="zh-CN"/>
        </w:rPr>
        <w:t>尚未完成绿色矿山建设的</w:t>
      </w:r>
      <w:r>
        <w:rPr>
          <w:rFonts w:hint="eastAsia" w:ascii="仿宋_GB2312" w:hAnsi="仿宋_GB2312" w:eastAsia="仿宋_GB2312" w:cs="仿宋_GB2312"/>
          <w:color w:val="auto"/>
          <w:sz w:val="32"/>
          <w:szCs w:val="32"/>
          <w:highlight w:val="none"/>
        </w:rPr>
        <w:t>生产矿山和</w:t>
      </w:r>
      <w:r>
        <w:rPr>
          <w:rFonts w:hint="eastAsia" w:ascii="仿宋_GB2312" w:hAnsi="仿宋_GB2312" w:eastAsia="仿宋_GB2312" w:cs="仿宋_GB2312"/>
          <w:color w:val="auto"/>
          <w:sz w:val="32"/>
          <w:szCs w:val="32"/>
          <w:highlight w:val="none"/>
          <w:lang w:val="en-US" w:eastAsia="zh-CN"/>
        </w:rPr>
        <w:t>全部</w:t>
      </w:r>
      <w:r>
        <w:rPr>
          <w:rFonts w:hint="eastAsia" w:ascii="仿宋_GB2312" w:hAnsi="仿宋_GB2312" w:eastAsia="仿宋_GB2312" w:cs="仿宋_GB2312"/>
          <w:color w:val="auto"/>
          <w:sz w:val="32"/>
          <w:szCs w:val="32"/>
          <w:highlight w:val="none"/>
        </w:rPr>
        <w:t>新建矿山（正式投产一年内）完成绿色矿山建设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即按</w:t>
      </w:r>
      <w:r>
        <w:rPr>
          <w:rFonts w:hint="eastAsia" w:ascii="仿宋_GB2312" w:hAnsi="仿宋_GB2312" w:eastAsia="仿宋_GB2312" w:cs="仿宋_GB2312"/>
          <w:color w:val="auto"/>
          <w:sz w:val="32"/>
          <w:szCs w:val="32"/>
          <w:highlight w:val="none"/>
          <w:lang w:val="en-US" w:eastAsia="zh-CN"/>
        </w:rPr>
        <w:t>要求逐步</w:t>
      </w:r>
      <w:r>
        <w:rPr>
          <w:rFonts w:hint="eastAsia" w:ascii="仿宋_GB2312" w:hAnsi="仿宋_GB2312" w:eastAsia="仿宋_GB2312" w:cs="仿宋_GB2312"/>
          <w:color w:val="auto"/>
          <w:sz w:val="32"/>
          <w:szCs w:val="32"/>
          <w:highlight w:val="none"/>
        </w:rPr>
        <w:t>完成绿色矿山建设方案编制、绿色矿山建设、矿山企业自评估、第三方评估等，并适时申请纳入绿色矿山名录。</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bookmarkStart w:id="59" w:name="_Toc28243"/>
      <w:r>
        <w:rPr>
          <w:rFonts w:hint="eastAsia" w:ascii="仿宋_GB2312" w:hAnsi="仿宋_GB2312" w:eastAsia="仿宋_GB2312" w:cs="仿宋_GB2312"/>
          <w:color w:val="auto"/>
          <w:sz w:val="32"/>
          <w:szCs w:val="32"/>
          <w:highlight w:val="none"/>
        </w:rPr>
        <w:t>2.绿色矿山激励</w:t>
      </w:r>
      <w:r>
        <w:rPr>
          <w:rFonts w:hint="eastAsia" w:ascii="仿宋_GB2312" w:hAnsi="仿宋_GB2312" w:eastAsia="仿宋_GB2312" w:cs="仿宋_GB2312"/>
          <w:color w:val="auto"/>
          <w:sz w:val="32"/>
          <w:szCs w:val="32"/>
          <w:highlight w:val="none"/>
          <w:lang w:val="en-US" w:eastAsia="zh-CN"/>
        </w:rPr>
        <w:t>及监管</w:t>
      </w:r>
      <w:r>
        <w:rPr>
          <w:rFonts w:hint="eastAsia" w:ascii="仿宋_GB2312" w:hAnsi="仿宋_GB2312" w:eastAsia="仿宋_GB2312" w:cs="仿宋_GB2312"/>
          <w:color w:val="auto"/>
          <w:sz w:val="32"/>
          <w:szCs w:val="32"/>
          <w:highlight w:val="none"/>
        </w:rPr>
        <w:t>机制</w:t>
      </w:r>
      <w:bookmarkEnd w:id="59"/>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健全激励机制，落实资源、土地、财税和金融等绿色矿山建设支持政策，充分调动矿山企业积极性。对实行总量调控矿种的开采指标、矿业权投放，符合国家产业政策的，在用地、用矿、盘活使用矿山地质环境恢复治理基金、认定高新技术企业等方面对绿色矿山建设给予倾斜和支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进一步加强绿色矿山</w:t>
      </w:r>
      <w:r>
        <w:rPr>
          <w:rFonts w:hint="eastAsia" w:ascii="仿宋_GB2312" w:hAnsi="仿宋_GB2312" w:eastAsia="仿宋_GB2312" w:cs="仿宋_GB2312"/>
          <w:color w:val="auto"/>
          <w:sz w:val="32"/>
          <w:szCs w:val="32"/>
          <w:highlight w:val="none"/>
          <w:lang w:val="en-US" w:eastAsia="zh-CN"/>
        </w:rPr>
        <w:t>名录</w:t>
      </w:r>
      <w:r>
        <w:rPr>
          <w:rFonts w:hint="eastAsia" w:ascii="仿宋_GB2312" w:hAnsi="仿宋_GB2312" w:eastAsia="仿宋_GB2312" w:cs="仿宋_GB2312"/>
          <w:color w:val="auto"/>
          <w:sz w:val="32"/>
          <w:szCs w:val="32"/>
          <w:highlight w:val="none"/>
          <w:lang w:eastAsia="zh-CN"/>
        </w:rPr>
        <w:t>动态管理，加强对纳入国家级、省级绿色矿山名录矿山的监督检查。各级自然资源、生态环境、财政、市场监管等部门要建立健全信息共享互通机制，加强对已入库绿色矿山动态监督管理，定期开展专项抽查，对检查存在问题、整改不合格的按规定移出绿色矿山名录。</w:t>
      </w:r>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60" w:name="_Toc5859"/>
      <w:bookmarkStart w:id="61" w:name="_Toc14354"/>
      <w:r>
        <w:rPr>
          <w:rFonts w:hint="eastAsia" w:ascii="仿宋_GB2312" w:hAnsi="仿宋_GB2312" w:eastAsia="仿宋_GB2312" w:cs="仿宋_GB2312"/>
          <w:b w:val="0"/>
          <w:bCs w:val="0"/>
          <w:color w:val="auto"/>
          <w:sz w:val="32"/>
          <w:szCs w:val="32"/>
          <w:highlight w:val="none"/>
        </w:rPr>
        <w:t>（二）矿区生态保护修复</w:t>
      </w:r>
      <w:bookmarkEnd w:id="60"/>
      <w:bookmarkEnd w:id="61"/>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1.新建矿山</w:t>
      </w:r>
      <w:r>
        <w:rPr>
          <w:rFonts w:hint="eastAsia" w:ascii="仿宋_GB2312" w:hAnsi="仿宋_GB2312" w:eastAsia="仿宋_GB2312" w:cs="仿宋_GB2312"/>
          <w:color w:val="auto"/>
          <w:sz w:val="32"/>
          <w:szCs w:val="32"/>
          <w:highlight w:val="none"/>
          <w:lang w:val="en-US" w:eastAsia="zh-CN"/>
        </w:rPr>
        <w:t>及生产矿山</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新建矿山的矿山企业应统筹考虑矿山周边生态条件、自然景观、人居环境、村庄坐落、工业布局等因素，结合安全生产、矿山后期生态修复景观重建的实际需要，科学合理编制开发利用方案、矿山地质环境保护与土地复垦方案。 </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采矿权人应严格执行矿山地质环境保护与土地复垦方案，严格执行绿色矿山建设标准，按照</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边开采、边治理、边修复</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原则，严格履行矿山地质环境保护与土地复垦义务，确保生态修复工作与矿产资源开采活动同步开展。修复和平整过程中要做好扬尘污染管控，确保矿区无明显可视扬尘。采矿权人临时停产的，应采取必要措施减少对生态系统的扰动。</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矿权人应按照矿山地质环境保护与土地复垦方案总体部署和年度矿山生态修复计划，开展矿山生态修复工作，计提矿山地质环境治理恢复基金，逐年开展矿山生态保护与修复工作。矿山闭坑时，必须完成整个矿山的生态保护与修复任务。</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.历史遗留矿山</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结合生态功能修复和后续资源开发利用、产业发展等需求，按照宜耕则耕、宜林则林、宜水则水、宜建则建等原则，合理确定矿区内各类空间用地的规模、结构、布局，提出修复措施、时序和资金筹措，优化国土空间格局，为合理开发和科学利用创造条件。</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对于不符合自然恢复条件且具备资源综合利用价值、适宜社会资本投入的历史遗留矿山，经县级人民政府同意，可采用市场化方式开展矿山生态修复。按照</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谁投资、谁编制</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的原则，由拟参与矿山生态修复的社会主体编制矿山生态修复实施方案。采取公示、公开方式，择优确定矿山生态修复项目实施主体和实施方案。</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矿山生态修复项目因削坡减荷、消除矿山地质灾害隐患等修复工程新产生的土石料及原地遗留的土石料料优先无偿用于矿山修复工程，剩余的收益全部用于本地区矿山生态修复，不得挪作他用。社会投资主体承担修复工程的，应保障其合理收益。</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矿山生态修复实施方案新增耕地指标备案入库的可纳入全国耕地占补平衡动态监管系统。</w:t>
      </w:r>
    </w:p>
    <w:p>
      <w:pPr>
        <w:pStyle w:val="3"/>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黑体" w:hAnsi="黑体" w:eastAsia="黑体" w:cs="黑体"/>
          <w:b w:val="0"/>
          <w:bCs w:val="0"/>
          <w:color w:val="auto"/>
          <w:sz w:val="32"/>
          <w:szCs w:val="32"/>
          <w:highlight w:val="none"/>
          <w:lang w:val="en-US" w:eastAsia="zh-CN"/>
        </w:rPr>
      </w:pPr>
      <w:bookmarkStart w:id="62" w:name="_Toc12969"/>
      <w:bookmarkStart w:id="63" w:name="_Toc20984"/>
      <w:r>
        <w:rPr>
          <w:rFonts w:hint="eastAsia" w:ascii="黑体" w:hAnsi="黑体" w:eastAsia="黑体" w:cs="黑体"/>
          <w:b w:val="0"/>
          <w:bCs w:val="0"/>
          <w:color w:val="auto"/>
          <w:sz w:val="32"/>
          <w:szCs w:val="32"/>
          <w:highlight w:val="none"/>
          <w:lang w:val="en-US" w:eastAsia="zh-CN"/>
        </w:rPr>
        <w:t>七</w:t>
      </w:r>
      <w:r>
        <w:rPr>
          <w:rFonts w:hint="eastAsia" w:ascii="黑体" w:hAnsi="黑体" w:eastAsia="黑体" w:cs="黑体"/>
          <w:b w:val="0"/>
          <w:bCs w:val="0"/>
          <w:color w:val="auto"/>
          <w:sz w:val="32"/>
          <w:szCs w:val="32"/>
          <w:highlight w:val="none"/>
        </w:rPr>
        <w:t>、规划</w:t>
      </w:r>
      <w:bookmarkEnd w:id="62"/>
      <w:bookmarkEnd w:id="63"/>
      <w:r>
        <w:rPr>
          <w:rFonts w:hint="eastAsia" w:ascii="黑体" w:hAnsi="黑体" w:eastAsia="黑体" w:cs="黑体"/>
          <w:b w:val="0"/>
          <w:bCs w:val="0"/>
          <w:color w:val="auto"/>
          <w:sz w:val="32"/>
          <w:szCs w:val="32"/>
          <w:highlight w:val="none"/>
          <w:lang w:val="en-US" w:eastAsia="zh-CN"/>
        </w:rPr>
        <w:t>实施与管理</w:t>
      </w:r>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64" w:name="_Toc20755"/>
      <w:bookmarkStart w:id="65" w:name="_Toc337"/>
      <w:bookmarkStart w:id="66" w:name="_Toc67236103"/>
      <w:r>
        <w:rPr>
          <w:rFonts w:hint="eastAsia" w:ascii="仿宋_GB2312" w:hAnsi="仿宋_GB2312" w:eastAsia="仿宋_GB2312" w:cs="仿宋_GB2312"/>
          <w:b w:val="0"/>
          <w:bCs w:val="0"/>
          <w:color w:val="auto"/>
          <w:sz w:val="32"/>
          <w:szCs w:val="32"/>
          <w:highlight w:val="none"/>
        </w:rPr>
        <w:t>（一）加强组织领导</w:t>
      </w:r>
      <w:bookmarkEnd w:id="64"/>
      <w:bookmarkEnd w:id="65"/>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泰安市人民政府组织相关部门成立泰安市矿产资源总体规划实施工作领导小组，制定有力措施，明确责任分工，落实规划各项指标、重点任务和重大工程，推动规划实施落地；各部门要按照职责分工，切实履职尽责，加强部门协调联动，做好部门间政策衔接，形成工作合力，为规划实施创造有利条件；加强上下联动。泰安市自然资源局按照职责分工抓好规划任务分解，加强对辖区内县级规划实施的业务指导，确保规划顺利实施。 </w:t>
      </w:r>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67" w:name="_Toc4072"/>
      <w:bookmarkStart w:id="68" w:name="_Toc22998"/>
      <w:r>
        <w:rPr>
          <w:rFonts w:hint="eastAsia" w:ascii="仿宋_GB2312" w:hAnsi="仿宋_GB2312" w:eastAsia="仿宋_GB2312" w:cs="仿宋_GB2312"/>
          <w:b w:val="0"/>
          <w:bCs w:val="0"/>
          <w:color w:val="auto"/>
          <w:sz w:val="32"/>
          <w:szCs w:val="32"/>
          <w:highlight w:val="none"/>
        </w:rPr>
        <w:t>（二）落实经费保障</w:t>
      </w:r>
      <w:bookmarkEnd w:id="67"/>
      <w:bookmarkEnd w:id="68"/>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强化财政资金投入，各级政府应加强经费保障，发挥财政资金引导作用，保障规划顺利实施；引导社会资金投入，加大“放管服”改革力度，优化矿业营商环境，引导社会资本积极参与矿产资源勘查开发和矿山生态修复；加大用林用地政策支持，依法依规避让生态保护红线等禁止限制开发区域，对新出让矿业权在用地、用林方面加大政策支持力度，保障规划勘查开采区块落实落地；研究制定激励政策。探索建立矿业高质量发展激励机制，推动矿产资源规划有效落实，实现矿业高质量发展。 </w:t>
      </w:r>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69" w:name="_Toc6389"/>
      <w:bookmarkStart w:id="70" w:name="_Toc3694"/>
      <w:r>
        <w:rPr>
          <w:rFonts w:hint="eastAsia" w:ascii="仿宋_GB2312" w:hAnsi="仿宋_GB2312" w:eastAsia="仿宋_GB2312" w:cs="仿宋_GB2312"/>
          <w:b w:val="0"/>
          <w:bCs w:val="0"/>
          <w:color w:val="auto"/>
          <w:sz w:val="32"/>
          <w:szCs w:val="32"/>
          <w:highlight w:val="none"/>
        </w:rPr>
        <w:t>（三）加强规划实施</w:t>
      </w:r>
      <w:bookmarkEnd w:id="69"/>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做好各类规划间的有效衔接，分解落实上级规划确定的目标任务，做好与国民经济和社会发展规划、国土空间规划等的衔接一致；严格规划执行，规划一经批准，必须严格执行，确需调整的，严格按照有关规定程序办理；加强规划指标管理，强化规划矿业权数量和开采总量管理，合理调控开采规模，保障社会经济发展对资源的需求；加强矿业权出让登记管理，新设矿业权严格执行规划确定的准入条件，严禁违反规划设置矿业权；加强规划重点区域管理，重点开采区内有序投放矿业权，强化对矿业活动的监督管理，严格执行规划管控要求。</w:t>
      </w:r>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71" w:name="_Toc32527"/>
      <w:r>
        <w:rPr>
          <w:rFonts w:hint="eastAsia" w:ascii="仿宋_GB2312" w:hAnsi="仿宋_GB2312" w:eastAsia="仿宋_GB2312" w:cs="仿宋_GB2312"/>
          <w:b w:val="0"/>
          <w:bCs w:val="0"/>
          <w:color w:val="auto"/>
          <w:sz w:val="32"/>
          <w:szCs w:val="32"/>
          <w:highlight w:val="none"/>
        </w:rPr>
        <w:t>（四）加强实施评估</w:t>
      </w:r>
      <w:bookmarkEnd w:id="71"/>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展规划定期评估，统筹规划实施与评估，做好规划实施情况中期和终期评估总结，总结成效，发现问题，强化落实；注重规划评估结果运用，强化考核结果运用，将规划实施评估结果纳入各级自然资源管理考核的重要内容，确保责任落实。</w:t>
      </w:r>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72" w:name="_Toc4939"/>
      <w:r>
        <w:rPr>
          <w:rFonts w:hint="eastAsia" w:ascii="仿宋_GB2312" w:hAnsi="仿宋_GB2312" w:eastAsia="仿宋_GB2312" w:cs="仿宋_GB2312"/>
          <w:b w:val="0"/>
          <w:bCs w:val="0"/>
          <w:color w:val="auto"/>
          <w:sz w:val="32"/>
          <w:szCs w:val="32"/>
          <w:highlight w:val="none"/>
        </w:rPr>
        <w:t>（五）加强人才科技支撑</w:t>
      </w:r>
      <w:bookmarkEnd w:id="72"/>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加强人才队伍建设，支持矿产资源管理、勘查开采、选矿、生态修复等领域人才队伍建设，为矿业高质量发展提供智力支撑和技术保障；鼓励科技创新，加大矿产资源勘查开发利用新技术、新装备、新理论的研究和应用推广，提升科技水平和创新能力。</w:t>
      </w:r>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_GB2312" w:hAnsi="仿宋_GB2312" w:eastAsia="仿宋_GB2312" w:cs="仿宋_GB2312"/>
          <w:b w:val="0"/>
          <w:bCs w:val="0"/>
          <w:color w:val="auto"/>
          <w:sz w:val="32"/>
          <w:szCs w:val="32"/>
          <w:highlight w:val="none"/>
        </w:rPr>
      </w:pPr>
      <w:bookmarkStart w:id="73" w:name="_Toc12332"/>
      <w:r>
        <w:rPr>
          <w:rFonts w:hint="eastAsia" w:ascii="仿宋_GB2312" w:hAnsi="仿宋_GB2312" w:eastAsia="仿宋_GB2312" w:cs="仿宋_GB2312"/>
          <w:b w:val="0"/>
          <w:bCs w:val="0"/>
          <w:color w:val="auto"/>
          <w:sz w:val="32"/>
          <w:szCs w:val="32"/>
          <w:highlight w:val="none"/>
        </w:rPr>
        <w:t>（六）加强宣传引领</w:t>
      </w:r>
      <w:bookmarkEnd w:id="73"/>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做好规划宣传工作，及时将规划向社会发布并做好规划的相关政策解读。多渠道、多方式、多层次开展规划内容及实施情况的宣传力度，营造良好社会氛围；开展规划实施工作培训，提高规划执行的意识和能力；做好经验总结推广，及时总结分析规划实施典型做法，推广先进经验，提升规划实施水平。</w:t>
      </w:r>
      <w:bookmarkEnd w:id="66"/>
      <w:bookmarkEnd w:id="70"/>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-12065</wp:posOffset>
              </wp:positionV>
              <wp:extent cx="659130" cy="18732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659130" cy="187325"/>
                      </a:xfrm>
                      <a:prstGeom prst="rect">
                        <a:avLst/>
                      </a:prstGeom>
                      <a:noFill/>
                      <a:ln>
                        <a:noFill/>
                      </a:ln>
                    </wps:spPr>
                    <wps:txbx>
                      <w:txbxContent>
                        <w:p>
                          <w:pPr>
                            <w:pStyle w:val="7"/>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95pt;height:14.75pt;width:51.9pt;mso-position-horizontal:outside;mso-position-horizontal-relative:margin;z-index:251659264;mso-width-relative:page;mso-height-relative:page;" filled="f" stroked="f" coordsize="21600,21600" o:gfxdata="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Tp1U3VAAAABgEAAA8AAAAAAAAAAQAgAAAAIgAAAGRycy9kb3ducmV2Lnht&#10;bFBLAQIUABQAAAAIAIdO4kDxH747/AEAAAMEAAAOAAAAAAAAAAEAIAAAACQBAABkcnMvZTJvRG9j&#10;LnhtbFBLBQYAAAAABgAGAFkBAACSBQAAAAA=&#10;">
              <v:fill on="f" focussize="0,0"/>
              <v:stroke on="f"/>
              <v:imagedata o:title=""/>
              <o:lock v:ext="edit" aspectratio="f"/>
              <v:textbox inset="0mm,0mm,0mm,0mm">
                <w:txbxContent>
                  <w:p>
                    <w:pPr>
                      <w:pStyle w:val="7"/>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ZDFiZmZmNWNjNmI4ZGE3MzhhYWRlNjJjZDBiNjQifQ=="/>
  </w:docVars>
  <w:rsids>
    <w:rsidRoot w:val="00FC493F"/>
    <w:rsid w:val="00024A8A"/>
    <w:rsid w:val="0006496C"/>
    <w:rsid w:val="0007021A"/>
    <w:rsid w:val="00076988"/>
    <w:rsid w:val="000C456B"/>
    <w:rsid w:val="000F260D"/>
    <w:rsid w:val="0010721E"/>
    <w:rsid w:val="00107232"/>
    <w:rsid w:val="00111317"/>
    <w:rsid w:val="001209CA"/>
    <w:rsid w:val="0012261A"/>
    <w:rsid w:val="001233DC"/>
    <w:rsid w:val="00163FC9"/>
    <w:rsid w:val="00166690"/>
    <w:rsid w:val="00180946"/>
    <w:rsid w:val="001E3520"/>
    <w:rsid w:val="0026062C"/>
    <w:rsid w:val="002831AE"/>
    <w:rsid w:val="00296A64"/>
    <w:rsid w:val="00305074"/>
    <w:rsid w:val="00324712"/>
    <w:rsid w:val="00364DB3"/>
    <w:rsid w:val="0037152E"/>
    <w:rsid w:val="00372F07"/>
    <w:rsid w:val="003E5B79"/>
    <w:rsid w:val="003F3FDD"/>
    <w:rsid w:val="003F42F4"/>
    <w:rsid w:val="00421860"/>
    <w:rsid w:val="00456723"/>
    <w:rsid w:val="0048201A"/>
    <w:rsid w:val="0048739B"/>
    <w:rsid w:val="004B34EC"/>
    <w:rsid w:val="004C0E5C"/>
    <w:rsid w:val="004D4369"/>
    <w:rsid w:val="004E7394"/>
    <w:rsid w:val="004F1784"/>
    <w:rsid w:val="00550B32"/>
    <w:rsid w:val="00595EE8"/>
    <w:rsid w:val="005A2971"/>
    <w:rsid w:val="005A51EB"/>
    <w:rsid w:val="005C5B58"/>
    <w:rsid w:val="00624D7F"/>
    <w:rsid w:val="00630925"/>
    <w:rsid w:val="006B1461"/>
    <w:rsid w:val="00723315"/>
    <w:rsid w:val="00724B25"/>
    <w:rsid w:val="00772D04"/>
    <w:rsid w:val="007845C4"/>
    <w:rsid w:val="007906AE"/>
    <w:rsid w:val="00804FFD"/>
    <w:rsid w:val="00825C7B"/>
    <w:rsid w:val="00832C3B"/>
    <w:rsid w:val="00867970"/>
    <w:rsid w:val="008744A1"/>
    <w:rsid w:val="00874B88"/>
    <w:rsid w:val="00886D3C"/>
    <w:rsid w:val="008D38C5"/>
    <w:rsid w:val="009168ED"/>
    <w:rsid w:val="00943FAE"/>
    <w:rsid w:val="009556F9"/>
    <w:rsid w:val="0097462D"/>
    <w:rsid w:val="009C4D8A"/>
    <w:rsid w:val="009C6206"/>
    <w:rsid w:val="009D6AD1"/>
    <w:rsid w:val="009F4EE2"/>
    <w:rsid w:val="00A03A93"/>
    <w:rsid w:val="00A20609"/>
    <w:rsid w:val="00A44CD9"/>
    <w:rsid w:val="00A95546"/>
    <w:rsid w:val="00AA5D35"/>
    <w:rsid w:val="00B2083E"/>
    <w:rsid w:val="00B36586"/>
    <w:rsid w:val="00B7078A"/>
    <w:rsid w:val="00BA4434"/>
    <w:rsid w:val="00BC4108"/>
    <w:rsid w:val="00BC4E01"/>
    <w:rsid w:val="00BD138A"/>
    <w:rsid w:val="00BF1507"/>
    <w:rsid w:val="00BF33FB"/>
    <w:rsid w:val="00C240A1"/>
    <w:rsid w:val="00C30E98"/>
    <w:rsid w:val="00C33F8F"/>
    <w:rsid w:val="00C502F9"/>
    <w:rsid w:val="00C63397"/>
    <w:rsid w:val="00C657F9"/>
    <w:rsid w:val="00CD28DE"/>
    <w:rsid w:val="00CD490D"/>
    <w:rsid w:val="00CF2597"/>
    <w:rsid w:val="00CF3385"/>
    <w:rsid w:val="00D06AA1"/>
    <w:rsid w:val="00D336C9"/>
    <w:rsid w:val="00D36A4C"/>
    <w:rsid w:val="00D5145F"/>
    <w:rsid w:val="00D521EB"/>
    <w:rsid w:val="00D63036"/>
    <w:rsid w:val="00D84B84"/>
    <w:rsid w:val="00DB26C8"/>
    <w:rsid w:val="00DB27CE"/>
    <w:rsid w:val="00DF4E2D"/>
    <w:rsid w:val="00E06628"/>
    <w:rsid w:val="00E24C18"/>
    <w:rsid w:val="00E720AE"/>
    <w:rsid w:val="00E76B07"/>
    <w:rsid w:val="00EB3ED0"/>
    <w:rsid w:val="00EC3162"/>
    <w:rsid w:val="00F000B8"/>
    <w:rsid w:val="00F163FF"/>
    <w:rsid w:val="00F23623"/>
    <w:rsid w:val="00F551EA"/>
    <w:rsid w:val="00FB713D"/>
    <w:rsid w:val="00FC493F"/>
    <w:rsid w:val="00FC5373"/>
    <w:rsid w:val="00FD1387"/>
    <w:rsid w:val="0167398B"/>
    <w:rsid w:val="01890211"/>
    <w:rsid w:val="01B944B9"/>
    <w:rsid w:val="025D0062"/>
    <w:rsid w:val="03C029DF"/>
    <w:rsid w:val="040A18BF"/>
    <w:rsid w:val="045618BF"/>
    <w:rsid w:val="04A0179C"/>
    <w:rsid w:val="04B758E5"/>
    <w:rsid w:val="054E7164"/>
    <w:rsid w:val="056B3BCB"/>
    <w:rsid w:val="05BE72E8"/>
    <w:rsid w:val="06822634"/>
    <w:rsid w:val="06DF5527"/>
    <w:rsid w:val="07C613FB"/>
    <w:rsid w:val="07D1583A"/>
    <w:rsid w:val="086E2F30"/>
    <w:rsid w:val="08C60A75"/>
    <w:rsid w:val="0A072DF6"/>
    <w:rsid w:val="0A1C108A"/>
    <w:rsid w:val="0AC87435"/>
    <w:rsid w:val="0AE8719A"/>
    <w:rsid w:val="0AF77668"/>
    <w:rsid w:val="0D19104B"/>
    <w:rsid w:val="0D6E31D6"/>
    <w:rsid w:val="0D6F7F9A"/>
    <w:rsid w:val="0DA15C79"/>
    <w:rsid w:val="0E142792"/>
    <w:rsid w:val="0E1D228F"/>
    <w:rsid w:val="0E340AC3"/>
    <w:rsid w:val="0E3C3CBA"/>
    <w:rsid w:val="0F3A120A"/>
    <w:rsid w:val="0FC25F90"/>
    <w:rsid w:val="0FD928E4"/>
    <w:rsid w:val="0FDB25F6"/>
    <w:rsid w:val="0FE644C3"/>
    <w:rsid w:val="10787E38"/>
    <w:rsid w:val="10A32C9C"/>
    <w:rsid w:val="10D7200E"/>
    <w:rsid w:val="10E55175"/>
    <w:rsid w:val="111A6650"/>
    <w:rsid w:val="12410E11"/>
    <w:rsid w:val="129A26E2"/>
    <w:rsid w:val="130B6E8B"/>
    <w:rsid w:val="13104E5B"/>
    <w:rsid w:val="145547EB"/>
    <w:rsid w:val="14692ECD"/>
    <w:rsid w:val="14831203"/>
    <w:rsid w:val="154571C1"/>
    <w:rsid w:val="155E27D3"/>
    <w:rsid w:val="15D67166"/>
    <w:rsid w:val="16253698"/>
    <w:rsid w:val="17736846"/>
    <w:rsid w:val="17A15343"/>
    <w:rsid w:val="17F75DB1"/>
    <w:rsid w:val="181F1FE0"/>
    <w:rsid w:val="18C62889"/>
    <w:rsid w:val="191B5CC9"/>
    <w:rsid w:val="195D5714"/>
    <w:rsid w:val="196B493B"/>
    <w:rsid w:val="19CA1FBB"/>
    <w:rsid w:val="1A2A0CF5"/>
    <w:rsid w:val="1A304D4D"/>
    <w:rsid w:val="1A4D6AB8"/>
    <w:rsid w:val="1A735017"/>
    <w:rsid w:val="1AAF0551"/>
    <w:rsid w:val="1ABA46D4"/>
    <w:rsid w:val="1B817F57"/>
    <w:rsid w:val="1C226BF2"/>
    <w:rsid w:val="1C984775"/>
    <w:rsid w:val="1CBE1B1B"/>
    <w:rsid w:val="1CE6099A"/>
    <w:rsid w:val="1D075DB1"/>
    <w:rsid w:val="1D7124FE"/>
    <w:rsid w:val="1DDA2269"/>
    <w:rsid w:val="1DE839E2"/>
    <w:rsid w:val="1E817283"/>
    <w:rsid w:val="1F4371F7"/>
    <w:rsid w:val="1FEA4BCF"/>
    <w:rsid w:val="204576E8"/>
    <w:rsid w:val="20A76D41"/>
    <w:rsid w:val="20C30988"/>
    <w:rsid w:val="21136D72"/>
    <w:rsid w:val="220A75C9"/>
    <w:rsid w:val="222944BD"/>
    <w:rsid w:val="232A616E"/>
    <w:rsid w:val="235C417D"/>
    <w:rsid w:val="23617E01"/>
    <w:rsid w:val="2373189F"/>
    <w:rsid w:val="23E043B6"/>
    <w:rsid w:val="246D5C4F"/>
    <w:rsid w:val="24964465"/>
    <w:rsid w:val="24CA7BB8"/>
    <w:rsid w:val="255053EE"/>
    <w:rsid w:val="258C65EC"/>
    <w:rsid w:val="25ED5B69"/>
    <w:rsid w:val="263E08AF"/>
    <w:rsid w:val="263E4078"/>
    <w:rsid w:val="265B5D98"/>
    <w:rsid w:val="268F0D06"/>
    <w:rsid w:val="27007912"/>
    <w:rsid w:val="27257379"/>
    <w:rsid w:val="28AF1B3F"/>
    <w:rsid w:val="2981245C"/>
    <w:rsid w:val="29F05AC6"/>
    <w:rsid w:val="29F139BD"/>
    <w:rsid w:val="2A271817"/>
    <w:rsid w:val="2AB631D3"/>
    <w:rsid w:val="2AC93F5E"/>
    <w:rsid w:val="2B01220A"/>
    <w:rsid w:val="2B1B3187"/>
    <w:rsid w:val="2B2B10ED"/>
    <w:rsid w:val="2B6510FC"/>
    <w:rsid w:val="2BB114D7"/>
    <w:rsid w:val="2BCB6807"/>
    <w:rsid w:val="2C08516E"/>
    <w:rsid w:val="2C4000EC"/>
    <w:rsid w:val="2CE445F4"/>
    <w:rsid w:val="2D623EB3"/>
    <w:rsid w:val="2DBB4EBE"/>
    <w:rsid w:val="2E3F4E8F"/>
    <w:rsid w:val="2E8F44D2"/>
    <w:rsid w:val="2EB01B4C"/>
    <w:rsid w:val="2F0B32F8"/>
    <w:rsid w:val="2F1D0DB1"/>
    <w:rsid w:val="2F5E695B"/>
    <w:rsid w:val="2FEF49D9"/>
    <w:rsid w:val="301F2F3B"/>
    <w:rsid w:val="30586846"/>
    <w:rsid w:val="309B14A9"/>
    <w:rsid w:val="30C54AF1"/>
    <w:rsid w:val="30E92F7F"/>
    <w:rsid w:val="311F7D13"/>
    <w:rsid w:val="325E2C14"/>
    <w:rsid w:val="325E62AC"/>
    <w:rsid w:val="32925A11"/>
    <w:rsid w:val="337576BE"/>
    <w:rsid w:val="33D6339D"/>
    <w:rsid w:val="34180BEF"/>
    <w:rsid w:val="344B2247"/>
    <w:rsid w:val="346526F1"/>
    <w:rsid w:val="346A1BDB"/>
    <w:rsid w:val="34D049C3"/>
    <w:rsid w:val="35165694"/>
    <w:rsid w:val="355D78CA"/>
    <w:rsid w:val="35B20096"/>
    <w:rsid w:val="36405F7D"/>
    <w:rsid w:val="365077E6"/>
    <w:rsid w:val="37783B2D"/>
    <w:rsid w:val="377D0E51"/>
    <w:rsid w:val="378506FE"/>
    <w:rsid w:val="378809DA"/>
    <w:rsid w:val="379542C8"/>
    <w:rsid w:val="37E734BA"/>
    <w:rsid w:val="386A6F3D"/>
    <w:rsid w:val="38803D74"/>
    <w:rsid w:val="38F328A1"/>
    <w:rsid w:val="3911179D"/>
    <w:rsid w:val="39D22B38"/>
    <w:rsid w:val="39F67D6F"/>
    <w:rsid w:val="3A167A88"/>
    <w:rsid w:val="3AA03C99"/>
    <w:rsid w:val="3B0800FD"/>
    <w:rsid w:val="3B34153A"/>
    <w:rsid w:val="3BA9306C"/>
    <w:rsid w:val="3C1D485A"/>
    <w:rsid w:val="3C313FC5"/>
    <w:rsid w:val="3CC072EA"/>
    <w:rsid w:val="3CE42241"/>
    <w:rsid w:val="3D224334"/>
    <w:rsid w:val="3DD31D65"/>
    <w:rsid w:val="3DD63B25"/>
    <w:rsid w:val="3DDE2F12"/>
    <w:rsid w:val="402373DA"/>
    <w:rsid w:val="40E67721"/>
    <w:rsid w:val="40FF5531"/>
    <w:rsid w:val="41137505"/>
    <w:rsid w:val="417426DC"/>
    <w:rsid w:val="419D4ED4"/>
    <w:rsid w:val="419E6ABC"/>
    <w:rsid w:val="43B53B89"/>
    <w:rsid w:val="43C0796C"/>
    <w:rsid w:val="442F0B8F"/>
    <w:rsid w:val="443847CF"/>
    <w:rsid w:val="449A5826"/>
    <w:rsid w:val="449F5450"/>
    <w:rsid w:val="44C44324"/>
    <w:rsid w:val="4580661E"/>
    <w:rsid w:val="45AF585A"/>
    <w:rsid w:val="45E73018"/>
    <w:rsid w:val="46E22002"/>
    <w:rsid w:val="47512839"/>
    <w:rsid w:val="47D064B0"/>
    <w:rsid w:val="498B0FC6"/>
    <w:rsid w:val="4A2A0B40"/>
    <w:rsid w:val="4A7E5BE4"/>
    <w:rsid w:val="4C503838"/>
    <w:rsid w:val="4CCC14FB"/>
    <w:rsid w:val="4D067268"/>
    <w:rsid w:val="4D830362"/>
    <w:rsid w:val="4DFD2C7D"/>
    <w:rsid w:val="4E411333"/>
    <w:rsid w:val="4E561DC6"/>
    <w:rsid w:val="4E783AB7"/>
    <w:rsid w:val="4E915170"/>
    <w:rsid w:val="4EB433B4"/>
    <w:rsid w:val="4FF330CA"/>
    <w:rsid w:val="50065B2E"/>
    <w:rsid w:val="503A2555"/>
    <w:rsid w:val="50F05571"/>
    <w:rsid w:val="50FC7998"/>
    <w:rsid w:val="511A6029"/>
    <w:rsid w:val="52063533"/>
    <w:rsid w:val="527C6CDA"/>
    <w:rsid w:val="528331B8"/>
    <w:rsid w:val="52B47FA5"/>
    <w:rsid w:val="53797669"/>
    <w:rsid w:val="53906E4C"/>
    <w:rsid w:val="53FF5E24"/>
    <w:rsid w:val="54482157"/>
    <w:rsid w:val="54AC116F"/>
    <w:rsid w:val="54C707CF"/>
    <w:rsid w:val="550C661F"/>
    <w:rsid w:val="55796A27"/>
    <w:rsid w:val="55A01091"/>
    <w:rsid w:val="55B54388"/>
    <w:rsid w:val="55F111CF"/>
    <w:rsid w:val="569B1694"/>
    <w:rsid w:val="56E12BCA"/>
    <w:rsid w:val="570143E9"/>
    <w:rsid w:val="57236759"/>
    <w:rsid w:val="57514007"/>
    <w:rsid w:val="57665516"/>
    <w:rsid w:val="57D71BA8"/>
    <w:rsid w:val="584A7A4F"/>
    <w:rsid w:val="586324E4"/>
    <w:rsid w:val="58AF4BB3"/>
    <w:rsid w:val="59561CA9"/>
    <w:rsid w:val="5A2612F5"/>
    <w:rsid w:val="5ADE5647"/>
    <w:rsid w:val="5AF0353B"/>
    <w:rsid w:val="5AF35A6E"/>
    <w:rsid w:val="5B9E388D"/>
    <w:rsid w:val="5BD63EE1"/>
    <w:rsid w:val="5BDE39BF"/>
    <w:rsid w:val="5C212D95"/>
    <w:rsid w:val="5CBD16A1"/>
    <w:rsid w:val="5D1C02FB"/>
    <w:rsid w:val="5DA3136C"/>
    <w:rsid w:val="5DEA00F1"/>
    <w:rsid w:val="5DEF3C61"/>
    <w:rsid w:val="5E1F0D42"/>
    <w:rsid w:val="5E6F5011"/>
    <w:rsid w:val="5EAA2E08"/>
    <w:rsid w:val="5ED9278E"/>
    <w:rsid w:val="5EDC519B"/>
    <w:rsid w:val="5EE91A2A"/>
    <w:rsid w:val="6007716F"/>
    <w:rsid w:val="60513E28"/>
    <w:rsid w:val="60554679"/>
    <w:rsid w:val="605D2A0C"/>
    <w:rsid w:val="60B26B10"/>
    <w:rsid w:val="60F85B0A"/>
    <w:rsid w:val="614E548D"/>
    <w:rsid w:val="61A15272"/>
    <w:rsid w:val="61A7625A"/>
    <w:rsid w:val="6243399B"/>
    <w:rsid w:val="625942CE"/>
    <w:rsid w:val="62662529"/>
    <w:rsid w:val="627E5D96"/>
    <w:rsid w:val="62831A9B"/>
    <w:rsid w:val="62944057"/>
    <w:rsid w:val="62B03C38"/>
    <w:rsid w:val="64026A34"/>
    <w:rsid w:val="64BE15EE"/>
    <w:rsid w:val="6546746A"/>
    <w:rsid w:val="660971AF"/>
    <w:rsid w:val="660F48A0"/>
    <w:rsid w:val="666533BF"/>
    <w:rsid w:val="66B32306"/>
    <w:rsid w:val="66F705BF"/>
    <w:rsid w:val="6707522C"/>
    <w:rsid w:val="672063B8"/>
    <w:rsid w:val="67356B88"/>
    <w:rsid w:val="675D215B"/>
    <w:rsid w:val="6773052E"/>
    <w:rsid w:val="67914E03"/>
    <w:rsid w:val="67AE4D5A"/>
    <w:rsid w:val="67EA4F27"/>
    <w:rsid w:val="68035F63"/>
    <w:rsid w:val="68123565"/>
    <w:rsid w:val="68F62D67"/>
    <w:rsid w:val="6A287F8F"/>
    <w:rsid w:val="6A2E7686"/>
    <w:rsid w:val="6B28035F"/>
    <w:rsid w:val="6B7B306B"/>
    <w:rsid w:val="6BAE57F3"/>
    <w:rsid w:val="6BF8213C"/>
    <w:rsid w:val="6C0F5F45"/>
    <w:rsid w:val="6C1164A0"/>
    <w:rsid w:val="6CBD2946"/>
    <w:rsid w:val="6CC42419"/>
    <w:rsid w:val="6CE870D4"/>
    <w:rsid w:val="6D407F66"/>
    <w:rsid w:val="6D4E34AE"/>
    <w:rsid w:val="6DC16CF1"/>
    <w:rsid w:val="6E845F98"/>
    <w:rsid w:val="6F653CF0"/>
    <w:rsid w:val="7065684B"/>
    <w:rsid w:val="70BE58A7"/>
    <w:rsid w:val="71084D7C"/>
    <w:rsid w:val="712814A7"/>
    <w:rsid w:val="715F54F7"/>
    <w:rsid w:val="717273C2"/>
    <w:rsid w:val="717F0948"/>
    <w:rsid w:val="71823F92"/>
    <w:rsid w:val="71B44217"/>
    <w:rsid w:val="723C62EB"/>
    <w:rsid w:val="72D276DF"/>
    <w:rsid w:val="72EE3F4D"/>
    <w:rsid w:val="7358635E"/>
    <w:rsid w:val="73E21D11"/>
    <w:rsid w:val="74836FEF"/>
    <w:rsid w:val="749357EE"/>
    <w:rsid w:val="74C84DB4"/>
    <w:rsid w:val="754B5BEF"/>
    <w:rsid w:val="7564221F"/>
    <w:rsid w:val="75ED4A6D"/>
    <w:rsid w:val="762B71C1"/>
    <w:rsid w:val="76414389"/>
    <w:rsid w:val="76725699"/>
    <w:rsid w:val="76AB1BE4"/>
    <w:rsid w:val="772A0601"/>
    <w:rsid w:val="776112BD"/>
    <w:rsid w:val="7808419B"/>
    <w:rsid w:val="78395100"/>
    <w:rsid w:val="78856153"/>
    <w:rsid w:val="78CC523C"/>
    <w:rsid w:val="799C7123"/>
    <w:rsid w:val="79DA29BE"/>
    <w:rsid w:val="79E03564"/>
    <w:rsid w:val="7A447B28"/>
    <w:rsid w:val="7A46782F"/>
    <w:rsid w:val="7AB51C50"/>
    <w:rsid w:val="7B407452"/>
    <w:rsid w:val="7B7E5CE7"/>
    <w:rsid w:val="7BDC5B39"/>
    <w:rsid w:val="7D086284"/>
    <w:rsid w:val="7D383E47"/>
    <w:rsid w:val="7DB83069"/>
    <w:rsid w:val="7DBB5BBB"/>
    <w:rsid w:val="7E8D425C"/>
    <w:rsid w:val="7EAF0FBB"/>
    <w:rsid w:val="7EE33525"/>
    <w:rsid w:val="7F0039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suppressAutoHyphens/>
    </w:pPr>
    <w:rPr>
      <w:rFonts w:ascii="宋体" w:hAnsi="宋体" w:cs="Courier New"/>
      <w:sz w:val="20"/>
    </w:rPr>
  </w:style>
  <w:style w:type="paragraph" w:styleId="5">
    <w:name w:val="annotation text"/>
    <w:basedOn w:val="1"/>
    <w:link w:val="33"/>
    <w:semiHidden/>
    <w:unhideWhenUsed/>
    <w:qFormat/>
    <w:uiPriority w:val="99"/>
    <w:pPr>
      <w:jc w:val="left"/>
    </w:pPr>
  </w:style>
  <w:style w:type="paragraph" w:styleId="6">
    <w:name w:val="Body Text Indent"/>
    <w:basedOn w:val="1"/>
    <w:link w:val="21"/>
    <w:qFormat/>
    <w:uiPriority w:val="0"/>
    <w:pPr>
      <w:spacing w:after="120"/>
      <w:ind w:left="420" w:leftChars="200"/>
    </w:pPr>
    <w:rPr>
      <w:rFonts w:ascii="Times New Roman" w:hAnsi="Times New Roman"/>
      <w:szCs w:val="24"/>
    </w:rPr>
  </w:style>
  <w:style w:type="paragraph" w:styleId="7">
    <w:name w:val="footer"/>
    <w:basedOn w:val="1"/>
    <w:link w:val="20"/>
    <w:unhideWhenUsed/>
    <w:qFormat/>
    <w:uiPriority w:val="0"/>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5"/>
    <w:next w:val="5"/>
    <w:link w:val="34"/>
    <w:semiHidden/>
    <w:unhideWhenUsed/>
    <w:qFormat/>
    <w:uiPriority w:val="99"/>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页眉 字符"/>
    <w:basedOn w:val="15"/>
    <w:link w:val="8"/>
    <w:qFormat/>
    <w:uiPriority w:val="99"/>
    <w:rPr>
      <w:rFonts w:ascii="Calibri" w:hAnsi="Calibri" w:eastAsia="宋体" w:cs="Times New Roman"/>
      <w:sz w:val="18"/>
      <w:szCs w:val="18"/>
    </w:rPr>
  </w:style>
  <w:style w:type="character" w:customStyle="1" w:styleId="20">
    <w:name w:val="页脚 字符"/>
    <w:basedOn w:val="15"/>
    <w:link w:val="7"/>
    <w:qFormat/>
    <w:uiPriority w:val="0"/>
    <w:rPr>
      <w:rFonts w:ascii="Calibri" w:hAnsi="Calibri" w:eastAsia="宋体" w:cs="Times New Roman"/>
      <w:sz w:val="18"/>
      <w:szCs w:val="18"/>
    </w:rPr>
  </w:style>
  <w:style w:type="character" w:customStyle="1" w:styleId="21">
    <w:name w:val="正文文本缩进 字符"/>
    <w:basedOn w:val="15"/>
    <w:link w:val="6"/>
    <w:qFormat/>
    <w:uiPriority w:val="0"/>
    <w:rPr>
      <w:rFonts w:ascii="Times New Roman" w:hAnsi="Times New Roman" w:eastAsia="宋体" w:cs="Times New Roman"/>
      <w:szCs w:val="24"/>
    </w:rPr>
  </w:style>
  <w:style w:type="character" w:customStyle="1" w:styleId="22">
    <w:name w:val="标题 1 字符"/>
    <w:basedOn w:val="15"/>
    <w:link w:val="3"/>
    <w:qFormat/>
    <w:uiPriority w:val="9"/>
    <w:rPr>
      <w:rFonts w:ascii="Calibri" w:hAnsi="Calibri" w:eastAsia="宋体" w:cs="Times New Roman"/>
      <w:b/>
      <w:bCs/>
      <w:kern w:val="44"/>
      <w:sz w:val="44"/>
      <w:szCs w:val="44"/>
    </w:rPr>
  </w:style>
  <w:style w:type="character" w:customStyle="1" w:styleId="23">
    <w:name w:val="标题 2 字符"/>
    <w:basedOn w:val="15"/>
    <w:link w:val="4"/>
    <w:qFormat/>
    <w:uiPriority w:val="9"/>
    <w:rPr>
      <w:rFonts w:asciiTheme="majorHAnsi" w:hAnsiTheme="majorHAnsi" w:eastAsiaTheme="majorEastAsia" w:cstheme="majorBidi"/>
      <w:b/>
      <w:bCs/>
      <w:sz w:val="32"/>
      <w:szCs w:val="32"/>
    </w:rPr>
  </w:style>
  <w:style w:type="paragraph" w:customStyle="1" w:styleId="24">
    <w:name w:val="Default"/>
    <w:qFormat/>
    <w:uiPriority w:val="0"/>
    <w:pPr>
      <w:widowControl w:val="0"/>
      <w:autoSpaceDE w:val="0"/>
      <w:autoSpaceDN w:val="0"/>
      <w:adjustRightInd w:val="0"/>
    </w:pPr>
    <w:rPr>
      <w:rFonts w:ascii="黑体" w:hAnsi="Times New Roman" w:eastAsia="宋体" w:cs="黑体"/>
      <w:color w:val="000000"/>
      <w:sz w:val="24"/>
      <w:szCs w:val="24"/>
      <w:lang w:val="en-US" w:eastAsia="zh-CN" w:bidi="ar-SA"/>
    </w:rPr>
  </w:style>
  <w:style w:type="character" w:customStyle="1" w:styleId="25">
    <w:name w:val="font31"/>
    <w:basedOn w:val="15"/>
    <w:qFormat/>
    <w:uiPriority w:val="0"/>
    <w:rPr>
      <w:rFonts w:hint="default" w:ascii="Arial" w:hAnsi="Arial" w:cs="Arial"/>
      <w:b/>
      <w:bCs/>
      <w:color w:val="000000"/>
      <w:sz w:val="20"/>
      <w:szCs w:val="20"/>
      <w:u w:val="none"/>
    </w:rPr>
  </w:style>
  <w:style w:type="character" w:customStyle="1" w:styleId="26">
    <w:name w:val="font61"/>
    <w:basedOn w:val="15"/>
    <w:qFormat/>
    <w:uiPriority w:val="0"/>
    <w:rPr>
      <w:rFonts w:hint="eastAsia" w:ascii="宋体" w:hAnsi="宋体" w:eastAsia="宋体" w:cs="宋体"/>
      <w:b/>
      <w:bCs/>
      <w:color w:val="000000"/>
      <w:sz w:val="20"/>
      <w:szCs w:val="20"/>
      <w:u w:val="none"/>
    </w:rPr>
  </w:style>
  <w:style w:type="paragraph" w:customStyle="1" w:styleId="27">
    <w:name w:val="研究报告正文"/>
    <w:basedOn w:val="1"/>
    <w:qFormat/>
    <w:uiPriority w:val="99"/>
    <w:pPr>
      <w:spacing w:line="360" w:lineRule="auto"/>
      <w:ind w:firstLine="200" w:firstLineChars="200"/>
    </w:pPr>
    <w:rPr>
      <w:rFonts w:ascii="宋体"/>
      <w:bCs/>
      <w:sz w:val="24"/>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1">
    <w:name w:val="font11"/>
    <w:basedOn w:val="15"/>
    <w:qFormat/>
    <w:uiPriority w:val="0"/>
    <w:rPr>
      <w:rFonts w:hint="default" w:ascii="Arial" w:hAnsi="Arial" w:cs="Arial"/>
      <w:color w:val="000000"/>
      <w:sz w:val="20"/>
      <w:szCs w:val="20"/>
      <w:u w:val="none"/>
    </w:rPr>
  </w:style>
  <w:style w:type="character" w:customStyle="1" w:styleId="32">
    <w:name w:val="font21"/>
    <w:basedOn w:val="15"/>
    <w:qFormat/>
    <w:uiPriority w:val="0"/>
    <w:rPr>
      <w:rFonts w:hint="eastAsia" w:ascii="宋体" w:hAnsi="宋体" w:eastAsia="宋体" w:cs="宋体"/>
      <w:color w:val="000000"/>
      <w:sz w:val="20"/>
      <w:szCs w:val="20"/>
      <w:u w:val="none"/>
    </w:rPr>
  </w:style>
  <w:style w:type="character" w:customStyle="1" w:styleId="33">
    <w:name w:val="批注文字 字符"/>
    <w:basedOn w:val="15"/>
    <w:link w:val="5"/>
    <w:semiHidden/>
    <w:qFormat/>
    <w:uiPriority w:val="99"/>
    <w:rPr>
      <w:rFonts w:ascii="Calibri" w:hAnsi="Calibri"/>
      <w:kern w:val="2"/>
      <w:sz w:val="21"/>
      <w:szCs w:val="21"/>
    </w:rPr>
  </w:style>
  <w:style w:type="character" w:customStyle="1" w:styleId="34">
    <w:name w:val="批注主题 字符"/>
    <w:basedOn w:val="33"/>
    <w:link w:val="12"/>
    <w:semiHidden/>
    <w:qFormat/>
    <w:uiPriority w:val="99"/>
    <w:rPr>
      <w:rFonts w:ascii="Calibri" w:hAnsi="Calibri"/>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10487</Words>
  <Characters>10721</Characters>
  <Lines>166</Lines>
  <Paragraphs>46</Paragraphs>
  <TotalTime>11</TotalTime>
  <ScaleCrop>false</ScaleCrop>
  <LinksUpToDate>false</LinksUpToDate>
  <CharactersWithSpaces>10766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2021-10-15T04:49:00Z</dcterms:created>
  <dc:creator>xtzj</dc:creator>
  <cp:lastModifiedBy>阿荣</cp:lastModifiedBy>
  <cp:lastPrinted>2023-01-28T02:09:00Z</cp:lastPrinted>
  <dcterms:modified xsi:type="dcterms:W3CDTF">2024-08-06T00:42:27Z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83A5AA9EC3D344C69F90F06EA3D927CE</vt:lpwstr>
  </property>
  <property fmtid="{D5CDD505-2E9C-101B-9397-08002B2CF9AE}" pid="4" name="commondata">
    <vt:lpwstr>eyJoZGlkIjoiNjZlNjljN2ZiNWRhYWZlZmY2NjFmYjkyYWFmZTViOGYifQ==</vt:lpwstr>
  </property>
</Properties>
</file>