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i w:val="0"/>
          <w:caps w:val="0"/>
          <w:color w:val="000000"/>
          <w:spacing w:val="0"/>
          <w:sz w:val="28"/>
          <w:szCs w:val="28"/>
        </w:rPr>
      </w:pPr>
      <w:r>
        <w:rPr>
          <w:rFonts w:hint="eastAsia" w:asciiTheme="majorEastAsia" w:hAnsiTheme="majorEastAsia" w:eastAsiaTheme="majorEastAsia" w:cstheme="majorEastAsia"/>
          <w:b/>
          <w:bCs/>
          <w:i w:val="0"/>
          <w:caps w:val="0"/>
          <w:color w:val="000000"/>
          <w:spacing w:val="0"/>
          <w:sz w:val="30"/>
          <w:szCs w:val="30"/>
        </w:rPr>
        <w:t>泰安市环境空气质量生态补偿暂行办法</w:t>
      </w:r>
    </w:p>
    <w:p>
      <w:pPr>
        <w:jc w:val="center"/>
        <w:rPr>
          <w:rFonts w:hint="eastAsia" w:asciiTheme="majorEastAsia" w:hAnsiTheme="majorEastAsia" w:eastAsiaTheme="majorEastAsia" w:cstheme="majorEastAsia"/>
          <w:b/>
          <w:bCs/>
          <w:i w:val="0"/>
          <w:caps w:val="0"/>
          <w:color w:val="000000"/>
          <w:spacing w:val="0"/>
          <w:sz w:val="28"/>
          <w:szCs w:val="28"/>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第一条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 xml:space="preserve">为加快推进生态文明建设，促进环境空气质量逐年改善，参照《山东省环境空气质量生态补偿暂行办法》，结合我市实际，制定本办法。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第二条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本办法所称环</w:t>
      </w:r>
      <w:bookmarkStart w:id="0" w:name="_GoBack"/>
      <w:bookmarkEnd w:id="0"/>
      <w:r>
        <w:rPr>
          <w:rFonts w:hint="eastAsia" w:asciiTheme="minorEastAsia" w:hAnsiTheme="minorEastAsia" w:eastAsiaTheme="minorEastAsia" w:cstheme="minorEastAsia"/>
          <w:i w:val="0"/>
          <w:caps w:val="0"/>
          <w:color w:val="000000"/>
          <w:spacing w:val="0"/>
          <w:sz w:val="24"/>
          <w:szCs w:val="24"/>
        </w:rPr>
        <w:t xml:space="preserve">境空气质量生态补偿资金（以下简称生态补偿资金）是指依据环境空气质量同比变化情况，向考核对象补偿或者由其缴纳赔偿的资金。空气质量生态补偿资金按季度计算，按年度结算。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第三条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 xml:space="preserve">本办法考核对象为各县（市、区）政府及功能区管委会。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第四条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 xml:space="preserve">各考核对象向市赔偿的资金纳入市生态补偿资金，〖JP1〗用于补偿市向省级缴纳赔偿资金和补偿空气质量改善的考核对象。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第五条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按照“将生态环境质量逐年改善作为区域发展的约束性要求”和“谁保护、谁受益；谁污染、谁付费”的原则，以各考核对象细颗粒物（PM2.5）、可吸入颗粒物（PM10）、二氧化硫（SO2）、二氧化氮（NO2）平均浓度及空气质量优良天数比例季度同比变化情况为考核指标，建立考核奖惩和生态补偿机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 xml:space="preserve">PM2.5、PM10、SO2、NO2四类污染物考核权重分别为50%、20%、10%、20%。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第六条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 xml:space="preserve">考核数据采用山东省环境信息与监控中心及市监控中心提供的各考核对象环境空气质量自动监测数据。自动监测数据通过环保部门官方网站公开发布。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第七条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污染物浓度以微克/立方米计，空气质量优良天数比例以百分点计。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 xml:space="preserve">调整系数依据各考核对象空气自动站点位数确定。其中，泰山区调整系数为1，新泰市、肥城市、宁阳县、东平县调整系数为0.5，岱岳区、泰安高新区、泰山景区、泰安旅游经济开发区调整系数为0.25。调整系数随各考核对象空气自动站点位数变动情况作相应调整。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第八条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经考核，获得生态补偿资金的，按如下公式执行：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获得生态补偿资金额度＝〔（上年季度期PM2.5平均浓度-本年考核季度PM2.5平均浓度）×50%+（上年同季度PM10平均浓度-本年考核季度PM10平均浓度）×20%+（上年同季度SO2平均浓度-本年考核季度SO2平均浓度）×10%+（上年同季度NO2平均浓度-本年考核季度NO2平均浓度）×20%+（本年考核季度空气质量优良天数比例－上年同季度空气质量优良天数比例）〕×调整系数×生态补偿资金系数。</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 xml:space="preserve">生态补偿资金系数＝市下达的生态补偿资金/各考核对象季度考核得分分别乘以调整系数后的相加之和。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第九条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按照污染物浓度40万元/（微克/立方米），空气质量优良天数比例10万元/百分点的标准，经考核，缴纳生态赔偿资金的，按如下公式执行：</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 xml:space="preserve">缴纳生态补偿资金额度＝〔（上年同季度PM2.5平均浓度－本年考核季度PM2.5平均浓度）×50%+（上年同季度PM10平均浓度－本年考核季度PM10平均浓度）×20%+（上年同季度SO2平均浓度－本年考核季度SO2平均浓度）×10%+（上年同季度NO2平均浓度－本年考核季度NO2平均浓度）×20%〕×调整系数×40万元/（微克/立方米）+（本年考核季度空气质量优良天数比例－上年同季度空气质量优良天数比例）×调整系数×10万元/百分点。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第十条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 xml:space="preserve">市财政局根据市生态环境局提供的考核结果，年终清算生态补偿资金。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第十一条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 xml:space="preserve">各考核对象获得的生态补偿资金，统筹用于本辖区内生态环境质量改善等相关工作。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第十二条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 xml:space="preserve">本办法自印发之日起施行，有效期至2021年6月30日。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第十三条</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本办法由市财政局、市生态环境局负责解释。</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sans-serif" w:hAnsi="sans-serif" w:eastAsia="sans-serif" w:cs="sans-serif"/>
          <w:i w:val="0"/>
          <w:caps w:val="0"/>
          <w:color w:val="000000"/>
          <w:spacing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C03048"/>
    <w:rsid w:val="0B3D501E"/>
    <w:rsid w:val="0FC03048"/>
    <w:rsid w:val="5F7A5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2020-04-15T07:54:00Z</dcterms:created>
  <dc:creator>小张&amp;</dc:creator>
  <cp:lastModifiedBy>小张&amp;</cp:lastModifiedBy>
  <dcterms:modified xsi:type="dcterms:W3CDTF">2020-04-15T08:02:42Z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