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rPr>
      </w:pPr>
      <w:r>
        <w:rPr>
          <w:rFonts w:hint="eastAsia" w:asciiTheme="majorEastAsia" w:hAnsiTheme="majorEastAsia" w:eastAsiaTheme="majorEastAsia" w:cstheme="majorEastAsia"/>
          <w:b/>
          <w:bCs/>
          <w:i w:val="0"/>
          <w:caps w:val="0"/>
          <w:color w:val="000000"/>
          <w:spacing w:val="0"/>
          <w:sz w:val="30"/>
          <w:szCs w:val="30"/>
        </w:rPr>
        <w:t>泰安市环境空气质量生态补偿暂行办法</w:t>
      </w:r>
    </w:p>
    <w:p>
      <w:pPr>
        <w:jc w:val="center"/>
        <w:rPr>
          <w:rFonts w:hint="eastAsia" w:asciiTheme="majorEastAsia" w:hAnsiTheme="majorEastAsia" w:eastAsiaTheme="majorEastAsia" w:cstheme="majorEastAsia"/>
          <w:b/>
          <w:bCs/>
          <w:i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第一条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为加快推进生态文明建设，促进环境空气质量逐年改善，参照《山东省环境空气质量生态补偿暂行办法》，结合我市实际，制定本办法。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第二条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本办法所称环</w:t>
      </w:r>
      <w:bookmarkStart w:id="0" w:name="_GoBack"/>
      <w:bookmarkEnd w:id="0"/>
      <w:r>
        <w:rPr>
          <w:rFonts w:hint="eastAsia" w:asciiTheme="minorEastAsia" w:hAnsiTheme="minorEastAsia" w:eastAsiaTheme="minorEastAsia" w:cstheme="minorEastAsia"/>
          <w:i w:val="0"/>
          <w:caps w:val="0"/>
          <w:color w:val="000000"/>
          <w:spacing w:val="0"/>
          <w:sz w:val="24"/>
          <w:szCs w:val="24"/>
        </w:rPr>
        <w:t xml:space="preserve">境空气质量生态补偿资金（以下简称生态补偿资金）是指依据环境空气质量同比变化情况，向考核对象补偿或者由其缴纳赔偿的资金。空气质量生态补偿资金按季度计算，按年度结算。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第三条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本办法考核对象为各县（市、区）政府及功能区管委会。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第四条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各考核对象向市赔偿的资金纳入市生态补偿资金，〖JP1〗用于补偿市向省级缴纳赔偿资金和补偿空气质量改善的考核对象。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第五条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按照“将生态环境质量逐年改善作为区域发展的约束性要求”和“谁保护、谁受益；谁污染、谁付费”的原则，以各考核对象细颗粒物（PM2.5）、可吸入颗粒物（PM10）、二氧化硫（SO2）、二氧化氮（NO2）平均浓度及空气质量优良天数比例季度同比变化情况为考核指标，建立考核奖惩和生态补偿机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xml:space="preserve">PM2.5、PM10、SO2、NO2四类污染物考核权重分别为50%、20%、10%、20%。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第六条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考核数据采用山东省环境信息与监控中心及市监控中心提供的各考核对象环境空气质量自动监测数据。自动监测数据通过环保部门官方网站公开发布。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第七条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污染物浓度以微克/立方米计，空气质量优良天数比例以百分点计。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xml:space="preserve">调整系数依据各考核对象空气自动站点位数确定。其中，泰山区调整系数为1，新泰市、肥城市、宁阳县、东平县调整系数为0.5，岱岳区、泰安高新区、泰山景区、泰安旅游经济开发区调整系数为0.25。调整系数随各考核对象空气自动站点位数变动情况作相应调整。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第八条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经考核，获得生态补偿资金的，按如下公式执行：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获得生态补偿资金额度＝〔（上年季度期PM2.5平均浓度-本年考核季度PM2.5平均浓度）×50%+（上年同季度PM10平均浓度-本年考核季度PM10平均浓度）×20%+（上年同季度SO2平均浓度-本年考核季度SO2平均浓度）×10%+（上年同季度NO2平均浓度-本年考核季度NO2平均浓度）×20%+（本年考核季度空气质量优良天数比例－上年同季度空气质量优良天数比例）〕×调整系数×生态补偿资金系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xml:space="preserve">生态补偿资金系数＝市下达的生态补偿资金/各考核对象季度考核得分分别乘以调整系数后的相加之和。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第九条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按照污染物浓度40万元/（微克/立方米），空气质量优良天数比例10万元/百分点的标准，经考核，缴纳生态赔偿资金的，按如下公式执行：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 xml:space="preserve">缴纳生态补偿资金额度＝〔（上年同季度PM2.5平均浓度－本年考核季度PM2.5平均浓度）×50%+（上年同季度PM10平均浓度－本年考核季度PM10平均浓度）×20%+（上年同季度SO2平均浓度－本年考核季度SO2平均浓度）×10%+（上年同季度NO2平均浓度－本年考核季度NO2平均浓度）×20%〕×调整系数×40万元/（微克/立方米）+（本年考核季度空气质量优良天数比例－上年同季度空气质量优良天数比例）×调整系数×10万元/百分点。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第十条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市财政局根据市生态环境局提供的考核结果，年终清算生态补偿资金。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第十一条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各考核对象获得的生态补偿资金，统筹用于本辖区内生态环境质量改善等相关工作。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第十二条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本办法自印发之日起施行，有效期至2021年6月30日。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第十三条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本办法由市财政局、市生态环境局负责解释。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sans-serif" w:hAnsi="sans-serif" w:eastAsia="sans-serif" w:cs="sans-serif"/>
          <w:i w:val="0"/>
          <w:caps w:val="0"/>
          <w:color w:val="000000"/>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03048"/>
    <w:rsid w:val="0B3D501E"/>
    <w:rsid w:val="0FC03048"/>
    <w:rsid w:val="5F7A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2020-04-15T07:54:00Z</dcterms:created>
  <dc:creator>小张&amp;</dc:creator>
  <cp:lastModifiedBy>小张&amp;</cp:lastModifiedBy>
  <dcterms:modified xsi:type="dcterms:W3CDTF">2020-04-15T08:02:42Z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