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000000"/>
          <w:spacing w:val="0"/>
          <w:sz w:val="28"/>
          <w:szCs w:val="28"/>
        </w:rPr>
      </w:pPr>
      <w:r>
        <w:rPr>
          <w:rFonts w:hint="eastAsia" w:asciiTheme="majorEastAsia" w:hAnsiTheme="majorEastAsia" w:eastAsiaTheme="majorEastAsia" w:cstheme="majorEastAsia"/>
          <w:b/>
          <w:bCs/>
          <w:i w:val="0"/>
          <w:caps w:val="0"/>
          <w:color w:val="000000"/>
          <w:spacing w:val="0"/>
          <w:sz w:val="30"/>
          <w:szCs w:val="30"/>
        </w:rPr>
        <w:t>泰安市主要污染物排放调节资金收缴暂行办法</w:t>
      </w:r>
    </w:p>
    <w:p>
      <w:pPr>
        <w:jc w:val="center"/>
        <w:rPr>
          <w:rFonts w:hint="eastAsia" w:asciiTheme="majorEastAsia" w:hAnsiTheme="majorEastAsia" w:eastAsiaTheme="majorEastAsia" w:cstheme="majorEastAsia"/>
          <w:b/>
          <w:bCs/>
          <w:i w:val="0"/>
          <w:caps w:val="0"/>
          <w:color w:val="000000"/>
          <w:spacing w:val="0"/>
          <w:sz w:val="28"/>
          <w:szCs w:val="28"/>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第一条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 xml:space="preserve">为加快推进全市生态文明建设,打好污染防治攻坚战，强化各县（市、区）政府及功能区管委会生态环境保护主体责任，根据《山东省主要污染物排放调节资金收缴暂行办法》，结合我市实际，制定本办法。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第二条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 xml:space="preserve">主要污染物排放调节资金是指市根据各县（市、区）及功能区上年度排放的化学需氧量、氨氮、二氧化硫、氮氧化物等4项主要污染物排放总量 (以下简称“4项主要污染物”),按照600元/吨 (其中,氨氮按照600元/百公斤计算)收取的调节资金。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第三条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 xml:space="preserve">主要污染物排放调节资金收缴实施对象为各县（市、区）政府及功能区管委会。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第四条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 xml:space="preserve">市按照省级减排核定的新增削减量和新增排放量确定各县（市、区）及功能区4项主要污染物排放总量。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第五条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 xml:space="preserve">主要污染物排放调节资金每年收缴一次,各县（市、区）及功能区通过一般公共预算年终体制结算上缴市财政。调节资金不得以任何形式向属地企业另行收取。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第六条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 xml:space="preserve">主要污染物排放调节资金收缴由市生态环境局和市财政局共同组织实施。市生态环境局负责４项主要污染物排放总量的核算、下达和考核工作。市财政局根据市生态环境局提供的年度污染物排放总量情况及考核结果,核定、收取各县（市、区）及功能区年度调节资金金额。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第七条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 xml:space="preserve">本办法自印发之日起施行,有效期至2021年6月30日。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i w:val="0"/>
          <w:caps w:val="0"/>
          <w:color w:val="000000"/>
          <w:spacing w:val="0"/>
          <w:sz w:val="24"/>
          <w:szCs w:val="24"/>
        </w:rPr>
      </w:pPr>
      <w:r>
        <w:rPr>
          <w:rFonts w:hint="eastAsia" w:asciiTheme="minorEastAsia" w:hAnsiTheme="minorEastAsia" w:eastAsiaTheme="minorEastAsia" w:cstheme="minorEastAsia"/>
          <w:i w:val="0"/>
          <w:caps w:val="0"/>
          <w:color w:val="000000"/>
          <w:spacing w:val="0"/>
          <w:sz w:val="24"/>
          <w:szCs w:val="24"/>
        </w:rPr>
        <w:t>第八条</w:t>
      </w:r>
      <w:r>
        <w:rPr>
          <w:rFonts w:hint="eastAsia" w:asciiTheme="minorEastAsia" w:hAnsiTheme="minorEastAsia" w:cstheme="minorEastAsia"/>
          <w:i w:val="0"/>
          <w:caps w:val="0"/>
          <w:color w:val="000000"/>
          <w:spacing w:val="0"/>
          <w:sz w:val="24"/>
          <w:szCs w:val="24"/>
          <w:lang w:eastAsia="zh-CN"/>
        </w:rPr>
        <w:t>：</w:t>
      </w:r>
      <w:r>
        <w:rPr>
          <w:rFonts w:hint="eastAsia" w:asciiTheme="minorEastAsia" w:hAnsiTheme="minorEastAsia" w:eastAsiaTheme="minorEastAsia" w:cstheme="minorEastAsia"/>
          <w:i w:val="0"/>
          <w:caps w:val="0"/>
          <w:color w:val="000000"/>
          <w:spacing w:val="0"/>
          <w:sz w:val="24"/>
          <w:szCs w:val="24"/>
        </w:rPr>
        <w:t>本办法由市财政局、市生态环境局负责解释。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sans-serif" w:hAnsi="sans-serif" w:eastAsia="sans-serif" w:cs="sans-serif"/>
          <w:i w:val="0"/>
          <w:caps w:val="0"/>
          <w:color w:val="000000"/>
          <w:spacing w:val="0"/>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03048"/>
    <w:rsid w:val="0FC03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2020-04-15T07:54:00Z</dcterms:created>
  <dc:creator>小张&amp;</dc:creator>
  <cp:lastModifiedBy>小张&amp;</cp:lastModifiedBy>
  <dcterms:modified xsi:type="dcterms:W3CDTF">2020-04-15T08:00:32Z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