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400" w:lineRule="exact"/>
        <w:rPr>
          <w:rFonts w:ascii="黑体" w:hAnsi="黑体" w:eastAsia="黑体"/>
          <w:sz w:val="32"/>
          <w:szCs w:val="32"/>
        </w:rPr>
      </w:pPr>
      <w:r>
        <w:rPr>
          <w:rFonts w:hint="eastAsia" w:ascii="黑体" w:hAnsi="黑体" w:eastAsia="黑体"/>
          <w:sz w:val="32"/>
          <w:szCs w:val="32"/>
        </w:rPr>
        <w:t>附件</w:t>
      </w:r>
    </w:p>
    <w:p>
      <w:pPr>
        <w:spacing w:after="156" w:afterLines="50"/>
        <w:jc w:val="center"/>
        <w:rPr>
          <w:rFonts w:ascii="方正小标宋简体" w:hAnsi="方正小标宋简体" w:eastAsia="方正小标宋简体" w:cs="方正小标宋简体"/>
          <w:color w:val="000000"/>
          <w:kern w:val="0"/>
          <w:sz w:val="40"/>
          <w:szCs w:val="40"/>
        </w:rPr>
      </w:pPr>
      <w:r>
        <w:rPr>
          <w:rFonts w:hint="eastAsia" w:ascii="方正小标宋简体" w:hAnsi="方正小标宋简体" w:eastAsia="方正小标宋简体" w:cs="方正小标宋简体"/>
          <w:color w:val="000000"/>
          <w:kern w:val="0"/>
          <w:sz w:val="40"/>
          <w:szCs w:val="40"/>
          <w:lang w:eastAsia="zh-CN"/>
        </w:rPr>
        <w:t>泰安市</w:t>
      </w:r>
      <w:r>
        <w:rPr>
          <w:rFonts w:hint="eastAsia" w:ascii="方正小标宋简体" w:hAnsi="方正小标宋简体" w:eastAsia="方正小标宋简体" w:cs="方正小标宋简体"/>
          <w:color w:val="000000"/>
          <w:kern w:val="0"/>
          <w:sz w:val="40"/>
          <w:szCs w:val="40"/>
        </w:rPr>
        <w:t>农业</w:t>
      </w:r>
      <w:r>
        <w:rPr>
          <w:rFonts w:hint="eastAsia" w:ascii="方正小标宋简体" w:hAnsi="方正小标宋简体" w:eastAsia="方正小标宋简体" w:cs="方正小标宋简体"/>
          <w:color w:val="000000"/>
          <w:kern w:val="0"/>
          <w:sz w:val="40"/>
          <w:szCs w:val="40"/>
          <w:lang w:eastAsia="zh-CN"/>
        </w:rPr>
        <w:t>（含农机）</w:t>
      </w:r>
      <w:r>
        <w:rPr>
          <w:rFonts w:hint="eastAsia" w:ascii="方正小标宋简体" w:hAnsi="方正小标宋简体" w:eastAsia="方正小标宋简体" w:cs="方正小标宋简体"/>
          <w:color w:val="000000"/>
          <w:kern w:val="0"/>
          <w:sz w:val="40"/>
          <w:szCs w:val="40"/>
        </w:rPr>
        <w:t>行政处罚裁量基准（202</w:t>
      </w:r>
      <w:r>
        <w:rPr>
          <w:rFonts w:hint="eastAsia" w:ascii="方正小标宋简体" w:hAnsi="方正小标宋简体" w:eastAsia="方正小标宋简体" w:cs="方正小标宋简体"/>
          <w:color w:val="000000"/>
          <w:kern w:val="0"/>
          <w:sz w:val="40"/>
          <w:szCs w:val="40"/>
          <w:lang w:val="en-US" w:eastAsia="zh-CN"/>
        </w:rPr>
        <w:t>3</w:t>
      </w:r>
      <w:r>
        <w:rPr>
          <w:rFonts w:hint="eastAsia" w:ascii="方正小标宋简体" w:hAnsi="方正小标宋简体" w:eastAsia="方正小标宋简体" w:cs="方正小标宋简体"/>
          <w:color w:val="000000"/>
          <w:kern w:val="0"/>
          <w:sz w:val="40"/>
          <w:szCs w:val="40"/>
        </w:rPr>
        <w:t>版）</w:t>
      </w:r>
    </w:p>
    <w:p>
      <w:pPr>
        <w:pStyle w:val="2"/>
        <w:ind w:firstLine="640" w:firstLineChars="200"/>
      </w:pPr>
      <w:r>
        <w:rPr>
          <w:rFonts w:hint="eastAsia" w:ascii="黑体" w:hAnsi="黑体" w:eastAsia="黑体" w:cs="黑体"/>
          <w:color w:val="000000"/>
          <w:kern w:val="0"/>
          <w:sz w:val="32"/>
          <w:szCs w:val="32"/>
        </w:rPr>
        <w:t>一、种子、食用菌</w:t>
      </w:r>
    </w:p>
    <w:tbl>
      <w:tblPr>
        <w:tblStyle w:val="7"/>
        <w:tblW w:w="140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21"/>
        <w:gridCol w:w="1098"/>
        <w:gridCol w:w="3531"/>
        <w:gridCol w:w="730"/>
        <w:gridCol w:w="2378"/>
        <w:gridCol w:w="2105"/>
        <w:gridCol w:w="3737"/>
      </w:tblGrid>
      <w:tr>
        <w:tblPrEx>
          <w:tblCellMar>
            <w:top w:w="0" w:type="dxa"/>
            <w:left w:w="0" w:type="dxa"/>
            <w:bottom w:w="0" w:type="dxa"/>
            <w:right w:w="0" w:type="dxa"/>
          </w:tblCellMar>
        </w:tblPrEx>
        <w:trPr>
          <w:trHeight w:val="420" w:hRule="atLeast"/>
          <w:tblHeader/>
          <w:jc w:val="center"/>
        </w:trPr>
        <w:tc>
          <w:tcPr>
            <w:tcW w:w="421"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黑体" w:hAnsi="黑体" w:eastAsia="黑体" w:cs="黑体"/>
                <w:color w:val="000000"/>
                <w:sz w:val="24"/>
                <w:szCs w:val="24"/>
              </w:rPr>
            </w:pPr>
            <w:r>
              <w:rPr>
                <w:rFonts w:hint="eastAsia" w:ascii="黑体" w:hAnsi="黑体" w:eastAsia="黑体" w:cs="黑体"/>
                <w:color w:val="000000"/>
                <w:kern w:val="0"/>
                <w:sz w:val="24"/>
                <w:szCs w:val="24"/>
              </w:rPr>
              <w:t>序号</w:t>
            </w:r>
          </w:p>
        </w:tc>
        <w:tc>
          <w:tcPr>
            <w:tcW w:w="1098"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黑体" w:hAnsi="黑体" w:eastAsia="黑体" w:cs="黑体"/>
                <w:color w:val="000000"/>
                <w:sz w:val="24"/>
                <w:szCs w:val="24"/>
              </w:rPr>
            </w:pPr>
            <w:r>
              <w:rPr>
                <w:rFonts w:hint="eastAsia" w:ascii="黑体" w:hAnsi="黑体" w:eastAsia="黑体" w:cs="黑体"/>
                <w:color w:val="000000"/>
                <w:kern w:val="0"/>
                <w:sz w:val="24"/>
                <w:szCs w:val="24"/>
              </w:rPr>
              <w:t>违法行为</w:t>
            </w:r>
          </w:p>
        </w:tc>
        <w:tc>
          <w:tcPr>
            <w:tcW w:w="3531"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黑体" w:hAnsi="黑体" w:eastAsia="黑体" w:cs="黑体"/>
                <w:color w:val="000000"/>
                <w:sz w:val="24"/>
                <w:szCs w:val="24"/>
              </w:rPr>
            </w:pPr>
            <w:r>
              <w:rPr>
                <w:rFonts w:hint="eastAsia" w:ascii="黑体" w:hAnsi="黑体" w:eastAsia="黑体" w:cs="黑体"/>
                <w:color w:val="000000"/>
                <w:kern w:val="0"/>
                <w:sz w:val="24"/>
                <w:szCs w:val="24"/>
              </w:rPr>
              <w:t>处罚依据</w:t>
            </w:r>
          </w:p>
        </w:tc>
        <w:tc>
          <w:tcPr>
            <w:tcW w:w="730"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黑体" w:hAnsi="黑体" w:eastAsia="黑体" w:cs="黑体"/>
                <w:color w:val="000000"/>
                <w:sz w:val="24"/>
                <w:szCs w:val="24"/>
              </w:rPr>
            </w:pPr>
            <w:r>
              <w:rPr>
                <w:rFonts w:hint="eastAsia" w:ascii="黑体" w:hAnsi="黑体" w:eastAsia="黑体" w:cs="黑体"/>
                <w:color w:val="000000"/>
                <w:kern w:val="0"/>
                <w:sz w:val="24"/>
                <w:szCs w:val="24"/>
              </w:rPr>
              <w:t>违法程度</w:t>
            </w:r>
          </w:p>
        </w:tc>
        <w:tc>
          <w:tcPr>
            <w:tcW w:w="2378"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黑体" w:hAnsi="黑体" w:eastAsia="黑体" w:cs="黑体"/>
                <w:color w:val="000000"/>
                <w:sz w:val="24"/>
                <w:szCs w:val="24"/>
              </w:rPr>
            </w:pPr>
            <w:r>
              <w:rPr>
                <w:rFonts w:hint="eastAsia" w:ascii="黑体" w:hAnsi="黑体" w:eastAsia="黑体" w:cs="黑体"/>
                <w:color w:val="000000"/>
                <w:kern w:val="0"/>
                <w:sz w:val="24"/>
                <w:szCs w:val="24"/>
              </w:rPr>
              <w:t>违法情节</w:t>
            </w:r>
          </w:p>
        </w:tc>
        <w:tc>
          <w:tcPr>
            <w:tcW w:w="5842" w:type="dxa"/>
            <w:gridSpan w:val="2"/>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黑体" w:hAnsi="黑体" w:eastAsia="黑体" w:cs="黑体"/>
                <w:color w:val="000000"/>
                <w:sz w:val="24"/>
                <w:szCs w:val="24"/>
              </w:rPr>
            </w:pPr>
            <w:r>
              <w:rPr>
                <w:rFonts w:hint="eastAsia" w:ascii="黑体" w:hAnsi="黑体" w:eastAsia="黑体" w:cs="黑体"/>
                <w:color w:val="000000"/>
                <w:kern w:val="0"/>
                <w:sz w:val="24"/>
                <w:szCs w:val="24"/>
              </w:rPr>
              <w:t>裁量标准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421" w:type="dxa"/>
            <w:vMerge w:val="restart"/>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1</w:t>
            </w:r>
          </w:p>
        </w:tc>
        <w:tc>
          <w:tcPr>
            <w:tcW w:w="1098" w:type="dxa"/>
            <w:vMerge w:val="restart"/>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品种测试、试验和种子质量检验机构伪造测试、试验、检验数据或者出具虚假证明的</w:t>
            </w:r>
          </w:p>
        </w:tc>
        <w:tc>
          <w:tcPr>
            <w:tcW w:w="3531" w:type="dxa"/>
            <w:vMerge w:val="restart"/>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中华人民共和国种子法》第七十一条“品种测试、试验和种子质量检验机构伪造测试、试验、检验数据或者出具虚假证明的，由县级以上人民政府农业农村、林业草原主管部门责令改正，对单位处五万元以上十万元以下罚款，对直接负责的主管人员和其他直接责任人员处一万元以上五万元以下罚款；有违法所得的，并处没收违法所得；给种子使用者和其他种子生产经营者造成损失的，与种子生产经营者承担连带责任；情节严重的，由省级以上人民政府有关主管部门取消种子质量检验资格。”</w:t>
            </w:r>
          </w:p>
        </w:tc>
        <w:tc>
          <w:tcPr>
            <w:tcW w:w="730"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较轻</w:t>
            </w:r>
          </w:p>
        </w:tc>
        <w:tc>
          <w:tcPr>
            <w:tcW w:w="2378"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初次违法，违法所得五千元以下</w:t>
            </w:r>
          </w:p>
        </w:tc>
        <w:tc>
          <w:tcPr>
            <w:tcW w:w="2105" w:type="dxa"/>
            <w:vMerge w:val="restart"/>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责令改正，有违法所得的，并处没收违法所得；给种子使用者和其他种子生产经营者造成损失的，与种子生产经营者承担连带责任</w:t>
            </w:r>
          </w:p>
        </w:tc>
        <w:tc>
          <w:tcPr>
            <w:tcW w:w="3737"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对单位处五万元以上六万元以下罚款；对直接负责的主管人员和其他直接责任人员处一万元以上二万元以下罚款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0" w:hRule="atLeast"/>
          <w:jc w:val="center"/>
        </w:trPr>
        <w:tc>
          <w:tcPr>
            <w:tcW w:w="421" w:type="dxa"/>
            <w:vMerge w:val="continue"/>
            <w:tcBorders>
              <w:tl2br w:val="nil"/>
              <w:tr2bl w:val="nil"/>
            </w:tcBorders>
            <w:tcMar>
              <w:top w:w="57" w:type="dxa"/>
              <w:left w:w="57" w:type="dxa"/>
              <w:bottom w:w="57" w:type="dxa"/>
              <w:right w:w="57" w:type="dxa"/>
            </w:tcMar>
            <w:vAlign w:val="center"/>
          </w:tcPr>
          <w:p>
            <w:pPr>
              <w:adjustRightInd w:val="0"/>
              <w:snapToGrid w:val="0"/>
              <w:jc w:val="center"/>
              <w:rPr>
                <w:rFonts w:ascii="仿宋_GB2312" w:hAnsi="仿宋_GB2312" w:eastAsia="仿宋_GB2312" w:cs="仿宋_GB2312"/>
                <w:color w:val="000000"/>
                <w:sz w:val="21"/>
                <w:szCs w:val="21"/>
              </w:rPr>
            </w:pPr>
          </w:p>
        </w:tc>
        <w:tc>
          <w:tcPr>
            <w:tcW w:w="1098"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3531"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730"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一般</w:t>
            </w:r>
          </w:p>
        </w:tc>
        <w:tc>
          <w:tcPr>
            <w:tcW w:w="2378"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再次违法或者违法所得五千元以上二万元以下</w:t>
            </w:r>
          </w:p>
        </w:tc>
        <w:tc>
          <w:tcPr>
            <w:tcW w:w="2105"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3737"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对单位处六万元以上八万元以下罚款；对直接负责的主管人员和其他直接责任人员处二万元以上三万元以下罚款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jc w:val="center"/>
        </w:trPr>
        <w:tc>
          <w:tcPr>
            <w:tcW w:w="421" w:type="dxa"/>
            <w:vMerge w:val="continue"/>
            <w:tcBorders>
              <w:tl2br w:val="nil"/>
              <w:tr2bl w:val="nil"/>
            </w:tcBorders>
            <w:tcMar>
              <w:top w:w="57" w:type="dxa"/>
              <w:left w:w="57" w:type="dxa"/>
              <w:bottom w:w="57" w:type="dxa"/>
              <w:right w:w="57" w:type="dxa"/>
            </w:tcMar>
            <w:vAlign w:val="center"/>
          </w:tcPr>
          <w:p>
            <w:pPr>
              <w:adjustRightInd w:val="0"/>
              <w:snapToGrid w:val="0"/>
              <w:jc w:val="center"/>
              <w:rPr>
                <w:rFonts w:ascii="仿宋_GB2312" w:hAnsi="仿宋_GB2312" w:eastAsia="仿宋_GB2312" w:cs="仿宋_GB2312"/>
                <w:color w:val="000000"/>
                <w:sz w:val="21"/>
                <w:szCs w:val="21"/>
              </w:rPr>
            </w:pPr>
          </w:p>
        </w:tc>
        <w:tc>
          <w:tcPr>
            <w:tcW w:w="1098"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3531"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730"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严重</w:t>
            </w:r>
          </w:p>
        </w:tc>
        <w:tc>
          <w:tcPr>
            <w:tcW w:w="2378"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三次以上违法或者违法所得二万元以上</w:t>
            </w:r>
          </w:p>
        </w:tc>
        <w:tc>
          <w:tcPr>
            <w:tcW w:w="2105"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3737"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对单位处八万元以上十万元以下罚款；对直接负责的主管人员和其他直接责任人员处三万元以上五万元以下罚款；由省级以上人民政府有关主管部门取消种子质量检验资格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421" w:type="dxa"/>
            <w:vMerge w:val="restart"/>
            <w:tcBorders>
              <w:tl2br w:val="nil"/>
              <w:tr2bl w:val="nil"/>
            </w:tcBorders>
            <w:tcMar>
              <w:top w:w="85" w:type="dxa"/>
              <w:left w:w="57" w:type="dxa"/>
              <w:bottom w:w="85" w:type="dxa"/>
              <w:right w:w="57" w:type="dxa"/>
            </w:tcMar>
            <w:vAlign w:val="center"/>
          </w:tcPr>
          <w:p>
            <w:pPr>
              <w:widowControl/>
              <w:adjustRightInd w:val="0"/>
              <w:snapToGrid w:val="0"/>
              <w:jc w:val="center"/>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2</w:t>
            </w:r>
          </w:p>
        </w:tc>
        <w:tc>
          <w:tcPr>
            <w:tcW w:w="1098" w:type="dxa"/>
            <w:vMerge w:val="restart"/>
            <w:tcBorders>
              <w:tl2br w:val="nil"/>
              <w:tr2bl w:val="nil"/>
            </w:tcBorders>
            <w:tcMar>
              <w:top w:w="85" w:type="dxa"/>
              <w:left w:w="57" w:type="dxa"/>
              <w:bottom w:w="85"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侵犯植物新品种权的</w:t>
            </w:r>
          </w:p>
        </w:tc>
        <w:tc>
          <w:tcPr>
            <w:tcW w:w="3531" w:type="dxa"/>
            <w:vMerge w:val="restart"/>
            <w:tcBorders>
              <w:tl2br w:val="nil"/>
              <w:tr2bl w:val="nil"/>
            </w:tcBorders>
            <w:tcMar>
              <w:top w:w="85" w:type="dxa"/>
              <w:left w:w="57" w:type="dxa"/>
              <w:bottom w:w="85"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中华人民共和国种子法》第七十二条第六款“县级以上人民政府农业农村、林业草原主管部门处理侵犯植物新品种权案件时，为了维护社会公共利益，责令侵权人停止侵权行为，没收违法所得和种子；货值金额不足五万元的，并处一万元以上二十五万元以下罚款；货值金额五万元以上的，并处货值金额五倍以上十倍以下罚款。”</w:t>
            </w:r>
          </w:p>
        </w:tc>
        <w:tc>
          <w:tcPr>
            <w:tcW w:w="730" w:type="dxa"/>
            <w:tcBorders>
              <w:tl2br w:val="nil"/>
              <w:tr2bl w:val="nil"/>
            </w:tcBorders>
            <w:tcMar>
              <w:top w:w="85" w:type="dxa"/>
              <w:left w:w="57" w:type="dxa"/>
              <w:bottom w:w="85" w:type="dxa"/>
              <w:right w:w="57" w:type="dxa"/>
            </w:tcMar>
            <w:vAlign w:val="center"/>
          </w:tcPr>
          <w:p>
            <w:pPr>
              <w:widowControl/>
              <w:adjustRightInd w:val="0"/>
              <w:snapToGrid w:val="0"/>
              <w:jc w:val="center"/>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较轻</w:t>
            </w:r>
          </w:p>
        </w:tc>
        <w:tc>
          <w:tcPr>
            <w:tcW w:w="2378" w:type="dxa"/>
            <w:tcBorders>
              <w:tl2br w:val="nil"/>
              <w:tr2bl w:val="nil"/>
            </w:tcBorders>
            <w:tcMar>
              <w:top w:w="85" w:type="dxa"/>
              <w:left w:w="57" w:type="dxa"/>
              <w:bottom w:w="85"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货值金额一万元以下</w:t>
            </w:r>
          </w:p>
        </w:tc>
        <w:tc>
          <w:tcPr>
            <w:tcW w:w="2105" w:type="dxa"/>
            <w:vMerge w:val="restart"/>
            <w:tcBorders>
              <w:tl2br w:val="nil"/>
              <w:tr2bl w:val="nil"/>
            </w:tcBorders>
            <w:tcMar>
              <w:top w:w="85" w:type="dxa"/>
              <w:left w:w="57" w:type="dxa"/>
              <w:bottom w:w="85"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责令侵权人停止侵权行为，没收违法所得和种子</w:t>
            </w:r>
          </w:p>
        </w:tc>
        <w:tc>
          <w:tcPr>
            <w:tcW w:w="3737" w:type="dxa"/>
            <w:tcBorders>
              <w:tl2br w:val="nil"/>
              <w:tr2bl w:val="nil"/>
            </w:tcBorders>
            <w:tcMar>
              <w:top w:w="85" w:type="dxa"/>
              <w:left w:w="57" w:type="dxa"/>
              <w:bottom w:w="85"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并处一万元以上七万元以下罚款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421" w:type="dxa"/>
            <w:vMerge w:val="continue"/>
            <w:tcBorders>
              <w:tl2br w:val="nil"/>
              <w:tr2bl w:val="nil"/>
            </w:tcBorders>
            <w:tcMar>
              <w:top w:w="85" w:type="dxa"/>
              <w:left w:w="57" w:type="dxa"/>
              <w:bottom w:w="85" w:type="dxa"/>
              <w:right w:w="57" w:type="dxa"/>
            </w:tcMar>
            <w:vAlign w:val="center"/>
          </w:tcPr>
          <w:p>
            <w:pPr>
              <w:adjustRightInd w:val="0"/>
              <w:snapToGrid w:val="0"/>
              <w:jc w:val="center"/>
              <w:rPr>
                <w:rFonts w:ascii="仿宋_GB2312" w:hAnsi="仿宋_GB2312" w:eastAsia="仿宋_GB2312" w:cs="仿宋_GB2312"/>
                <w:color w:val="000000"/>
                <w:sz w:val="21"/>
                <w:szCs w:val="21"/>
              </w:rPr>
            </w:pPr>
          </w:p>
        </w:tc>
        <w:tc>
          <w:tcPr>
            <w:tcW w:w="1098" w:type="dxa"/>
            <w:vMerge w:val="continue"/>
            <w:tcBorders>
              <w:tl2br w:val="nil"/>
              <w:tr2bl w:val="nil"/>
            </w:tcBorders>
            <w:tcMar>
              <w:top w:w="85" w:type="dxa"/>
              <w:left w:w="57" w:type="dxa"/>
              <w:bottom w:w="85"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3531" w:type="dxa"/>
            <w:vMerge w:val="continue"/>
            <w:tcBorders>
              <w:tl2br w:val="nil"/>
              <w:tr2bl w:val="nil"/>
            </w:tcBorders>
            <w:tcMar>
              <w:top w:w="85" w:type="dxa"/>
              <w:left w:w="57" w:type="dxa"/>
              <w:bottom w:w="85"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730" w:type="dxa"/>
            <w:tcBorders>
              <w:tl2br w:val="nil"/>
              <w:tr2bl w:val="nil"/>
            </w:tcBorders>
            <w:tcMar>
              <w:top w:w="85" w:type="dxa"/>
              <w:left w:w="57" w:type="dxa"/>
              <w:bottom w:w="85" w:type="dxa"/>
              <w:right w:w="57" w:type="dxa"/>
            </w:tcMar>
            <w:vAlign w:val="center"/>
          </w:tcPr>
          <w:p>
            <w:pPr>
              <w:widowControl/>
              <w:adjustRightInd w:val="0"/>
              <w:snapToGrid w:val="0"/>
              <w:jc w:val="center"/>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一般</w:t>
            </w:r>
          </w:p>
        </w:tc>
        <w:tc>
          <w:tcPr>
            <w:tcW w:w="2378" w:type="dxa"/>
            <w:tcBorders>
              <w:tl2br w:val="nil"/>
              <w:tr2bl w:val="nil"/>
            </w:tcBorders>
            <w:tcMar>
              <w:top w:w="85" w:type="dxa"/>
              <w:left w:w="57" w:type="dxa"/>
              <w:bottom w:w="85"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货值金额一万元以上二万元以下</w:t>
            </w:r>
          </w:p>
        </w:tc>
        <w:tc>
          <w:tcPr>
            <w:tcW w:w="2105" w:type="dxa"/>
            <w:vMerge w:val="continue"/>
            <w:tcBorders>
              <w:tl2br w:val="nil"/>
              <w:tr2bl w:val="nil"/>
            </w:tcBorders>
            <w:tcMar>
              <w:top w:w="85" w:type="dxa"/>
              <w:left w:w="57" w:type="dxa"/>
              <w:bottom w:w="85"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3737" w:type="dxa"/>
            <w:tcBorders>
              <w:tl2br w:val="nil"/>
              <w:tr2bl w:val="nil"/>
            </w:tcBorders>
            <w:tcMar>
              <w:top w:w="85" w:type="dxa"/>
              <w:left w:w="57" w:type="dxa"/>
              <w:bottom w:w="85"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并处七万元以上十五万元以下罚款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5" w:hRule="atLeast"/>
          <w:jc w:val="center"/>
        </w:trPr>
        <w:tc>
          <w:tcPr>
            <w:tcW w:w="421" w:type="dxa"/>
            <w:vMerge w:val="continue"/>
            <w:tcBorders>
              <w:tl2br w:val="nil"/>
              <w:tr2bl w:val="nil"/>
            </w:tcBorders>
            <w:tcMar>
              <w:top w:w="85" w:type="dxa"/>
              <w:left w:w="57" w:type="dxa"/>
              <w:bottom w:w="85" w:type="dxa"/>
              <w:right w:w="57" w:type="dxa"/>
            </w:tcMar>
            <w:vAlign w:val="center"/>
          </w:tcPr>
          <w:p>
            <w:pPr>
              <w:adjustRightInd w:val="0"/>
              <w:snapToGrid w:val="0"/>
              <w:jc w:val="center"/>
              <w:rPr>
                <w:rFonts w:ascii="仿宋_GB2312" w:hAnsi="仿宋_GB2312" w:eastAsia="仿宋_GB2312" w:cs="仿宋_GB2312"/>
                <w:color w:val="000000"/>
                <w:sz w:val="21"/>
                <w:szCs w:val="21"/>
              </w:rPr>
            </w:pPr>
          </w:p>
        </w:tc>
        <w:tc>
          <w:tcPr>
            <w:tcW w:w="1098" w:type="dxa"/>
            <w:vMerge w:val="continue"/>
            <w:tcBorders>
              <w:tl2br w:val="nil"/>
              <w:tr2bl w:val="nil"/>
            </w:tcBorders>
            <w:tcMar>
              <w:top w:w="85" w:type="dxa"/>
              <w:left w:w="57" w:type="dxa"/>
              <w:bottom w:w="85"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3531" w:type="dxa"/>
            <w:vMerge w:val="continue"/>
            <w:tcBorders>
              <w:tl2br w:val="nil"/>
              <w:tr2bl w:val="nil"/>
            </w:tcBorders>
            <w:tcMar>
              <w:top w:w="85" w:type="dxa"/>
              <w:left w:w="57" w:type="dxa"/>
              <w:bottom w:w="85"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730" w:type="dxa"/>
            <w:tcBorders>
              <w:tl2br w:val="nil"/>
              <w:tr2bl w:val="nil"/>
            </w:tcBorders>
            <w:tcMar>
              <w:top w:w="85" w:type="dxa"/>
              <w:left w:w="57" w:type="dxa"/>
              <w:bottom w:w="85" w:type="dxa"/>
              <w:right w:w="57" w:type="dxa"/>
            </w:tcMar>
            <w:vAlign w:val="center"/>
          </w:tcPr>
          <w:p>
            <w:pPr>
              <w:widowControl/>
              <w:adjustRightInd w:val="0"/>
              <w:snapToGrid w:val="0"/>
              <w:jc w:val="center"/>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较重</w:t>
            </w:r>
          </w:p>
        </w:tc>
        <w:tc>
          <w:tcPr>
            <w:tcW w:w="2378" w:type="dxa"/>
            <w:tcBorders>
              <w:tl2br w:val="nil"/>
              <w:tr2bl w:val="nil"/>
            </w:tcBorders>
            <w:tcMar>
              <w:top w:w="85" w:type="dxa"/>
              <w:left w:w="57" w:type="dxa"/>
              <w:bottom w:w="85"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货值金额二万元以上，不足五万元</w:t>
            </w:r>
          </w:p>
        </w:tc>
        <w:tc>
          <w:tcPr>
            <w:tcW w:w="2105" w:type="dxa"/>
            <w:vMerge w:val="continue"/>
            <w:tcBorders>
              <w:tl2br w:val="nil"/>
              <w:tr2bl w:val="nil"/>
            </w:tcBorders>
            <w:tcMar>
              <w:top w:w="85" w:type="dxa"/>
              <w:left w:w="57" w:type="dxa"/>
              <w:bottom w:w="85"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3737" w:type="dxa"/>
            <w:tcBorders>
              <w:tl2br w:val="nil"/>
              <w:tr2bl w:val="nil"/>
            </w:tcBorders>
            <w:tcMar>
              <w:top w:w="85" w:type="dxa"/>
              <w:left w:w="57" w:type="dxa"/>
              <w:bottom w:w="85"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并处十五万元以上二十五万元以下罚款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1" w:hRule="atLeast"/>
          <w:jc w:val="center"/>
        </w:trPr>
        <w:tc>
          <w:tcPr>
            <w:tcW w:w="421" w:type="dxa"/>
            <w:vMerge w:val="continue"/>
            <w:tcBorders>
              <w:tl2br w:val="nil"/>
              <w:tr2bl w:val="nil"/>
            </w:tcBorders>
            <w:tcMar>
              <w:top w:w="85" w:type="dxa"/>
              <w:left w:w="57" w:type="dxa"/>
              <w:bottom w:w="85" w:type="dxa"/>
              <w:right w:w="57" w:type="dxa"/>
            </w:tcMar>
            <w:vAlign w:val="center"/>
          </w:tcPr>
          <w:p>
            <w:pPr>
              <w:adjustRightInd w:val="0"/>
              <w:snapToGrid w:val="0"/>
              <w:jc w:val="center"/>
              <w:rPr>
                <w:rFonts w:ascii="仿宋_GB2312" w:hAnsi="仿宋_GB2312" w:eastAsia="仿宋_GB2312" w:cs="仿宋_GB2312"/>
                <w:color w:val="000000"/>
                <w:sz w:val="21"/>
                <w:szCs w:val="21"/>
              </w:rPr>
            </w:pPr>
          </w:p>
        </w:tc>
        <w:tc>
          <w:tcPr>
            <w:tcW w:w="1098" w:type="dxa"/>
            <w:vMerge w:val="continue"/>
            <w:tcBorders>
              <w:tl2br w:val="nil"/>
              <w:tr2bl w:val="nil"/>
            </w:tcBorders>
            <w:tcMar>
              <w:top w:w="85" w:type="dxa"/>
              <w:left w:w="57" w:type="dxa"/>
              <w:bottom w:w="85"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3531" w:type="dxa"/>
            <w:vMerge w:val="continue"/>
            <w:tcBorders>
              <w:tl2br w:val="nil"/>
              <w:tr2bl w:val="nil"/>
            </w:tcBorders>
            <w:tcMar>
              <w:top w:w="85" w:type="dxa"/>
              <w:left w:w="57" w:type="dxa"/>
              <w:bottom w:w="85"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730" w:type="dxa"/>
            <w:tcBorders>
              <w:tl2br w:val="nil"/>
              <w:tr2bl w:val="nil"/>
            </w:tcBorders>
            <w:tcMar>
              <w:top w:w="85" w:type="dxa"/>
              <w:left w:w="57" w:type="dxa"/>
              <w:bottom w:w="85" w:type="dxa"/>
              <w:right w:w="57" w:type="dxa"/>
            </w:tcMar>
            <w:vAlign w:val="center"/>
          </w:tcPr>
          <w:p>
            <w:pPr>
              <w:widowControl/>
              <w:adjustRightInd w:val="0"/>
              <w:snapToGrid w:val="0"/>
              <w:jc w:val="center"/>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严重</w:t>
            </w:r>
          </w:p>
        </w:tc>
        <w:tc>
          <w:tcPr>
            <w:tcW w:w="2378" w:type="dxa"/>
            <w:tcBorders>
              <w:tl2br w:val="nil"/>
              <w:tr2bl w:val="nil"/>
            </w:tcBorders>
            <w:tcMar>
              <w:top w:w="85" w:type="dxa"/>
              <w:left w:w="57" w:type="dxa"/>
              <w:bottom w:w="85"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货值金额五万元以上八万元以下</w:t>
            </w:r>
          </w:p>
        </w:tc>
        <w:tc>
          <w:tcPr>
            <w:tcW w:w="2105" w:type="dxa"/>
            <w:vMerge w:val="continue"/>
            <w:tcBorders>
              <w:tl2br w:val="nil"/>
              <w:tr2bl w:val="nil"/>
            </w:tcBorders>
            <w:tcMar>
              <w:top w:w="85" w:type="dxa"/>
              <w:left w:w="57" w:type="dxa"/>
              <w:bottom w:w="85"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3737" w:type="dxa"/>
            <w:tcBorders>
              <w:tl2br w:val="nil"/>
              <w:tr2bl w:val="nil"/>
            </w:tcBorders>
            <w:tcMar>
              <w:top w:w="85" w:type="dxa"/>
              <w:left w:w="57" w:type="dxa"/>
              <w:bottom w:w="85"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并处货值金额五倍以上八倍以下罚款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421" w:type="dxa"/>
            <w:vMerge w:val="continue"/>
            <w:tcBorders>
              <w:tl2br w:val="nil"/>
              <w:tr2bl w:val="nil"/>
            </w:tcBorders>
            <w:tcMar>
              <w:top w:w="85" w:type="dxa"/>
              <w:left w:w="57" w:type="dxa"/>
              <w:bottom w:w="85" w:type="dxa"/>
              <w:right w:w="57" w:type="dxa"/>
            </w:tcMar>
            <w:vAlign w:val="center"/>
          </w:tcPr>
          <w:p>
            <w:pPr>
              <w:adjustRightInd w:val="0"/>
              <w:snapToGrid w:val="0"/>
              <w:jc w:val="center"/>
              <w:rPr>
                <w:rFonts w:ascii="仿宋_GB2312" w:hAnsi="仿宋_GB2312" w:eastAsia="仿宋_GB2312" w:cs="仿宋_GB2312"/>
                <w:color w:val="000000"/>
                <w:sz w:val="21"/>
                <w:szCs w:val="21"/>
              </w:rPr>
            </w:pPr>
          </w:p>
        </w:tc>
        <w:tc>
          <w:tcPr>
            <w:tcW w:w="1098" w:type="dxa"/>
            <w:vMerge w:val="continue"/>
            <w:tcBorders>
              <w:tl2br w:val="nil"/>
              <w:tr2bl w:val="nil"/>
            </w:tcBorders>
            <w:tcMar>
              <w:top w:w="85" w:type="dxa"/>
              <w:left w:w="57" w:type="dxa"/>
              <w:bottom w:w="85"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3531" w:type="dxa"/>
            <w:vMerge w:val="continue"/>
            <w:tcBorders>
              <w:tl2br w:val="nil"/>
              <w:tr2bl w:val="nil"/>
            </w:tcBorders>
            <w:tcMar>
              <w:top w:w="85" w:type="dxa"/>
              <w:left w:w="57" w:type="dxa"/>
              <w:bottom w:w="85"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730" w:type="dxa"/>
            <w:tcBorders>
              <w:tl2br w:val="nil"/>
              <w:tr2bl w:val="nil"/>
            </w:tcBorders>
            <w:tcMar>
              <w:top w:w="85" w:type="dxa"/>
              <w:left w:w="57" w:type="dxa"/>
              <w:bottom w:w="85" w:type="dxa"/>
              <w:right w:w="57" w:type="dxa"/>
            </w:tcMar>
            <w:vAlign w:val="center"/>
          </w:tcPr>
          <w:p>
            <w:pPr>
              <w:widowControl/>
              <w:adjustRightInd w:val="0"/>
              <w:snapToGrid w:val="0"/>
              <w:jc w:val="center"/>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特别严重</w:t>
            </w:r>
          </w:p>
        </w:tc>
        <w:tc>
          <w:tcPr>
            <w:tcW w:w="2378" w:type="dxa"/>
            <w:tcBorders>
              <w:tl2br w:val="nil"/>
              <w:tr2bl w:val="nil"/>
            </w:tcBorders>
            <w:tcMar>
              <w:top w:w="85" w:type="dxa"/>
              <w:left w:w="57" w:type="dxa"/>
              <w:bottom w:w="85"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货值金额八万元以上</w:t>
            </w:r>
          </w:p>
        </w:tc>
        <w:tc>
          <w:tcPr>
            <w:tcW w:w="2105" w:type="dxa"/>
            <w:vMerge w:val="continue"/>
            <w:tcBorders>
              <w:tl2br w:val="nil"/>
              <w:tr2bl w:val="nil"/>
            </w:tcBorders>
            <w:tcMar>
              <w:top w:w="85" w:type="dxa"/>
              <w:left w:w="57" w:type="dxa"/>
              <w:bottom w:w="85"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3737" w:type="dxa"/>
            <w:tcBorders>
              <w:tl2br w:val="nil"/>
              <w:tr2bl w:val="nil"/>
            </w:tcBorders>
            <w:tcMar>
              <w:top w:w="85" w:type="dxa"/>
              <w:left w:w="57" w:type="dxa"/>
              <w:bottom w:w="85"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并处货值金额八倍以上十倍以下罚款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421" w:type="dxa"/>
            <w:vMerge w:val="restart"/>
            <w:tcBorders>
              <w:tl2br w:val="nil"/>
              <w:tr2bl w:val="nil"/>
            </w:tcBorders>
            <w:tcMar>
              <w:top w:w="85" w:type="dxa"/>
              <w:left w:w="57" w:type="dxa"/>
              <w:bottom w:w="85" w:type="dxa"/>
              <w:right w:w="57" w:type="dxa"/>
            </w:tcMar>
            <w:vAlign w:val="center"/>
          </w:tcPr>
          <w:p>
            <w:pPr>
              <w:widowControl/>
              <w:adjustRightInd w:val="0"/>
              <w:snapToGrid w:val="0"/>
              <w:jc w:val="center"/>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3</w:t>
            </w:r>
          </w:p>
        </w:tc>
        <w:tc>
          <w:tcPr>
            <w:tcW w:w="1098" w:type="dxa"/>
            <w:vMerge w:val="restart"/>
            <w:tcBorders>
              <w:tl2br w:val="nil"/>
              <w:tr2bl w:val="nil"/>
            </w:tcBorders>
            <w:tcMar>
              <w:top w:w="85" w:type="dxa"/>
              <w:left w:w="57" w:type="dxa"/>
              <w:bottom w:w="85"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假冒授权品种的</w:t>
            </w:r>
          </w:p>
        </w:tc>
        <w:tc>
          <w:tcPr>
            <w:tcW w:w="3531" w:type="dxa"/>
            <w:vMerge w:val="restart"/>
            <w:tcBorders>
              <w:tl2br w:val="nil"/>
              <w:tr2bl w:val="nil"/>
            </w:tcBorders>
            <w:tcMar>
              <w:top w:w="85" w:type="dxa"/>
              <w:left w:w="57" w:type="dxa"/>
              <w:bottom w:w="85"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中华人民共和国种子法》第七十二条第七款“假冒授权品种的，由县级以上人民政府农业农村、林业草原主管部门责令停止假冒行为，没收违法所得和种子；货值金额不足五万元的，并处一万元以上二十五万元以下罚款；货值金额五万元以上的，并处货值金额五倍以上十倍以下罚款。”</w:t>
            </w:r>
          </w:p>
        </w:tc>
        <w:tc>
          <w:tcPr>
            <w:tcW w:w="730" w:type="dxa"/>
            <w:tcBorders>
              <w:tl2br w:val="nil"/>
              <w:tr2bl w:val="nil"/>
            </w:tcBorders>
            <w:tcMar>
              <w:top w:w="85" w:type="dxa"/>
              <w:left w:w="57" w:type="dxa"/>
              <w:bottom w:w="85" w:type="dxa"/>
              <w:right w:w="57" w:type="dxa"/>
            </w:tcMar>
            <w:vAlign w:val="center"/>
          </w:tcPr>
          <w:p>
            <w:pPr>
              <w:widowControl/>
              <w:adjustRightInd w:val="0"/>
              <w:snapToGrid w:val="0"/>
              <w:jc w:val="center"/>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较轻</w:t>
            </w:r>
          </w:p>
        </w:tc>
        <w:tc>
          <w:tcPr>
            <w:tcW w:w="2378" w:type="dxa"/>
            <w:tcBorders>
              <w:tl2br w:val="nil"/>
              <w:tr2bl w:val="nil"/>
            </w:tcBorders>
            <w:tcMar>
              <w:top w:w="85" w:type="dxa"/>
              <w:left w:w="57" w:type="dxa"/>
              <w:bottom w:w="85"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货值金额一万元以下</w:t>
            </w:r>
          </w:p>
        </w:tc>
        <w:tc>
          <w:tcPr>
            <w:tcW w:w="2105" w:type="dxa"/>
            <w:vMerge w:val="restart"/>
            <w:tcBorders>
              <w:tl2br w:val="nil"/>
              <w:tr2bl w:val="nil"/>
            </w:tcBorders>
            <w:tcMar>
              <w:top w:w="85" w:type="dxa"/>
              <w:left w:w="57" w:type="dxa"/>
              <w:bottom w:w="85"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责令停止假冒行为，没收违法所得和种子</w:t>
            </w:r>
          </w:p>
        </w:tc>
        <w:tc>
          <w:tcPr>
            <w:tcW w:w="3737" w:type="dxa"/>
            <w:tcBorders>
              <w:tl2br w:val="nil"/>
              <w:tr2bl w:val="nil"/>
            </w:tcBorders>
            <w:tcMar>
              <w:top w:w="85" w:type="dxa"/>
              <w:left w:w="57" w:type="dxa"/>
              <w:bottom w:w="85"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并处一万元以上七万元以下罚款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3" w:hRule="atLeast"/>
          <w:jc w:val="center"/>
        </w:trPr>
        <w:tc>
          <w:tcPr>
            <w:tcW w:w="421" w:type="dxa"/>
            <w:vMerge w:val="continue"/>
            <w:tcBorders>
              <w:tl2br w:val="nil"/>
              <w:tr2bl w:val="nil"/>
            </w:tcBorders>
            <w:tcMar>
              <w:top w:w="85" w:type="dxa"/>
              <w:left w:w="57" w:type="dxa"/>
              <w:bottom w:w="85" w:type="dxa"/>
              <w:right w:w="57" w:type="dxa"/>
            </w:tcMar>
            <w:vAlign w:val="center"/>
          </w:tcPr>
          <w:p>
            <w:pPr>
              <w:adjustRightInd w:val="0"/>
              <w:snapToGrid w:val="0"/>
              <w:jc w:val="center"/>
              <w:rPr>
                <w:rFonts w:ascii="仿宋_GB2312" w:hAnsi="仿宋_GB2312" w:eastAsia="仿宋_GB2312" w:cs="仿宋_GB2312"/>
                <w:color w:val="000000"/>
                <w:sz w:val="21"/>
                <w:szCs w:val="21"/>
              </w:rPr>
            </w:pPr>
          </w:p>
        </w:tc>
        <w:tc>
          <w:tcPr>
            <w:tcW w:w="1098" w:type="dxa"/>
            <w:vMerge w:val="continue"/>
            <w:tcBorders>
              <w:tl2br w:val="nil"/>
              <w:tr2bl w:val="nil"/>
            </w:tcBorders>
            <w:tcMar>
              <w:top w:w="85" w:type="dxa"/>
              <w:left w:w="57" w:type="dxa"/>
              <w:bottom w:w="85"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3531" w:type="dxa"/>
            <w:vMerge w:val="continue"/>
            <w:tcBorders>
              <w:tl2br w:val="nil"/>
              <w:tr2bl w:val="nil"/>
            </w:tcBorders>
            <w:tcMar>
              <w:top w:w="85" w:type="dxa"/>
              <w:left w:w="57" w:type="dxa"/>
              <w:bottom w:w="85"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730" w:type="dxa"/>
            <w:tcBorders>
              <w:tl2br w:val="nil"/>
              <w:tr2bl w:val="nil"/>
            </w:tcBorders>
            <w:tcMar>
              <w:top w:w="85" w:type="dxa"/>
              <w:left w:w="57" w:type="dxa"/>
              <w:bottom w:w="85" w:type="dxa"/>
              <w:right w:w="57" w:type="dxa"/>
            </w:tcMar>
            <w:vAlign w:val="center"/>
          </w:tcPr>
          <w:p>
            <w:pPr>
              <w:widowControl/>
              <w:adjustRightInd w:val="0"/>
              <w:snapToGrid w:val="0"/>
              <w:jc w:val="center"/>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一般</w:t>
            </w:r>
          </w:p>
        </w:tc>
        <w:tc>
          <w:tcPr>
            <w:tcW w:w="2378" w:type="dxa"/>
            <w:tcBorders>
              <w:tl2br w:val="nil"/>
              <w:tr2bl w:val="nil"/>
            </w:tcBorders>
            <w:tcMar>
              <w:top w:w="85" w:type="dxa"/>
              <w:left w:w="57" w:type="dxa"/>
              <w:bottom w:w="85"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货值金额一万元以上二万元以下</w:t>
            </w:r>
          </w:p>
        </w:tc>
        <w:tc>
          <w:tcPr>
            <w:tcW w:w="2105" w:type="dxa"/>
            <w:vMerge w:val="continue"/>
            <w:tcBorders>
              <w:tl2br w:val="nil"/>
              <w:tr2bl w:val="nil"/>
            </w:tcBorders>
            <w:tcMar>
              <w:top w:w="85" w:type="dxa"/>
              <w:left w:w="57" w:type="dxa"/>
              <w:bottom w:w="85"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3737" w:type="dxa"/>
            <w:tcBorders>
              <w:tl2br w:val="nil"/>
              <w:tr2bl w:val="nil"/>
            </w:tcBorders>
            <w:tcMar>
              <w:top w:w="85" w:type="dxa"/>
              <w:left w:w="57" w:type="dxa"/>
              <w:bottom w:w="85"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并处七万元以上十五万元以下罚款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421" w:type="dxa"/>
            <w:vMerge w:val="continue"/>
            <w:tcBorders>
              <w:tl2br w:val="nil"/>
              <w:tr2bl w:val="nil"/>
            </w:tcBorders>
            <w:tcMar>
              <w:top w:w="85" w:type="dxa"/>
              <w:left w:w="57" w:type="dxa"/>
              <w:bottom w:w="85" w:type="dxa"/>
              <w:right w:w="57" w:type="dxa"/>
            </w:tcMar>
            <w:vAlign w:val="center"/>
          </w:tcPr>
          <w:p>
            <w:pPr>
              <w:adjustRightInd w:val="0"/>
              <w:snapToGrid w:val="0"/>
              <w:jc w:val="center"/>
              <w:rPr>
                <w:rFonts w:ascii="仿宋_GB2312" w:hAnsi="仿宋_GB2312" w:eastAsia="仿宋_GB2312" w:cs="仿宋_GB2312"/>
                <w:color w:val="000000"/>
                <w:sz w:val="21"/>
                <w:szCs w:val="21"/>
              </w:rPr>
            </w:pPr>
          </w:p>
        </w:tc>
        <w:tc>
          <w:tcPr>
            <w:tcW w:w="1098" w:type="dxa"/>
            <w:vMerge w:val="continue"/>
            <w:tcBorders>
              <w:tl2br w:val="nil"/>
              <w:tr2bl w:val="nil"/>
            </w:tcBorders>
            <w:tcMar>
              <w:top w:w="85" w:type="dxa"/>
              <w:left w:w="57" w:type="dxa"/>
              <w:bottom w:w="85"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3531" w:type="dxa"/>
            <w:vMerge w:val="continue"/>
            <w:tcBorders>
              <w:tl2br w:val="nil"/>
              <w:tr2bl w:val="nil"/>
            </w:tcBorders>
            <w:tcMar>
              <w:top w:w="85" w:type="dxa"/>
              <w:left w:w="57" w:type="dxa"/>
              <w:bottom w:w="85"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730" w:type="dxa"/>
            <w:tcBorders>
              <w:tl2br w:val="nil"/>
              <w:tr2bl w:val="nil"/>
            </w:tcBorders>
            <w:tcMar>
              <w:top w:w="85" w:type="dxa"/>
              <w:left w:w="57" w:type="dxa"/>
              <w:bottom w:w="85" w:type="dxa"/>
              <w:right w:w="57" w:type="dxa"/>
            </w:tcMar>
            <w:vAlign w:val="center"/>
          </w:tcPr>
          <w:p>
            <w:pPr>
              <w:widowControl/>
              <w:adjustRightInd w:val="0"/>
              <w:snapToGrid w:val="0"/>
              <w:jc w:val="center"/>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较重</w:t>
            </w:r>
          </w:p>
        </w:tc>
        <w:tc>
          <w:tcPr>
            <w:tcW w:w="2378" w:type="dxa"/>
            <w:tcBorders>
              <w:tl2br w:val="nil"/>
              <w:tr2bl w:val="nil"/>
            </w:tcBorders>
            <w:tcMar>
              <w:top w:w="85" w:type="dxa"/>
              <w:left w:w="57" w:type="dxa"/>
              <w:bottom w:w="85"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货值金额二万元以上，不足五万元</w:t>
            </w:r>
          </w:p>
        </w:tc>
        <w:tc>
          <w:tcPr>
            <w:tcW w:w="2105" w:type="dxa"/>
            <w:vMerge w:val="continue"/>
            <w:tcBorders>
              <w:tl2br w:val="nil"/>
              <w:tr2bl w:val="nil"/>
            </w:tcBorders>
            <w:tcMar>
              <w:top w:w="85" w:type="dxa"/>
              <w:left w:w="57" w:type="dxa"/>
              <w:bottom w:w="85"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3737" w:type="dxa"/>
            <w:tcBorders>
              <w:tl2br w:val="nil"/>
              <w:tr2bl w:val="nil"/>
            </w:tcBorders>
            <w:tcMar>
              <w:top w:w="85" w:type="dxa"/>
              <w:left w:w="57" w:type="dxa"/>
              <w:bottom w:w="85"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并处十五万元以上二十五万元以下罚款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421" w:type="dxa"/>
            <w:vMerge w:val="continue"/>
            <w:tcBorders>
              <w:tl2br w:val="nil"/>
              <w:tr2bl w:val="nil"/>
            </w:tcBorders>
            <w:tcMar>
              <w:top w:w="85" w:type="dxa"/>
              <w:left w:w="57" w:type="dxa"/>
              <w:bottom w:w="85" w:type="dxa"/>
              <w:right w:w="57" w:type="dxa"/>
            </w:tcMar>
            <w:vAlign w:val="center"/>
          </w:tcPr>
          <w:p>
            <w:pPr>
              <w:adjustRightInd w:val="0"/>
              <w:snapToGrid w:val="0"/>
              <w:jc w:val="center"/>
              <w:rPr>
                <w:rFonts w:ascii="仿宋_GB2312" w:hAnsi="仿宋_GB2312" w:eastAsia="仿宋_GB2312" w:cs="仿宋_GB2312"/>
                <w:color w:val="000000"/>
                <w:sz w:val="21"/>
                <w:szCs w:val="21"/>
              </w:rPr>
            </w:pPr>
          </w:p>
        </w:tc>
        <w:tc>
          <w:tcPr>
            <w:tcW w:w="1098" w:type="dxa"/>
            <w:vMerge w:val="continue"/>
            <w:tcBorders>
              <w:tl2br w:val="nil"/>
              <w:tr2bl w:val="nil"/>
            </w:tcBorders>
            <w:tcMar>
              <w:top w:w="85" w:type="dxa"/>
              <w:left w:w="57" w:type="dxa"/>
              <w:bottom w:w="85"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3531" w:type="dxa"/>
            <w:vMerge w:val="continue"/>
            <w:tcBorders>
              <w:tl2br w:val="nil"/>
              <w:tr2bl w:val="nil"/>
            </w:tcBorders>
            <w:tcMar>
              <w:top w:w="85" w:type="dxa"/>
              <w:left w:w="57" w:type="dxa"/>
              <w:bottom w:w="85"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730" w:type="dxa"/>
            <w:tcBorders>
              <w:tl2br w:val="nil"/>
              <w:tr2bl w:val="nil"/>
            </w:tcBorders>
            <w:tcMar>
              <w:top w:w="85" w:type="dxa"/>
              <w:left w:w="57" w:type="dxa"/>
              <w:bottom w:w="85" w:type="dxa"/>
              <w:right w:w="57" w:type="dxa"/>
            </w:tcMar>
            <w:vAlign w:val="center"/>
          </w:tcPr>
          <w:p>
            <w:pPr>
              <w:widowControl/>
              <w:adjustRightInd w:val="0"/>
              <w:snapToGrid w:val="0"/>
              <w:jc w:val="center"/>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严重</w:t>
            </w:r>
          </w:p>
        </w:tc>
        <w:tc>
          <w:tcPr>
            <w:tcW w:w="2378" w:type="dxa"/>
            <w:tcBorders>
              <w:tl2br w:val="nil"/>
              <w:tr2bl w:val="nil"/>
            </w:tcBorders>
            <w:tcMar>
              <w:top w:w="85" w:type="dxa"/>
              <w:left w:w="57" w:type="dxa"/>
              <w:bottom w:w="85"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货值金额五万元以上八万元以下</w:t>
            </w:r>
          </w:p>
        </w:tc>
        <w:tc>
          <w:tcPr>
            <w:tcW w:w="2105" w:type="dxa"/>
            <w:vMerge w:val="continue"/>
            <w:tcBorders>
              <w:tl2br w:val="nil"/>
              <w:tr2bl w:val="nil"/>
            </w:tcBorders>
            <w:tcMar>
              <w:top w:w="85" w:type="dxa"/>
              <w:left w:w="57" w:type="dxa"/>
              <w:bottom w:w="85"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3737" w:type="dxa"/>
            <w:tcBorders>
              <w:tl2br w:val="nil"/>
              <w:tr2bl w:val="nil"/>
            </w:tcBorders>
            <w:tcMar>
              <w:top w:w="85" w:type="dxa"/>
              <w:left w:w="57" w:type="dxa"/>
              <w:bottom w:w="85"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并处货值金额五倍以上八倍以下罚款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421" w:type="dxa"/>
            <w:vMerge w:val="continue"/>
            <w:tcBorders>
              <w:tl2br w:val="nil"/>
              <w:tr2bl w:val="nil"/>
            </w:tcBorders>
            <w:tcMar>
              <w:top w:w="85" w:type="dxa"/>
              <w:left w:w="57" w:type="dxa"/>
              <w:bottom w:w="85" w:type="dxa"/>
              <w:right w:w="57" w:type="dxa"/>
            </w:tcMar>
            <w:vAlign w:val="center"/>
          </w:tcPr>
          <w:p>
            <w:pPr>
              <w:adjustRightInd w:val="0"/>
              <w:snapToGrid w:val="0"/>
              <w:jc w:val="center"/>
              <w:rPr>
                <w:rFonts w:ascii="仿宋_GB2312" w:hAnsi="仿宋_GB2312" w:eastAsia="仿宋_GB2312" w:cs="仿宋_GB2312"/>
                <w:color w:val="000000"/>
                <w:sz w:val="21"/>
                <w:szCs w:val="21"/>
              </w:rPr>
            </w:pPr>
          </w:p>
        </w:tc>
        <w:tc>
          <w:tcPr>
            <w:tcW w:w="1098" w:type="dxa"/>
            <w:vMerge w:val="continue"/>
            <w:tcBorders>
              <w:tl2br w:val="nil"/>
              <w:tr2bl w:val="nil"/>
            </w:tcBorders>
            <w:tcMar>
              <w:top w:w="85" w:type="dxa"/>
              <w:left w:w="57" w:type="dxa"/>
              <w:bottom w:w="85"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3531" w:type="dxa"/>
            <w:vMerge w:val="continue"/>
            <w:tcBorders>
              <w:tl2br w:val="nil"/>
              <w:tr2bl w:val="nil"/>
            </w:tcBorders>
            <w:tcMar>
              <w:top w:w="85" w:type="dxa"/>
              <w:left w:w="57" w:type="dxa"/>
              <w:bottom w:w="85"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730" w:type="dxa"/>
            <w:tcBorders>
              <w:tl2br w:val="nil"/>
              <w:tr2bl w:val="nil"/>
            </w:tcBorders>
            <w:tcMar>
              <w:top w:w="85" w:type="dxa"/>
              <w:left w:w="57" w:type="dxa"/>
              <w:bottom w:w="85" w:type="dxa"/>
              <w:right w:w="57" w:type="dxa"/>
            </w:tcMar>
            <w:vAlign w:val="center"/>
          </w:tcPr>
          <w:p>
            <w:pPr>
              <w:widowControl/>
              <w:adjustRightInd w:val="0"/>
              <w:snapToGrid w:val="0"/>
              <w:jc w:val="center"/>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特别严重</w:t>
            </w:r>
          </w:p>
        </w:tc>
        <w:tc>
          <w:tcPr>
            <w:tcW w:w="2378" w:type="dxa"/>
            <w:tcBorders>
              <w:tl2br w:val="nil"/>
              <w:tr2bl w:val="nil"/>
            </w:tcBorders>
            <w:tcMar>
              <w:top w:w="85" w:type="dxa"/>
              <w:left w:w="57" w:type="dxa"/>
              <w:bottom w:w="85"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货值金额八万元以上</w:t>
            </w:r>
          </w:p>
        </w:tc>
        <w:tc>
          <w:tcPr>
            <w:tcW w:w="2105" w:type="dxa"/>
            <w:vMerge w:val="continue"/>
            <w:tcBorders>
              <w:tl2br w:val="nil"/>
              <w:tr2bl w:val="nil"/>
            </w:tcBorders>
            <w:tcMar>
              <w:top w:w="85" w:type="dxa"/>
              <w:left w:w="57" w:type="dxa"/>
              <w:bottom w:w="85"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3737" w:type="dxa"/>
            <w:tcBorders>
              <w:tl2br w:val="nil"/>
              <w:tr2bl w:val="nil"/>
            </w:tcBorders>
            <w:tcMar>
              <w:top w:w="85" w:type="dxa"/>
              <w:left w:w="57" w:type="dxa"/>
              <w:bottom w:w="85"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并处货值金额八倍以上十倍以下罚款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421" w:type="dxa"/>
            <w:vMerge w:val="restart"/>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4</w:t>
            </w:r>
          </w:p>
        </w:tc>
        <w:tc>
          <w:tcPr>
            <w:tcW w:w="1098" w:type="dxa"/>
            <w:vMerge w:val="restart"/>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生产经营假种子的</w:t>
            </w:r>
          </w:p>
        </w:tc>
        <w:tc>
          <w:tcPr>
            <w:tcW w:w="3531" w:type="dxa"/>
            <w:vMerge w:val="restart"/>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中华人民共和国种子法》第七十四条第一款“违反本法第四十八条规定，生产经营假种子的，由县级以上人民政府农业农村、林业草原主管部门责令停止生产经营，没收违法所得和种子，吊销种子生产经营许可证；违法生产经营的货值金额不足二万元的，并处二万元以上二十万元以下罚款；货值金额二万元以上的，并处货值金额十倍以上二十倍以下罚款。”</w:t>
            </w:r>
          </w:p>
        </w:tc>
        <w:tc>
          <w:tcPr>
            <w:tcW w:w="730"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较轻</w:t>
            </w:r>
          </w:p>
        </w:tc>
        <w:tc>
          <w:tcPr>
            <w:tcW w:w="2378"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货值金额六千元以下</w:t>
            </w:r>
          </w:p>
        </w:tc>
        <w:tc>
          <w:tcPr>
            <w:tcW w:w="2105" w:type="dxa"/>
            <w:vMerge w:val="restart"/>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责令停止生产经营，没收违法所得和种子，吊销种子生产经营许可证</w:t>
            </w:r>
          </w:p>
        </w:tc>
        <w:tc>
          <w:tcPr>
            <w:tcW w:w="3737"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并处二万元以上六万元以下罚款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421" w:type="dxa"/>
            <w:vMerge w:val="continue"/>
            <w:tcBorders>
              <w:tl2br w:val="nil"/>
              <w:tr2bl w:val="nil"/>
            </w:tcBorders>
            <w:tcMar>
              <w:top w:w="57" w:type="dxa"/>
              <w:left w:w="57" w:type="dxa"/>
              <w:bottom w:w="57" w:type="dxa"/>
              <w:right w:w="57" w:type="dxa"/>
            </w:tcMar>
            <w:vAlign w:val="center"/>
          </w:tcPr>
          <w:p>
            <w:pPr>
              <w:adjustRightInd w:val="0"/>
              <w:snapToGrid w:val="0"/>
              <w:jc w:val="center"/>
              <w:rPr>
                <w:rFonts w:ascii="仿宋_GB2312" w:hAnsi="仿宋_GB2312" w:eastAsia="仿宋_GB2312" w:cs="仿宋_GB2312"/>
                <w:color w:val="000000"/>
                <w:sz w:val="21"/>
                <w:szCs w:val="21"/>
              </w:rPr>
            </w:pPr>
          </w:p>
        </w:tc>
        <w:tc>
          <w:tcPr>
            <w:tcW w:w="1098"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3531"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730"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一般</w:t>
            </w:r>
          </w:p>
        </w:tc>
        <w:tc>
          <w:tcPr>
            <w:tcW w:w="2378"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货值金额六千元以上一万二千元以下</w:t>
            </w:r>
          </w:p>
        </w:tc>
        <w:tc>
          <w:tcPr>
            <w:tcW w:w="2105"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3737"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并处六万元以上十二万元以下罚款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421" w:type="dxa"/>
            <w:vMerge w:val="continue"/>
            <w:tcBorders>
              <w:tl2br w:val="nil"/>
              <w:tr2bl w:val="nil"/>
            </w:tcBorders>
            <w:tcMar>
              <w:top w:w="57" w:type="dxa"/>
              <w:left w:w="57" w:type="dxa"/>
              <w:bottom w:w="57" w:type="dxa"/>
              <w:right w:w="57" w:type="dxa"/>
            </w:tcMar>
            <w:vAlign w:val="center"/>
          </w:tcPr>
          <w:p>
            <w:pPr>
              <w:adjustRightInd w:val="0"/>
              <w:snapToGrid w:val="0"/>
              <w:jc w:val="center"/>
              <w:rPr>
                <w:rFonts w:ascii="仿宋_GB2312" w:hAnsi="仿宋_GB2312" w:eastAsia="仿宋_GB2312" w:cs="仿宋_GB2312"/>
                <w:color w:val="000000"/>
                <w:sz w:val="21"/>
                <w:szCs w:val="21"/>
              </w:rPr>
            </w:pPr>
          </w:p>
        </w:tc>
        <w:tc>
          <w:tcPr>
            <w:tcW w:w="1098"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3531"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730"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较重</w:t>
            </w:r>
          </w:p>
        </w:tc>
        <w:tc>
          <w:tcPr>
            <w:tcW w:w="2378"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货值金额一万二千元以上，不足二万元</w:t>
            </w:r>
          </w:p>
        </w:tc>
        <w:tc>
          <w:tcPr>
            <w:tcW w:w="2105"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3737"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并处十二万元以上二十万元以下罚款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421" w:type="dxa"/>
            <w:vMerge w:val="continue"/>
            <w:tcBorders>
              <w:tl2br w:val="nil"/>
              <w:tr2bl w:val="nil"/>
            </w:tcBorders>
            <w:tcMar>
              <w:top w:w="57" w:type="dxa"/>
              <w:left w:w="57" w:type="dxa"/>
              <w:bottom w:w="57" w:type="dxa"/>
              <w:right w:w="57" w:type="dxa"/>
            </w:tcMar>
            <w:vAlign w:val="center"/>
          </w:tcPr>
          <w:p>
            <w:pPr>
              <w:adjustRightInd w:val="0"/>
              <w:snapToGrid w:val="0"/>
              <w:jc w:val="center"/>
              <w:rPr>
                <w:rFonts w:ascii="仿宋_GB2312" w:hAnsi="仿宋_GB2312" w:eastAsia="仿宋_GB2312" w:cs="仿宋_GB2312"/>
                <w:color w:val="000000"/>
                <w:sz w:val="21"/>
                <w:szCs w:val="21"/>
              </w:rPr>
            </w:pPr>
          </w:p>
        </w:tc>
        <w:tc>
          <w:tcPr>
            <w:tcW w:w="1098"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3531"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730"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严重</w:t>
            </w:r>
          </w:p>
        </w:tc>
        <w:tc>
          <w:tcPr>
            <w:tcW w:w="2378"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货值金额二万元以上五万元以下</w:t>
            </w:r>
          </w:p>
        </w:tc>
        <w:tc>
          <w:tcPr>
            <w:tcW w:w="2105"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3737"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处货值金额十倍以上十五倍以下罚款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jc w:val="center"/>
        </w:trPr>
        <w:tc>
          <w:tcPr>
            <w:tcW w:w="421" w:type="dxa"/>
            <w:vMerge w:val="continue"/>
            <w:tcBorders>
              <w:tl2br w:val="nil"/>
              <w:tr2bl w:val="nil"/>
            </w:tcBorders>
            <w:tcMar>
              <w:top w:w="57" w:type="dxa"/>
              <w:left w:w="57" w:type="dxa"/>
              <w:bottom w:w="57" w:type="dxa"/>
              <w:right w:w="57" w:type="dxa"/>
            </w:tcMar>
            <w:vAlign w:val="center"/>
          </w:tcPr>
          <w:p>
            <w:pPr>
              <w:adjustRightInd w:val="0"/>
              <w:snapToGrid w:val="0"/>
              <w:jc w:val="center"/>
              <w:rPr>
                <w:rFonts w:ascii="仿宋_GB2312" w:hAnsi="仿宋_GB2312" w:eastAsia="仿宋_GB2312" w:cs="仿宋_GB2312"/>
                <w:color w:val="000000"/>
                <w:sz w:val="21"/>
                <w:szCs w:val="21"/>
              </w:rPr>
            </w:pPr>
          </w:p>
        </w:tc>
        <w:tc>
          <w:tcPr>
            <w:tcW w:w="1098"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3531"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730"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特别严重</w:t>
            </w:r>
          </w:p>
        </w:tc>
        <w:tc>
          <w:tcPr>
            <w:tcW w:w="2378"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货值金额五万元以上</w:t>
            </w:r>
          </w:p>
        </w:tc>
        <w:tc>
          <w:tcPr>
            <w:tcW w:w="2105"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3737"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处货值金额十五倍以上二十倍以下罚款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421" w:type="dxa"/>
            <w:vMerge w:val="restart"/>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5</w:t>
            </w:r>
          </w:p>
        </w:tc>
        <w:tc>
          <w:tcPr>
            <w:tcW w:w="1098" w:type="dxa"/>
            <w:vMerge w:val="restart"/>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生产经营劣种子的</w:t>
            </w:r>
          </w:p>
        </w:tc>
        <w:tc>
          <w:tcPr>
            <w:tcW w:w="3531" w:type="dxa"/>
            <w:vMerge w:val="restart"/>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中华人民共和国种子法》第七十五条第一款“违反本法第四十八条规定，生产经营劣种子的，由县级以上人民政府农业农村、林业草原主管部门责令停止生产经营，没收违法所得和种子；违法生产经营的货值金额不足二万元的，并处一万元以上十万元以下罚款；货值金额二万元以上的，并处货值金额五倍以上十倍以下罚款；情节严重的，吊销种子生产经营许可证。”</w:t>
            </w:r>
          </w:p>
        </w:tc>
        <w:tc>
          <w:tcPr>
            <w:tcW w:w="730"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较轻</w:t>
            </w:r>
          </w:p>
        </w:tc>
        <w:tc>
          <w:tcPr>
            <w:tcW w:w="2378"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货值金额六千元以下</w:t>
            </w:r>
          </w:p>
        </w:tc>
        <w:tc>
          <w:tcPr>
            <w:tcW w:w="2105" w:type="dxa"/>
            <w:vMerge w:val="restart"/>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责令停止生产经营，没收违法所得和种子</w:t>
            </w:r>
          </w:p>
        </w:tc>
        <w:tc>
          <w:tcPr>
            <w:tcW w:w="3737"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并处一万元以上三万元以下罚款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421" w:type="dxa"/>
            <w:vMerge w:val="continue"/>
            <w:tcBorders>
              <w:tl2br w:val="nil"/>
              <w:tr2bl w:val="nil"/>
            </w:tcBorders>
            <w:tcMar>
              <w:top w:w="57" w:type="dxa"/>
              <w:left w:w="57" w:type="dxa"/>
              <w:bottom w:w="57" w:type="dxa"/>
              <w:right w:w="57" w:type="dxa"/>
            </w:tcMar>
            <w:vAlign w:val="center"/>
          </w:tcPr>
          <w:p>
            <w:pPr>
              <w:adjustRightInd w:val="0"/>
              <w:snapToGrid w:val="0"/>
              <w:jc w:val="center"/>
              <w:rPr>
                <w:rFonts w:ascii="仿宋_GB2312" w:hAnsi="仿宋_GB2312" w:eastAsia="仿宋_GB2312" w:cs="仿宋_GB2312"/>
                <w:color w:val="000000"/>
                <w:sz w:val="21"/>
                <w:szCs w:val="21"/>
              </w:rPr>
            </w:pPr>
          </w:p>
        </w:tc>
        <w:tc>
          <w:tcPr>
            <w:tcW w:w="1098"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3531"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730"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一般</w:t>
            </w:r>
          </w:p>
        </w:tc>
        <w:tc>
          <w:tcPr>
            <w:tcW w:w="2378"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货值金额六千元以上一万二千元以下</w:t>
            </w:r>
          </w:p>
        </w:tc>
        <w:tc>
          <w:tcPr>
            <w:tcW w:w="2105"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3737"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并处三万元以上六万元以下罚款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421" w:type="dxa"/>
            <w:vMerge w:val="continue"/>
            <w:tcBorders>
              <w:tl2br w:val="nil"/>
              <w:tr2bl w:val="nil"/>
            </w:tcBorders>
            <w:tcMar>
              <w:top w:w="57" w:type="dxa"/>
              <w:left w:w="57" w:type="dxa"/>
              <w:bottom w:w="57" w:type="dxa"/>
              <w:right w:w="57" w:type="dxa"/>
            </w:tcMar>
            <w:vAlign w:val="center"/>
          </w:tcPr>
          <w:p>
            <w:pPr>
              <w:adjustRightInd w:val="0"/>
              <w:snapToGrid w:val="0"/>
              <w:jc w:val="center"/>
              <w:rPr>
                <w:rFonts w:ascii="仿宋_GB2312" w:hAnsi="仿宋_GB2312" w:eastAsia="仿宋_GB2312" w:cs="仿宋_GB2312"/>
                <w:color w:val="000000"/>
                <w:sz w:val="21"/>
                <w:szCs w:val="21"/>
              </w:rPr>
            </w:pPr>
          </w:p>
        </w:tc>
        <w:tc>
          <w:tcPr>
            <w:tcW w:w="1098"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3531"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730"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较重</w:t>
            </w:r>
          </w:p>
        </w:tc>
        <w:tc>
          <w:tcPr>
            <w:tcW w:w="2378"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货值金额一万二千元以上，不足二万元</w:t>
            </w:r>
          </w:p>
        </w:tc>
        <w:tc>
          <w:tcPr>
            <w:tcW w:w="2105"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3737"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并处六万元以上十万元以下罚款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421" w:type="dxa"/>
            <w:vMerge w:val="continue"/>
            <w:tcBorders>
              <w:tl2br w:val="nil"/>
              <w:tr2bl w:val="nil"/>
            </w:tcBorders>
            <w:tcMar>
              <w:top w:w="57" w:type="dxa"/>
              <w:left w:w="57" w:type="dxa"/>
              <w:bottom w:w="57" w:type="dxa"/>
              <w:right w:w="57" w:type="dxa"/>
            </w:tcMar>
            <w:vAlign w:val="center"/>
          </w:tcPr>
          <w:p>
            <w:pPr>
              <w:adjustRightInd w:val="0"/>
              <w:snapToGrid w:val="0"/>
              <w:jc w:val="center"/>
              <w:rPr>
                <w:rFonts w:ascii="仿宋_GB2312" w:hAnsi="仿宋_GB2312" w:eastAsia="仿宋_GB2312" w:cs="仿宋_GB2312"/>
                <w:color w:val="000000"/>
                <w:sz w:val="21"/>
                <w:szCs w:val="21"/>
              </w:rPr>
            </w:pPr>
          </w:p>
        </w:tc>
        <w:tc>
          <w:tcPr>
            <w:tcW w:w="1098"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3531"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730"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严重</w:t>
            </w:r>
          </w:p>
        </w:tc>
        <w:tc>
          <w:tcPr>
            <w:tcW w:w="2378"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货值金额二万元以上五万元以下</w:t>
            </w:r>
          </w:p>
        </w:tc>
        <w:tc>
          <w:tcPr>
            <w:tcW w:w="2105"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3737"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并处货值金额五倍以上八倍以下罚款，抄告发证机关吊销种子生产经营许可证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421" w:type="dxa"/>
            <w:vMerge w:val="continue"/>
            <w:tcBorders>
              <w:tl2br w:val="nil"/>
              <w:tr2bl w:val="nil"/>
            </w:tcBorders>
            <w:tcMar>
              <w:top w:w="57" w:type="dxa"/>
              <w:left w:w="57" w:type="dxa"/>
              <w:bottom w:w="57" w:type="dxa"/>
              <w:right w:w="57" w:type="dxa"/>
            </w:tcMar>
            <w:vAlign w:val="center"/>
          </w:tcPr>
          <w:p>
            <w:pPr>
              <w:adjustRightInd w:val="0"/>
              <w:snapToGrid w:val="0"/>
              <w:jc w:val="center"/>
              <w:rPr>
                <w:rFonts w:ascii="仿宋_GB2312" w:hAnsi="仿宋_GB2312" w:eastAsia="仿宋_GB2312" w:cs="仿宋_GB2312"/>
                <w:color w:val="000000"/>
                <w:sz w:val="21"/>
                <w:szCs w:val="21"/>
              </w:rPr>
            </w:pPr>
          </w:p>
        </w:tc>
        <w:tc>
          <w:tcPr>
            <w:tcW w:w="1098"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3531"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730"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特别严重</w:t>
            </w:r>
          </w:p>
        </w:tc>
        <w:tc>
          <w:tcPr>
            <w:tcW w:w="2378"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货值金额五万元以上</w:t>
            </w:r>
          </w:p>
        </w:tc>
        <w:tc>
          <w:tcPr>
            <w:tcW w:w="2105"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3737"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并处货值金额八倍以上十倍以下罚款，抄告发证机关吊销种子生产经营许可证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jc w:val="center"/>
        </w:trPr>
        <w:tc>
          <w:tcPr>
            <w:tcW w:w="421" w:type="dxa"/>
            <w:vMerge w:val="restart"/>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6</w:t>
            </w:r>
          </w:p>
        </w:tc>
        <w:tc>
          <w:tcPr>
            <w:tcW w:w="1098" w:type="dxa"/>
            <w:vMerge w:val="restart"/>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未取得种子生产经营许可证生产经营种子的</w:t>
            </w:r>
          </w:p>
        </w:tc>
        <w:tc>
          <w:tcPr>
            <w:tcW w:w="3531" w:type="dxa"/>
            <w:vMerge w:val="restart"/>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中华人民共和国种子法》第七十六条第一款第（一）项“违反本法第三十二条、第三十三条、第三十四条规定，有下列行为之一的，由县级以上人民政府农业农村、林业草原主管部门责令改正，没收违法所得和种子；违法生产经营的货值金额不足一万元的，并处三千元以上三万元以下罚款；货值金额一万元以上的，并处货值金额三倍以上五倍以下罚款；可以吊销种子生产经营许可证：</w:t>
            </w:r>
            <w:r>
              <w:rPr>
                <w:rFonts w:hint="eastAsia" w:ascii="仿宋_GB2312" w:hAnsi="仿宋_GB2312" w:eastAsia="仿宋_GB2312" w:cs="仿宋_GB2312"/>
                <w:color w:val="000000"/>
                <w:kern w:val="0"/>
                <w:sz w:val="21"/>
                <w:szCs w:val="21"/>
              </w:rPr>
              <w:br w:type="textWrapping"/>
            </w:r>
            <w:r>
              <w:rPr>
                <w:rFonts w:hint="eastAsia" w:ascii="仿宋_GB2312" w:hAnsi="仿宋_GB2312" w:eastAsia="仿宋_GB2312" w:cs="仿宋_GB2312"/>
                <w:color w:val="000000"/>
                <w:kern w:val="0"/>
                <w:sz w:val="21"/>
                <w:szCs w:val="21"/>
              </w:rPr>
              <w:t xml:space="preserve">（一）未取得种子生产经营许可证生产经营种子的；”                          </w:t>
            </w:r>
          </w:p>
        </w:tc>
        <w:tc>
          <w:tcPr>
            <w:tcW w:w="730"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较轻</w:t>
            </w:r>
          </w:p>
        </w:tc>
        <w:tc>
          <w:tcPr>
            <w:tcW w:w="2378"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货值金额三千元以下</w:t>
            </w:r>
          </w:p>
        </w:tc>
        <w:tc>
          <w:tcPr>
            <w:tcW w:w="2105" w:type="dxa"/>
            <w:vMerge w:val="restart"/>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责令改正，没收违法所得和种子</w:t>
            </w:r>
          </w:p>
        </w:tc>
        <w:tc>
          <w:tcPr>
            <w:tcW w:w="3737"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并处三千元以上五千元以下罚款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 w:hRule="atLeast"/>
          <w:jc w:val="center"/>
        </w:trPr>
        <w:tc>
          <w:tcPr>
            <w:tcW w:w="421" w:type="dxa"/>
            <w:vMerge w:val="continue"/>
            <w:tcBorders>
              <w:tl2br w:val="nil"/>
              <w:tr2bl w:val="nil"/>
            </w:tcBorders>
            <w:tcMar>
              <w:top w:w="57" w:type="dxa"/>
              <w:left w:w="57" w:type="dxa"/>
              <w:bottom w:w="57" w:type="dxa"/>
              <w:right w:w="57" w:type="dxa"/>
            </w:tcMar>
            <w:vAlign w:val="center"/>
          </w:tcPr>
          <w:p>
            <w:pPr>
              <w:adjustRightInd w:val="0"/>
              <w:snapToGrid w:val="0"/>
              <w:jc w:val="center"/>
              <w:rPr>
                <w:rFonts w:ascii="仿宋_GB2312" w:hAnsi="仿宋_GB2312" w:eastAsia="仿宋_GB2312" w:cs="仿宋_GB2312"/>
                <w:color w:val="000000"/>
                <w:sz w:val="21"/>
                <w:szCs w:val="21"/>
              </w:rPr>
            </w:pPr>
          </w:p>
        </w:tc>
        <w:tc>
          <w:tcPr>
            <w:tcW w:w="1098"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3531"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730"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一般</w:t>
            </w:r>
          </w:p>
        </w:tc>
        <w:tc>
          <w:tcPr>
            <w:tcW w:w="2378"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货值金额三千元以上六千元以下</w:t>
            </w:r>
          </w:p>
        </w:tc>
        <w:tc>
          <w:tcPr>
            <w:tcW w:w="2105"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3737"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并处五千元以上二万元以下罚款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jc w:val="center"/>
        </w:trPr>
        <w:tc>
          <w:tcPr>
            <w:tcW w:w="421" w:type="dxa"/>
            <w:vMerge w:val="continue"/>
            <w:tcBorders>
              <w:tl2br w:val="nil"/>
              <w:tr2bl w:val="nil"/>
            </w:tcBorders>
            <w:tcMar>
              <w:top w:w="57" w:type="dxa"/>
              <w:left w:w="57" w:type="dxa"/>
              <w:bottom w:w="57" w:type="dxa"/>
              <w:right w:w="57" w:type="dxa"/>
            </w:tcMar>
            <w:vAlign w:val="center"/>
          </w:tcPr>
          <w:p>
            <w:pPr>
              <w:adjustRightInd w:val="0"/>
              <w:snapToGrid w:val="0"/>
              <w:jc w:val="center"/>
              <w:rPr>
                <w:rFonts w:ascii="仿宋_GB2312" w:hAnsi="仿宋_GB2312" w:eastAsia="仿宋_GB2312" w:cs="仿宋_GB2312"/>
                <w:color w:val="000000"/>
                <w:sz w:val="21"/>
                <w:szCs w:val="21"/>
              </w:rPr>
            </w:pPr>
          </w:p>
        </w:tc>
        <w:tc>
          <w:tcPr>
            <w:tcW w:w="1098"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3531"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730"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较重</w:t>
            </w:r>
          </w:p>
        </w:tc>
        <w:tc>
          <w:tcPr>
            <w:tcW w:w="2378"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货值金额六千元以上，不足一万元</w:t>
            </w:r>
          </w:p>
        </w:tc>
        <w:tc>
          <w:tcPr>
            <w:tcW w:w="2105"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3737"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并处二万元以上三万元以下罚款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4" w:hRule="atLeast"/>
          <w:jc w:val="center"/>
        </w:trPr>
        <w:tc>
          <w:tcPr>
            <w:tcW w:w="421" w:type="dxa"/>
            <w:vMerge w:val="continue"/>
            <w:tcBorders>
              <w:tl2br w:val="nil"/>
              <w:tr2bl w:val="nil"/>
            </w:tcBorders>
            <w:tcMar>
              <w:top w:w="57" w:type="dxa"/>
              <w:left w:w="57" w:type="dxa"/>
              <w:bottom w:w="57" w:type="dxa"/>
              <w:right w:w="57" w:type="dxa"/>
            </w:tcMar>
            <w:vAlign w:val="center"/>
          </w:tcPr>
          <w:p>
            <w:pPr>
              <w:adjustRightInd w:val="0"/>
              <w:snapToGrid w:val="0"/>
              <w:jc w:val="center"/>
              <w:rPr>
                <w:rFonts w:ascii="仿宋_GB2312" w:hAnsi="仿宋_GB2312" w:eastAsia="仿宋_GB2312" w:cs="仿宋_GB2312"/>
                <w:color w:val="000000"/>
                <w:sz w:val="21"/>
                <w:szCs w:val="21"/>
              </w:rPr>
            </w:pPr>
          </w:p>
        </w:tc>
        <w:tc>
          <w:tcPr>
            <w:tcW w:w="1098"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3531"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730"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严重</w:t>
            </w:r>
          </w:p>
        </w:tc>
        <w:tc>
          <w:tcPr>
            <w:tcW w:w="2378"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货值金额一万元以上五万元以下</w:t>
            </w:r>
          </w:p>
        </w:tc>
        <w:tc>
          <w:tcPr>
            <w:tcW w:w="2105"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3737"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并处货值金额三倍以上四倍以下罚款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99" w:hRule="atLeast"/>
          <w:jc w:val="center"/>
        </w:trPr>
        <w:tc>
          <w:tcPr>
            <w:tcW w:w="421" w:type="dxa"/>
            <w:vMerge w:val="continue"/>
            <w:tcBorders>
              <w:tl2br w:val="nil"/>
              <w:tr2bl w:val="nil"/>
            </w:tcBorders>
            <w:tcMar>
              <w:top w:w="57" w:type="dxa"/>
              <w:left w:w="57" w:type="dxa"/>
              <w:bottom w:w="57" w:type="dxa"/>
              <w:right w:w="57" w:type="dxa"/>
            </w:tcMar>
            <w:vAlign w:val="center"/>
          </w:tcPr>
          <w:p>
            <w:pPr>
              <w:adjustRightInd w:val="0"/>
              <w:snapToGrid w:val="0"/>
              <w:jc w:val="center"/>
              <w:rPr>
                <w:rFonts w:ascii="仿宋_GB2312" w:hAnsi="仿宋_GB2312" w:eastAsia="仿宋_GB2312" w:cs="仿宋_GB2312"/>
                <w:color w:val="000000"/>
                <w:sz w:val="21"/>
                <w:szCs w:val="21"/>
              </w:rPr>
            </w:pPr>
          </w:p>
        </w:tc>
        <w:tc>
          <w:tcPr>
            <w:tcW w:w="1098"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3531"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730"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特别严重</w:t>
            </w:r>
          </w:p>
        </w:tc>
        <w:tc>
          <w:tcPr>
            <w:tcW w:w="2378"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货值金额五万元以上</w:t>
            </w:r>
          </w:p>
        </w:tc>
        <w:tc>
          <w:tcPr>
            <w:tcW w:w="2105"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3737"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并处货值金额四倍以上五倍以下罚款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9" w:hRule="atLeast"/>
          <w:jc w:val="center"/>
        </w:trPr>
        <w:tc>
          <w:tcPr>
            <w:tcW w:w="421" w:type="dxa"/>
            <w:vMerge w:val="restart"/>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7</w:t>
            </w:r>
          </w:p>
        </w:tc>
        <w:tc>
          <w:tcPr>
            <w:tcW w:w="1098" w:type="dxa"/>
            <w:vMerge w:val="restart"/>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以欺骗、贿赂等不正当手段取得种子生产经营许可证的</w:t>
            </w:r>
          </w:p>
        </w:tc>
        <w:tc>
          <w:tcPr>
            <w:tcW w:w="3531" w:type="dxa"/>
            <w:vMerge w:val="restart"/>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 xml:space="preserve">《中华人民共和国种子法》第七十六条第一款第（二）项“违反本法第三十二条、第三十三条、第三十四条规定，有下列行为之一的，由县级以上人民政府农业农村、林业草原主管部门责令改正，没收违法所得和种子；违法生产经营的货值金额不足一万元的，并处三千元以上三万元以下罚款；货值金额一万元以上的，并处货值金额三倍以上五倍以下罚款；可以吊销种子生产经营许可证：       </w:t>
            </w:r>
          </w:p>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（二）以欺骗、贿赂等不正当手段取得种子生产经营许可证的；”                                  第二款：“被吊销种子生产经营许可证的单位，其法定代表人、直接负责的主管人员自处罚决定作出之日起五年内不得担任种子企业的法定代表人、高级管理人员。”</w:t>
            </w:r>
          </w:p>
        </w:tc>
        <w:tc>
          <w:tcPr>
            <w:tcW w:w="730"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较轻</w:t>
            </w:r>
          </w:p>
        </w:tc>
        <w:tc>
          <w:tcPr>
            <w:tcW w:w="2378"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货值金额三千元以下</w:t>
            </w:r>
          </w:p>
        </w:tc>
        <w:tc>
          <w:tcPr>
            <w:tcW w:w="2105" w:type="dxa"/>
            <w:vMerge w:val="restart"/>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责令改正，没收违法所得和种子，可以吊销种子生产经营许可证，被吊销种子生产经营许可证的单位，其法定代表人、直接负责的主管人员自处罚决定作出之日起五年内不得担任种子企业的法定代表人、高级管理人员</w:t>
            </w:r>
          </w:p>
        </w:tc>
        <w:tc>
          <w:tcPr>
            <w:tcW w:w="3737"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并处三千元以上五千元以下罚款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0" w:hRule="atLeast"/>
          <w:jc w:val="center"/>
        </w:trPr>
        <w:tc>
          <w:tcPr>
            <w:tcW w:w="421" w:type="dxa"/>
            <w:vMerge w:val="continue"/>
            <w:tcBorders>
              <w:tl2br w:val="nil"/>
              <w:tr2bl w:val="nil"/>
            </w:tcBorders>
            <w:tcMar>
              <w:top w:w="57" w:type="dxa"/>
              <w:left w:w="57" w:type="dxa"/>
              <w:bottom w:w="57" w:type="dxa"/>
              <w:right w:w="57" w:type="dxa"/>
            </w:tcMar>
            <w:vAlign w:val="center"/>
          </w:tcPr>
          <w:p>
            <w:pPr>
              <w:adjustRightInd w:val="0"/>
              <w:snapToGrid w:val="0"/>
              <w:jc w:val="center"/>
              <w:rPr>
                <w:rFonts w:ascii="仿宋_GB2312" w:hAnsi="仿宋_GB2312" w:eastAsia="仿宋_GB2312" w:cs="仿宋_GB2312"/>
                <w:color w:val="000000"/>
                <w:sz w:val="21"/>
                <w:szCs w:val="21"/>
              </w:rPr>
            </w:pPr>
          </w:p>
        </w:tc>
        <w:tc>
          <w:tcPr>
            <w:tcW w:w="1098"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3531"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730"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一般</w:t>
            </w:r>
          </w:p>
        </w:tc>
        <w:tc>
          <w:tcPr>
            <w:tcW w:w="2378"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货值金额三千元以上六千元以下</w:t>
            </w:r>
          </w:p>
        </w:tc>
        <w:tc>
          <w:tcPr>
            <w:tcW w:w="2105"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3737"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并处五千元以上二万元以下罚款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0" w:hRule="atLeast"/>
          <w:jc w:val="center"/>
        </w:trPr>
        <w:tc>
          <w:tcPr>
            <w:tcW w:w="421" w:type="dxa"/>
            <w:vMerge w:val="continue"/>
            <w:tcBorders>
              <w:tl2br w:val="nil"/>
              <w:tr2bl w:val="nil"/>
            </w:tcBorders>
            <w:tcMar>
              <w:top w:w="57" w:type="dxa"/>
              <w:left w:w="57" w:type="dxa"/>
              <w:bottom w:w="57" w:type="dxa"/>
              <w:right w:w="57" w:type="dxa"/>
            </w:tcMar>
            <w:vAlign w:val="center"/>
          </w:tcPr>
          <w:p>
            <w:pPr>
              <w:adjustRightInd w:val="0"/>
              <w:snapToGrid w:val="0"/>
              <w:jc w:val="center"/>
              <w:rPr>
                <w:rFonts w:ascii="仿宋_GB2312" w:hAnsi="仿宋_GB2312" w:eastAsia="仿宋_GB2312" w:cs="仿宋_GB2312"/>
                <w:color w:val="000000"/>
                <w:sz w:val="21"/>
                <w:szCs w:val="21"/>
              </w:rPr>
            </w:pPr>
          </w:p>
        </w:tc>
        <w:tc>
          <w:tcPr>
            <w:tcW w:w="1098"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3531"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730"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较重</w:t>
            </w:r>
          </w:p>
        </w:tc>
        <w:tc>
          <w:tcPr>
            <w:tcW w:w="2378"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货值金额六千元以上，不足一万元</w:t>
            </w:r>
          </w:p>
        </w:tc>
        <w:tc>
          <w:tcPr>
            <w:tcW w:w="2105"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3737"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并处二万元以上三万元以下罚款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31" w:hRule="atLeast"/>
          <w:jc w:val="center"/>
        </w:trPr>
        <w:tc>
          <w:tcPr>
            <w:tcW w:w="421" w:type="dxa"/>
            <w:vMerge w:val="continue"/>
            <w:tcBorders>
              <w:tl2br w:val="nil"/>
              <w:tr2bl w:val="nil"/>
            </w:tcBorders>
            <w:tcMar>
              <w:top w:w="57" w:type="dxa"/>
              <w:left w:w="57" w:type="dxa"/>
              <w:bottom w:w="57" w:type="dxa"/>
              <w:right w:w="57" w:type="dxa"/>
            </w:tcMar>
            <w:vAlign w:val="center"/>
          </w:tcPr>
          <w:p>
            <w:pPr>
              <w:adjustRightInd w:val="0"/>
              <w:snapToGrid w:val="0"/>
              <w:jc w:val="center"/>
              <w:rPr>
                <w:rFonts w:ascii="仿宋_GB2312" w:hAnsi="仿宋_GB2312" w:eastAsia="仿宋_GB2312" w:cs="仿宋_GB2312"/>
                <w:color w:val="000000"/>
                <w:sz w:val="21"/>
                <w:szCs w:val="21"/>
              </w:rPr>
            </w:pPr>
          </w:p>
        </w:tc>
        <w:tc>
          <w:tcPr>
            <w:tcW w:w="1098"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3531"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730"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严重</w:t>
            </w:r>
          </w:p>
        </w:tc>
        <w:tc>
          <w:tcPr>
            <w:tcW w:w="2378"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货值金额一万元以上五万元以下</w:t>
            </w:r>
          </w:p>
        </w:tc>
        <w:tc>
          <w:tcPr>
            <w:tcW w:w="2105"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3737"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并处货值金额三倍以上四倍以下罚款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3" w:hRule="atLeast"/>
          <w:jc w:val="center"/>
        </w:trPr>
        <w:tc>
          <w:tcPr>
            <w:tcW w:w="421" w:type="dxa"/>
            <w:vMerge w:val="continue"/>
            <w:tcBorders>
              <w:tl2br w:val="nil"/>
              <w:tr2bl w:val="nil"/>
            </w:tcBorders>
            <w:tcMar>
              <w:top w:w="57" w:type="dxa"/>
              <w:left w:w="57" w:type="dxa"/>
              <w:bottom w:w="57" w:type="dxa"/>
              <w:right w:w="57" w:type="dxa"/>
            </w:tcMar>
            <w:vAlign w:val="center"/>
          </w:tcPr>
          <w:p>
            <w:pPr>
              <w:adjustRightInd w:val="0"/>
              <w:snapToGrid w:val="0"/>
              <w:jc w:val="center"/>
              <w:rPr>
                <w:rFonts w:ascii="仿宋_GB2312" w:hAnsi="仿宋_GB2312" w:eastAsia="仿宋_GB2312" w:cs="仿宋_GB2312"/>
                <w:color w:val="000000"/>
                <w:sz w:val="21"/>
                <w:szCs w:val="21"/>
              </w:rPr>
            </w:pPr>
          </w:p>
        </w:tc>
        <w:tc>
          <w:tcPr>
            <w:tcW w:w="1098"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3531"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730"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特别严重</w:t>
            </w:r>
          </w:p>
        </w:tc>
        <w:tc>
          <w:tcPr>
            <w:tcW w:w="2378"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货值金额五万元以上</w:t>
            </w:r>
          </w:p>
        </w:tc>
        <w:tc>
          <w:tcPr>
            <w:tcW w:w="2105"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3737"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并处货值金额四倍以上五倍以下罚款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421" w:type="dxa"/>
            <w:vMerge w:val="restart"/>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8</w:t>
            </w:r>
          </w:p>
        </w:tc>
        <w:tc>
          <w:tcPr>
            <w:tcW w:w="1098" w:type="dxa"/>
            <w:vMerge w:val="restart"/>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未按照种子生产经营许可证的规定生产经营种子的</w:t>
            </w:r>
          </w:p>
        </w:tc>
        <w:tc>
          <w:tcPr>
            <w:tcW w:w="3531" w:type="dxa"/>
            <w:vMerge w:val="restart"/>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中华人民共和国种子法》第七十六条第一款第（三）项“违反本法第三十二条、第三十三条、第三十四条规定，有下列行为之一的，由县级以上人民政府农业农村、林业草原主管部门责令改正，没收违法所得和种子；违法生产经营的货值金额不足一万元的，并处三千元以上三万元以下罚款；货值金额一万元以上的，并处货值金额三倍以上五倍以下罚款；可以吊销种子生产经营许可证：</w:t>
            </w:r>
            <w:r>
              <w:rPr>
                <w:rFonts w:hint="eastAsia" w:ascii="仿宋_GB2312" w:hAnsi="仿宋_GB2312" w:eastAsia="仿宋_GB2312" w:cs="仿宋_GB2312"/>
                <w:color w:val="000000"/>
                <w:kern w:val="0"/>
                <w:sz w:val="21"/>
                <w:szCs w:val="21"/>
              </w:rPr>
              <w:br w:type="textWrapping"/>
            </w:r>
            <w:r>
              <w:rPr>
                <w:rFonts w:hint="eastAsia" w:ascii="仿宋_GB2312" w:hAnsi="仿宋_GB2312" w:eastAsia="仿宋_GB2312" w:cs="仿宋_GB2312"/>
                <w:color w:val="000000"/>
                <w:kern w:val="0"/>
                <w:sz w:val="21"/>
                <w:szCs w:val="21"/>
              </w:rPr>
              <w:t>（三）未按照种子生产经营许可证的规定生产经营种子的；”                                           第二款：“被吊销种子生产经营许可证的单位，其法定代表人、直接负责的主管人员自处罚决定作出之日起五年内不得担任种子企业的法定代表人、高级管理人员。”</w:t>
            </w:r>
          </w:p>
        </w:tc>
        <w:tc>
          <w:tcPr>
            <w:tcW w:w="730"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较轻</w:t>
            </w:r>
          </w:p>
        </w:tc>
        <w:tc>
          <w:tcPr>
            <w:tcW w:w="2378"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货值金额三千元以下</w:t>
            </w:r>
          </w:p>
        </w:tc>
        <w:tc>
          <w:tcPr>
            <w:tcW w:w="2105" w:type="dxa"/>
            <w:vMerge w:val="restart"/>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责令改正，没收违法所得和种子，可以吊销种子生产经营许可证，被吊销种子生产经营许可证的单位，其法定代表人、直接负责的主管人员自处罚决定作出之日起五年内不得担任种子企业的法定代表人、高级管理人员</w:t>
            </w:r>
          </w:p>
        </w:tc>
        <w:tc>
          <w:tcPr>
            <w:tcW w:w="3737"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并处三千元以上五千元以下罚款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59" w:hRule="atLeast"/>
          <w:jc w:val="center"/>
        </w:trPr>
        <w:tc>
          <w:tcPr>
            <w:tcW w:w="421" w:type="dxa"/>
            <w:vMerge w:val="continue"/>
            <w:tcBorders>
              <w:tl2br w:val="nil"/>
              <w:tr2bl w:val="nil"/>
            </w:tcBorders>
            <w:tcMar>
              <w:top w:w="57" w:type="dxa"/>
              <w:left w:w="57" w:type="dxa"/>
              <w:bottom w:w="57" w:type="dxa"/>
              <w:right w:w="57" w:type="dxa"/>
            </w:tcMar>
            <w:vAlign w:val="center"/>
          </w:tcPr>
          <w:p>
            <w:pPr>
              <w:adjustRightInd w:val="0"/>
              <w:snapToGrid w:val="0"/>
              <w:jc w:val="center"/>
              <w:rPr>
                <w:rFonts w:ascii="仿宋_GB2312" w:hAnsi="仿宋_GB2312" w:eastAsia="仿宋_GB2312" w:cs="仿宋_GB2312"/>
                <w:color w:val="000000"/>
                <w:sz w:val="21"/>
                <w:szCs w:val="21"/>
              </w:rPr>
            </w:pPr>
          </w:p>
        </w:tc>
        <w:tc>
          <w:tcPr>
            <w:tcW w:w="1098"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3531"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730"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一般</w:t>
            </w:r>
          </w:p>
        </w:tc>
        <w:tc>
          <w:tcPr>
            <w:tcW w:w="2378"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货值金额三千元以上六千元以下</w:t>
            </w:r>
          </w:p>
        </w:tc>
        <w:tc>
          <w:tcPr>
            <w:tcW w:w="2105"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3737"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并处五千元以上二万元以下罚款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8" w:hRule="atLeast"/>
          <w:jc w:val="center"/>
        </w:trPr>
        <w:tc>
          <w:tcPr>
            <w:tcW w:w="421" w:type="dxa"/>
            <w:vMerge w:val="continue"/>
            <w:tcBorders>
              <w:tl2br w:val="nil"/>
              <w:tr2bl w:val="nil"/>
            </w:tcBorders>
            <w:tcMar>
              <w:top w:w="57" w:type="dxa"/>
              <w:left w:w="57" w:type="dxa"/>
              <w:bottom w:w="57" w:type="dxa"/>
              <w:right w:w="57" w:type="dxa"/>
            </w:tcMar>
            <w:vAlign w:val="center"/>
          </w:tcPr>
          <w:p>
            <w:pPr>
              <w:adjustRightInd w:val="0"/>
              <w:snapToGrid w:val="0"/>
              <w:jc w:val="center"/>
              <w:rPr>
                <w:rFonts w:ascii="仿宋_GB2312" w:hAnsi="仿宋_GB2312" w:eastAsia="仿宋_GB2312" w:cs="仿宋_GB2312"/>
                <w:color w:val="000000"/>
                <w:sz w:val="21"/>
                <w:szCs w:val="21"/>
              </w:rPr>
            </w:pPr>
          </w:p>
        </w:tc>
        <w:tc>
          <w:tcPr>
            <w:tcW w:w="1098"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3531"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730"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较重</w:t>
            </w:r>
          </w:p>
        </w:tc>
        <w:tc>
          <w:tcPr>
            <w:tcW w:w="2378"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货值金额六千元以上，不足一万元</w:t>
            </w:r>
          </w:p>
        </w:tc>
        <w:tc>
          <w:tcPr>
            <w:tcW w:w="2105"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3737"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并处二万元以上三万元以下罚款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2" w:hRule="atLeast"/>
          <w:jc w:val="center"/>
        </w:trPr>
        <w:tc>
          <w:tcPr>
            <w:tcW w:w="421" w:type="dxa"/>
            <w:vMerge w:val="continue"/>
            <w:tcBorders>
              <w:tl2br w:val="nil"/>
              <w:tr2bl w:val="nil"/>
            </w:tcBorders>
            <w:tcMar>
              <w:top w:w="57" w:type="dxa"/>
              <w:left w:w="57" w:type="dxa"/>
              <w:bottom w:w="57" w:type="dxa"/>
              <w:right w:w="57" w:type="dxa"/>
            </w:tcMar>
            <w:vAlign w:val="center"/>
          </w:tcPr>
          <w:p>
            <w:pPr>
              <w:adjustRightInd w:val="0"/>
              <w:snapToGrid w:val="0"/>
              <w:jc w:val="center"/>
              <w:rPr>
                <w:rFonts w:ascii="仿宋_GB2312" w:hAnsi="仿宋_GB2312" w:eastAsia="仿宋_GB2312" w:cs="仿宋_GB2312"/>
                <w:color w:val="000000"/>
                <w:sz w:val="21"/>
                <w:szCs w:val="21"/>
              </w:rPr>
            </w:pPr>
          </w:p>
        </w:tc>
        <w:tc>
          <w:tcPr>
            <w:tcW w:w="1098"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3531"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730"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严重</w:t>
            </w:r>
          </w:p>
        </w:tc>
        <w:tc>
          <w:tcPr>
            <w:tcW w:w="2378"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货值金额一万元以上五万元以下</w:t>
            </w:r>
          </w:p>
        </w:tc>
        <w:tc>
          <w:tcPr>
            <w:tcW w:w="2105"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3737"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并处货值金额三倍以上四倍以下罚款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59" w:hRule="atLeast"/>
          <w:jc w:val="center"/>
        </w:trPr>
        <w:tc>
          <w:tcPr>
            <w:tcW w:w="421" w:type="dxa"/>
            <w:vMerge w:val="continue"/>
            <w:tcBorders>
              <w:tl2br w:val="nil"/>
              <w:tr2bl w:val="nil"/>
            </w:tcBorders>
            <w:tcMar>
              <w:top w:w="57" w:type="dxa"/>
              <w:left w:w="57" w:type="dxa"/>
              <w:bottom w:w="57" w:type="dxa"/>
              <w:right w:w="57" w:type="dxa"/>
            </w:tcMar>
            <w:vAlign w:val="center"/>
          </w:tcPr>
          <w:p>
            <w:pPr>
              <w:adjustRightInd w:val="0"/>
              <w:snapToGrid w:val="0"/>
              <w:jc w:val="center"/>
              <w:rPr>
                <w:rFonts w:ascii="仿宋_GB2312" w:hAnsi="仿宋_GB2312" w:eastAsia="仿宋_GB2312" w:cs="仿宋_GB2312"/>
                <w:color w:val="000000"/>
                <w:sz w:val="21"/>
                <w:szCs w:val="21"/>
              </w:rPr>
            </w:pPr>
          </w:p>
        </w:tc>
        <w:tc>
          <w:tcPr>
            <w:tcW w:w="1098"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3531"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730"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特别严重</w:t>
            </w:r>
          </w:p>
        </w:tc>
        <w:tc>
          <w:tcPr>
            <w:tcW w:w="2378"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货值金额五万元以上</w:t>
            </w:r>
          </w:p>
        </w:tc>
        <w:tc>
          <w:tcPr>
            <w:tcW w:w="2105"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3737"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并处货值金额四倍以上五倍以下罚款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59" w:hRule="atLeast"/>
          <w:jc w:val="center"/>
        </w:trPr>
        <w:tc>
          <w:tcPr>
            <w:tcW w:w="421" w:type="dxa"/>
            <w:vMerge w:val="restart"/>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9</w:t>
            </w:r>
          </w:p>
        </w:tc>
        <w:tc>
          <w:tcPr>
            <w:tcW w:w="1098" w:type="dxa"/>
            <w:vMerge w:val="restart"/>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伪造、变造、买卖、租借种子生产经营许可证的</w:t>
            </w:r>
          </w:p>
        </w:tc>
        <w:tc>
          <w:tcPr>
            <w:tcW w:w="3531" w:type="dxa"/>
            <w:vMerge w:val="restart"/>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中华人民共和国种子法》第七十六条第一款第（四）项“违反本法第三十二条、第三十三条、第三十四条规定，有下列行为之一的，由县级以上人民政府农业农村、林业草原主管部门责令改正，没收违法所得和种子；违法生产经营的货值金额不足一万元的，并处三千元以上三万元以下罚款；货值金额一万元以上的，并处货值金额三倍以上五倍以下罚款；可以吊销种子生产经营许可证：</w:t>
            </w:r>
          </w:p>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（四）伪造、变造、买卖、租借种子生产经营许可证的。”                                         第二款：“被吊销种子生产经营许可证的单位，其法定代表人、直接负责的主管人员自处罚决定作出之日起五年内不得担任种子企业的法定代表人、高级管理人员。”</w:t>
            </w:r>
          </w:p>
        </w:tc>
        <w:tc>
          <w:tcPr>
            <w:tcW w:w="730"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较轻</w:t>
            </w:r>
          </w:p>
        </w:tc>
        <w:tc>
          <w:tcPr>
            <w:tcW w:w="2378"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货值金额三千元以下</w:t>
            </w:r>
          </w:p>
        </w:tc>
        <w:tc>
          <w:tcPr>
            <w:tcW w:w="2105" w:type="dxa"/>
            <w:vMerge w:val="restart"/>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责令改正，没收违法所得和种子，可以吊销种子生产经营许可证，被吊销种子生产经营许可证的单位，其法定代表人、直接负责的主管人员自处罚决定作出之日起五年内不得担任种子企业的法定代表人、高级管理人员</w:t>
            </w:r>
          </w:p>
        </w:tc>
        <w:tc>
          <w:tcPr>
            <w:tcW w:w="3737"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并处三千元以上五千元以下罚款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1" w:hRule="atLeast"/>
          <w:jc w:val="center"/>
        </w:trPr>
        <w:tc>
          <w:tcPr>
            <w:tcW w:w="421" w:type="dxa"/>
            <w:vMerge w:val="continue"/>
            <w:tcBorders>
              <w:tl2br w:val="nil"/>
              <w:tr2bl w:val="nil"/>
            </w:tcBorders>
            <w:tcMar>
              <w:top w:w="57" w:type="dxa"/>
              <w:left w:w="57" w:type="dxa"/>
              <w:bottom w:w="57" w:type="dxa"/>
              <w:right w:w="57" w:type="dxa"/>
            </w:tcMar>
            <w:vAlign w:val="center"/>
          </w:tcPr>
          <w:p>
            <w:pPr>
              <w:adjustRightInd w:val="0"/>
              <w:snapToGrid w:val="0"/>
              <w:jc w:val="center"/>
              <w:rPr>
                <w:rFonts w:ascii="仿宋_GB2312" w:hAnsi="仿宋_GB2312" w:eastAsia="仿宋_GB2312" w:cs="仿宋_GB2312"/>
                <w:color w:val="000000"/>
                <w:sz w:val="21"/>
                <w:szCs w:val="21"/>
              </w:rPr>
            </w:pPr>
          </w:p>
        </w:tc>
        <w:tc>
          <w:tcPr>
            <w:tcW w:w="1098"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3531"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730"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一般</w:t>
            </w:r>
          </w:p>
        </w:tc>
        <w:tc>
          <w:tcPr>
            <w:tcW w:w="2378"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货值金额三千元以上六千元以下</w:t>
            </w:r>
          </w:p>
        </w:tc>
        <w:tc>
          <w:tcPr>
            <w:tcW w:w="2105"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3737"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并处五千元以上二万元以下罚款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4" w:hRule="atLeast"/>
          <w:jc w:val="center"/>
        </w:trPr>
        <w:tc>
          <w:tcPr>
            <w:tcW w:w="421" w:type="dxa"/>
            <w:vMerge w:val="continue"/>
            <w:tcBorders>
              <w:tl2br w:val="nil"/>
              <w:tr2bl w:val="nil"/>
            </w:tcBorders>
            <w:tcMar>
              <w:top w:w="57" w:type="dxa"/>
              <w:left w:w="57" w:type="dxa"/>
              <w:bottom w:w="57" w:type="dxa"/>
              <w:right w:w="57" w:type="dxa"/>
            </w:tcMar>
            <w:vAlign w:val="center"/>
          </w:tcPr>
          <w:p>
            <w:pPr>
              <w:adjustRightInd w:val="0"/>
              <w:snapToGrid w:val="0"/>
              <w:jc w:val="center"/>
              <w:rPr>
                <w:rFonts w:ascii="仿宋_GB2312" w:hAnsi="仿宋_GB2312" w:eastAsia="仿宋_GB2312" w:cs="仿宋_GB2312"/>
                <w:color w:val="000000"/>
                <w:sz w:val="21"/>
                <w:szCs w:val="21"/>
              </w:rPr>
            </w:pPr>
          </w:p>
        </w:tc>
        <w:tc>
          <w:tcPr>
            <w:tcW w:w="1098"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3531"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730"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较重</w:t>
            </w:r>
          </w:p>
        </w:tc>
        <w:tc>
          <w:tcPr>
            <w:tcW w:w="2378"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货值金额六千元以上，不足一万元</w:t>
            </w:r>
          </w:p>
        </w:tc>
        <w:tc>
          <w:tcPr>
            <w:tcW w:w="2105"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3737"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并处二万元以上三万元以下罚款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5" w:hRule="atLeast"/>
          <w:jc w:val="center"/>
        </w:trPr>
        <w:tc>
          <w:tcPr>
            <w:tcW w:w="421" w:type="dxa"/>
            <w:vMerge w:val="continue"/>
            <w:tcBorders>
              <w:tl2br w:val="nil"/>
              <w:tr2bl w:val="nil"/>
            </w:tcBorders>
            <w:tcMar>
              <w:top w:w="57" w:type="dxa"/>
              <w:left w:w="57" w:type="dxa"/>
              <w:bottom w:w="57" w:type="dxa"/>
              <w:right w:w="57" w:type="dxa"/>
            </w:tcMar>
            <w:vAlign w:val="center"/>
          </w:tcPr>
          <w:p>
            <w:pPr>
              <w:adjustRightInd w:val="0"/>
              <w:snapToGrid w:val="0"/>
              <w:jc w:val="center"/>
              <w:rPr>
                <w:rFonts w:ascii="仿宋_GB2312" w:hAnsi="仿宋_GB2312" w:eastAsia="仿宋_GB2312" w:cs="仿宋_GB2312"/>
                <w:color w:val="000000"/>
                <w:sz w:val="21"/>
                <w:szCs w:val="21"/>
              </w:rPr>
            </w:pPr>
          </w:p>
        </w:tc>
        <w:tc>
          <w:tcPr>
            <w:tcW w:w="1098"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3531"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730"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严重</w:t>
            </w:r>
          </w:p>
        </w:tc>
        <w:tc>
          <w:tcPr>
            <w:tcW w:w="2378"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货值金额一万元以上五万元以下</w:t>
            </w:r>
          </w:p>
        </w:tc>
        <w:tc>
          <w:tcPr>
            <w:tcW w:w="2105"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3737"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并处货值金额三倍以上四倍以下罚款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1" w:hRule="atLeast"/>
          <w:jc w:val="center"/>
        </w:trPr>
        <w:tc>
          <w:tcPr>
            <w:tcW w:w="421" w:type="dxa"/>
            <w:vMerge w:val="continue"/>
            <w:tcBorders>
              <w:tl2br w:val="nil"/>
              <w:tr2bl w:val="nil"/>
            </w:tcBorders>
            <w:tcMar>
              <w:top w:w="57" w:type="dxa"/>
              <w:left w:w="57" w:type="dxa"/>
              <w:bottom w:w="57" w:type="dxa"/>
              <w:right w:w="57" w:type="dxa"/>
            </w:tcMar>
            <w:vAlign w:val="center"/>
          </w:tcPr>
          <w:p>
            <w:pPr>
              <w:adjustRightInd w:val="0"/>
              <w:snapToGrid w:val="0"/>
              <w:jc w:val="center"/>
              <w:rPr>
                <w:rFonts w:ascii="仿宋_GB2312" w:hAnsi="仿宋_GB2312" w:eastAsia="仿宋_GB2312" w:cs="仿宋_GB2312"/>
                <w:color w:val="000000"/>
                <w:sz w:val="21"/>
                <w:szCs w:val="21"/>
              </w:rPr>
            </w:pPr>
          </w:p>
        </w:tc>
        <w:tc>
          <w:tcPr>
            <w:tcW w:w="1098"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3531"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730"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特别严重</w:t>
            </w:r>
          </w:p>
        </w:tc>
        <w:tc>
          <w:tcPr>
            <w:tcW w:w="2378"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货值金额五万元以上</w:t>
            </w:r>
          </w:p>
        </w:tc>
        <w:tc>
          <w:tcPr>
            <w:tcW w:w="2105"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3737"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并处货值金额四倍以上五倍以下罚款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59" w:hRule="atLeast"/>
          <w:jc w:val="center"/>
        </w:trPr>
        <w:tc>
          <w:tcPr>
            <w:tcW w:w="421" w:type="dxa"/>
            <w:vMerge w:val="restart"/>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10</w:t>
            </w:r>
          </w:p>
        </w:tc>
        <w:tc>
          <w:tcPr>
            <w:tcW w:w="1098" w:type="dxa"/>
            <w:vMerge w:val="restart"/>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不再具有繁殖种子的隔离和培育条件，或者不再具有无检疫性有害生物的种子生产地点，继续从事种子生产的</w:t>
            </w:r>
          </w:p>
        </w:tc>
        <w:tc>
          <w:tcPr>
            <w:tcW w:w="3531" w:type="dxa"/>
            <w:vMerge w:val="restart"/>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中华人民共和国种子法》第七十六条第一款第（五）项“违反本法第三十二条、第三十三条、第三十四条规定，有下列行为之一的，由县级以上人民政府农业农村、林业草原主管部门责令改正，没收违法所得和种子；违法生产经营的货值金额不足一万元的，并处三千元以上三万元以下罚款；货值金额一万元以上的，并处货值金额三倍以上五倍以下罚款；可以吊销种子生产经营许可证：</w:t>
            </w:r>
          </w:p>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（五）不再具有繁殖种子的隔离和培育条件，或者不再具有无检疫性有害生物的种子生产地点或者县级以上人民政府林业草原主管部门确定的采种林，继续从事种子生产的；”                                                                 第二款：“被吊销种子生产经营许可证的单位，其法定代表人、直接负责的主管人员自处罚决定作出之日起五年内不得担任种子企业的法定代表人、高级管理人员。”</w:t>
            </w:r>
          </w:p>
        </w:tc>
        <w:tc>
          <w:tcPr>
            <w:tcW w:w="730"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较轻</w:t>
            </w:r>
          </w:p>
        </w:tc>
        <w:tc>
          <w:tcPr>
            <w:tcW w:w="2378"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货值金额三千元以下</w:t>
            </w:r>
          </w:p>
        </w:tc>
        <w:tc>
          <w:tcPr>
            <w:tcW w:w="2105" w:type="dxa"/>
            <w:vMerge w:val="restart"/>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责令改正，没收违法所得和种子，可以吊销种子生产经营许可证，被吊销种子生产经营许可证的单位，其法定代表人、直接负责的主管人员自处罚决定作出之日起五年内不得担任种子企业的法定代表人、高级管理人员</w:t>
            </w:r>
          </w:p>
        </w:tc>
        <w:tc>
          <w:tcPr>
            <w:tcW w:w="3737"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并处三千元以上五千元以下罚款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59" w:hRule="atLeast"/>
          <w:jc w:val="center"/>
        </w:trPr>
        <w:tc>
          <w:tcPr>
            <w:tcW w:w="421" w:type="dxa"/>
            <w:vMerge w:val="continue"/>
            <w:tcBorders>
              <w:tl2br w:val="nil"/>
              <w:tr2bl w:val="nil"/>
            </w:tcBorders>
            <w:tcMar>
              <w:top w:w="57" w:type="dxa"/>
              <w:left w:w="57" w:type="dxa"/>
              <w:bottom w:w="57" w:type="dxa"/>
              <w:right w:w="57" w:type="dxa"/>
            </w:tcMar>
            <w:vAlign w:val="center"/>
          </w:tcPr>
          <w:p>
            <w:pPr>
              <w:adjustRightInd w:val="0"/>
              <w:snapToGrid w:val="0"/>
              <w:jc w:val="center"/>
              <w:rPr>
                <w:rFonts w:ascii="仿宋_GB2312" w:hAnsi="仿宋_GB2312" w:eastAsia="仿宋_GB2312" w:cs="仿宋_GB2312"/>
                <w:color w:val="000000"/>
                <w:sz w:val="21"/>
                <w:szCs w:val="21"/>
              </w:rPr>
            </w:pPr>
          </w:p>
        </w:tc>
        <w:tc>
          <w:tcPr>
            <w:tcW w:w="1098"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3531"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730"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一般</w:t>
            </w:r>
          </w:p>
        </w:tc>
        <w:tc>
          <w:tcPr>
            <w:tcW w:w="2378"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货值金额三千元以上六千元以下</w:t>
            </w:r>
          </w:p>
        </w:tc>
        <w:tc>
          <w:tcPr>
            <w:tcW w:w="2105"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3737"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并处五千元以上二万元以下罚款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0" w:hRule="atLeast"/>
          <w:jc w:val="center"/>
        </w:trPr>
        <w:tc>
          <w:tcPr>
            <w:tcW w:w="421" w:type="dxa"/>
            <w:vMerge w:val="continue"/>
            <w:tcBorders>
              <w:tl2br w:val="nil"/>
              <w:tr2bl w:val="nil"/>
            </w:tcBorders>
            <w:tcMar>
              <w:top w:w="57" w:type="dxa"/>
              <w:left w:w="57" w:type="dxa"/>
              <w:bottom w:w="57" w:type="dxa"/>
              <w:right w:w="57" w:type="dxa"/>
            </w:tcMar>
            <w:vAlign w:val="center"/>
          </w:tcPr>
          <w:p>
            <w:pPr>
              <w:adjustRightInd w:val="0"/>
              <w:snapToGrid w:val="0"/>
              <w:jc w:val="center"/>
              <w:rPr>
                <w:rFonts w:ascii="仿宋_GB2312" w:hAnsi="仿宋_GB2312" w:eastAsia="仿宋_GB2312" w:cs="仿宋_GB2312"/>
                <w:color w:val="000000"/>
                <w:sz w:val="21"/>
                <w:szCs w:val="21"/>
              </w:rPr>
            </w:pPr>
          </w:p>
        </w:tc>
        <w:tc>
          <w:tcPr>
            <w:tcW w:w="1098"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3531"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730"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较重</w:t>
            </w:r>
          </w:p>
        </w:tc>
        <w:tc>
          <w:tcPr>
            <w:tcW w:w="2378"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货值金额六千元以上，不足一万元</w:t>
            </w:r>
          </w:p>
        </w:tc>
        <w:tc>
          <w:tcPr>
            <w:tcW w:w="2105"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3737"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并处二万元以上三万元以下罚款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2" w:hRule="atLeast"/>
          <w:jc w:val="center"/>
        </w:trPr>
        <w:tc>
          <w:tcPr>
            <w:tcW w:w="421" w:type="dxa"/>
            <w:vMerge w:val="continue"/>
            <w:tcBorders>
              <w:tl2br w:val="nil"/>
              <w:tr2bl w:val="nil"/>
            </w:tcBorders>
            <w:tcMar>
              <w:top w:w="57" w:type="dxa"/>
              <w:left w:w="57" w:type="dxa"/>
              <w:bottom w:w="57" w:type="dxa"/>
              <w:right w:w="57" w:type="dxa"/>
            </w:tcMar>
            <w:vAlign w:val="center"/>
          </w:tcPr>
          <w:p>
            <w:pPr>
              <w:adjustRightInd w:val="0"/>
              <w:snapToGrid w:val="0"/>
              <w:jc w:val="center"/>
              <w:rPr>
                <w:rFonts w:ascii="仿宋_GB2312" w:hAnsi="仿宋_GB2312" w:eastAsia="仿宋_GB2312" w:cs="仿宋_GB2312"/>
                <w:color w:val="000000"/>
                <w:sz w:val="21"/>
                <w:szCs w:val="21"/>
              </w:rPr>
            </w:pPr>
          </w:p>
        </w:tc>
        <w:tc>
          <w:tcPr>
            <w:tcW w:w="1098"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3531"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730"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严重</w:t>
            </w:r>
          </w:p>
        </w:tc>
        <w:tc>
          <w:tcPr>
            <w:tcW w:w="2378"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货值金额一万元以上五万元以下</w:t>
            </w:r>
          </w:p>
        </w:tc>
        <w:tc>
          <w:tcPr>
            <w:tcW w:w="2105"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3737"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并处货值金额三倍以上四倍以下罚款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421" w:type="dxa"/>
            <w:vMerge w:val="continue"/>
            <w:tcBorders>
              <w:tl2br w:val="nil"/>
              <w:tr2bl w:val="nil"/>
            </w:tcBorders>
            <w:tcMar>
              <w:top w:w="57" w:type="dxa"/>
              <w:left w:w="57" w:type="dxa"/>
              <w:bottom w:w="57" w:type="dxa"/>
              <w:right w:w="57" w:type="dxa"/>
            </w:tcMar>
            <w:vAlign w:val="center"/>
          </w:tcPr>
          <w:p>
            <w:pPr>
              <w:adjustRightInd w:val="0"/>
              <w:snapToGrid w:val="0"/>
              <w:jc w:val="center"/>
              <w:rPr>
                <w:rFonts w:ascii="仿宋_GB2312" w:hAnsi="仿宋_GB2312" w:eastAsia="仿宋_GB2312" w:cs="仿宋_GB2312"/>
                <w:color w:val="000000"/>
                <w:sz w:val="21"/>
                <w:szCs w:val="21"/>
              </w:rPr>
            </w:pPr>
          </w:p>
        </w:tc>
        <w:tc>
          <w:tcPr>
            <w:tcW w:w="1098"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3531"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730"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特别严重</w:t>
            </w:r>
          </w:p>
        </w:tc>
        <w:tc>
          <w:tcPr>
            <w:tcW w:w="2378"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货值金额五万元以上</w:t>
            </w:r>
          </w:p>
        </w:tc>
        <w:tc>
          <w:tcPr>
            <w:tcW w:w="2105"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3737"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并处货值金额四倍以上五倍以下罚款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59" w:hRule="atLeast"/>
          <w:jc w:val="center"/>
        </w:trPr>
        <w:tc>
          <w:tcPr>
            <w:tcW w:w="421" w:type="dxa"/>
            <w:vMerge w:val="restart"/>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11</w:t>
            </w:r>
          </w:p>
        </w:tc>
        <w:tc>
          <w:tcPr>
            <w:tcW w:w="1098" w:type="dxa"/>
            <w:vMerge w:val="restart"/>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未执行种子检验、检疫规程生产种子的</w:t>
            </w:r>
          </w:p>
        </w:tc>
        <w:tc>
          <w:tcPr>
            <w:tcW w:w="3531" w:type="dxa"/>
            <w:vMerge w:val="restart"/>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 xml:space="preserve">《中华人民共和国种子法》第七十六条第一款第（六）项“违反本法第三十二条、第三十三条、第三十四条规定，有下列行为之一的，由县级以上人民政府农业农村、林业草原主管部门责令改正，没收违法所得和种子；违法生产经营的货值金额不足一万元的，并处三千元以上三万元以下罚款；货值金额一万元以上的，并处货值金额三倍以上五倍以下罚款；可以吊销种子生产经营许可证：             </w:t>
            </w:r>
          </w:p>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（六）未执行种子检验、检疫规程生产种子的。”                                            第二款：“被吊销种子生产经营许可证的单位，其法定代表人、直接负责的主管人员自处罚决定作出之日起五年内不得担任种子企业的法定代表人、高级管理人员。”</w:t>
            </w:r>
          </w:p>
        </w:tc>
        <w:tc>
          <w:tcPr>
            <w:tcW w:w="730"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较轻</w:t>
            </w:r>
          </w:p>
        </w:tc>
        <w:tc>
          <w:tcPr>
            <w:tcW w:w="2378"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货值金额三千元以下</w:t>
            </w:r>
          </w:p>
        </w:tc>
        <w:tc>
          <w:tcPr>
            <w:tcW w:w="2105" w:type="dxa"/>
            <w:vMerge w:val="restart"/>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责令改正，没收违法所得和种子，可以吊销种子生产经营许可证，被吊销种子生产经营许可证的单位，其法定代表人、直接负责的主管人员自处罚决定作出之日起五年内不得担任种子企业的法定代表人、高级管理人员</w:t>
            </w:r>
          </w:p>
        </w:tc>
        <w:tc>
          <w:tcPr>
            <w:tcW w:w="3737"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并处三千元以上五千元以下罚款</w:t>
            </w:r>
            <w:r>
              <w:rPr>
                <w:rFonts w:hint="eastAsia" w:ascii="仿宋_GB2312" w:hAnsi="仿宋_GB2312" w:eastAsia="仿宋_GB2312" w:cs="仿宋_GB2312"/>
                <w:color w:val="000000"/>
                <w:kern w:val="0"/>
                <w:sz w:val="21"/>
                <w:szCs w:val="21"/>
              </w:rPr>
              <w:br w:type="textWrapping"/>
            </w:r>
            <w:r>
              <w:rPr>
                <w:rFonts w:hint="eastAsia" w:ascii="仿宋_GB2312" w:hAnsi="仿宋_GB2312" w:eastAsia="仿宋_GB2312" w:cs="仿宋_GB2312"/>
                <w:color w:val="000000"/>
                <w:kern w:val="0"/>
                <w:sz w:val="21"/>
                <w:szCs w:val="21"/>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4" w:hRule="atLeast"/>
          <w:jc w:val="center"/>
        </w:trPr>
        <w:tc>
          <w:tcPr>
            <w:tcW w:w="421" w:type="dxa"/>
            <w:vMerge w:val="continue"/>
            <w:tcBorders>
              <w:tl2br w:val="nil"/>
              <w:tr2bl w:val="nil"/>
            </w:tcBorders>
            <w:tcMar>
              <w:top w:w="57" w:type="dxa"/>
              <w:left w:w="57" w:type="dxa"/>
              <w:bottom w:w="57" w:type="dxa"/>
              <w:right w:w="57" w:type="dxa"/>
            </w:tcMar>
            <w:vAlign w:val="center"/>
          </w:tcPr>
          <w:p>
            <w:pPr>
              <w:adjustRightInd w:val="0"/>
              <w:snapToGrid w:val="0"/>
              <w:jc w:val="center"/>
              <w:rPr>
                <w:rFonts w:ascii="仿宋_GB2312" w:hAnsi="仿宋_GB2312" w:eastAsia="仿宋_GB2312" w:cs="仿宋_GB2312"/>
                <w:color w:val="000000"/>
                <w:sz w:val="21"/>
                <w:szCs w:val="21"/>
              </w:rPr>
            </w:pPr>
          </w:p>
        </w:tc>
        <w:tc>
          <w:tcPr>
            <w:tcW w:w="1098"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3531"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730"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一般</w:t>
            </w:r>
          </w:p>
        </w:tc>
        <w:tc>
          <w:tcPr>
            <w:tcW w:w="2378"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货值金额三千元以上六千元以下</w:t>
            </w:r>
          </w:p>
        </w:tc>
        <w:tc>
          <w:tcPr>
            <w:tcW w:w="2105"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3737"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并处五千元以上二万元以下罚款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59" w:hRule="atLeast"/>
          <w:jc w:val="center"/>
        </w:trPr>
        <w:tc>
          <w:tcPr>
            <w:tcW w:w="421" w:type="dxa"/>
            <w:vMerge w:val="continue"/>
            <w:tcBorders>
              <w:tl2br w:val="nil"/>
              <w:tr2bl w:val="nil"/>
            </w:tcBorders>
            <w:tcMar>
              <w:top w:w="57" w:type="dxa"/>
              <w:left w:w="57" w:type="dxa"/>
              <w:bottom w:w="57" w:type="dxa"/>
              <w:right w:w="57" w:type="dxa"/>
            </w:tcMar>
            <w:vAlign w:val="center"/>
          </w:tcPr>
          <w:p>
            <w:pPr>
              <w:adjustRightInd w:val="0"/>
              <w:snapToGrid w:val="0"/>
              <w:jc w:val="center"/>
              <w:rPr>
                <w:rFonts w:ascii="仿宋_GB2312" w:hAnsi="仿宋_GB2312" w:eastAsia="仿宋_GB2312" w:cs="仿宋_GB2312"/>
                <w:color w:val="000000"/>
                <w:sz w:val="21"/>
                <w:szCs w:val="21"/>
              </w:rPr>
            </w:pPr>
          </w:p>
        </w:tc>
        <w:tc>
          <w:tcPr>
            <w:tcW w:w="1098"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3531"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730"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较重</w:t>
            </w:r>
          </w:p>
        </w:tc>
        <w:tc>
          <w:tcPr>
            <w:tcW w:w="2378"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货值金额六千元以上，不足一万元</w:t>
            </w:r>
          </w:p>
        </w:tc>
        <w:tc>
          <w:tcPr>
            <w:tcW w:w="2105"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3737"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并处二万元以上三万元以下罚款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421" w:type="dxa"/>
            <w:vMerge w:val="continue"/>
            <w:tcBorders>
              <w:tl2br w:val="nil"/>
              <w:tr2bl w:val="nil"/>
            </w:tcBorders>
            <w:tcMar>
              <w:top w:w="57" w:type="dxa"/>
              <w:left w:w="57" w:type="dxa"/>
              <w:bottom w:w="57" w:type="dxa"/>
              <w:right w:w="57" w:type="dxa"/>
            </w:tcMar>
            <w:vAlign w:val="center"/>
          </w:tcPr>
          <w:p>
            <w:pPr>
              <w:adjustRightInd w:val="0"/>
              <w:snapToGrid w:val="0"/>
              <w:jc w:val="center"/>
              <w:rPr>
                <w:rFonts w:ascii="仿宋_GB2312" w:hAnsi="仿宋_GB2312" w:eastAsia="仿宋_GB2312" w:cs="仿宋_GB2312"/>
                <w:color w:val="000000"/>
                <w:sz w:val="21"/>
                <w:szCs w:val="21"/>
              </w:rPr>
            </w:pPr>
          </w:p>
        </w:tc>
        <w:tc>
          <w:tcPr>
            <w:tcW w:w="1098"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3531"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730"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严重</w:t>
            </w:r>
          </w:p>
        </w:tc>
        <w:tc>
          <w:tcPr>
            <w:tcW w:w="2378"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货值金额一万元以上五万元以下</w:t>
            </w:r>
          </w:p>
        </w:tc>
        <w:tc>
          <w:tcPr>
            <w:tcW w:w="2105"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3737"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并处货值金额三倍以上四倍以下罚款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6" w:hRule="atLeast"/>
          <w:jc w:val="center"/>
        </w:trPr>
        <w:tc>
          <w:tcPr>
            <w:tcW w:w="421" w:type="dxa"/>
            <w:vMerge w:val="continue"/>
            <w:tcBorders>
              <w:tl2br w:val="nil"/>
              <w:tr2bl w:val="nil"/>
            </w:tcBorders>
            <w:tcMar>
              <w:top w:w="57" w:type="dxa"/>
              <w:left w:w="57" w:type="dxa"/>
              <w:bottom w:w="57" w:type="dxa"/>
              <w:right w:w="57" w:type="dxa"/>
            </w:tcMar>
            <w:vAlign w:val="center"/>
          </w:tcPr>
          <w:p>
            <w:pPr>
              <w:adjustRightInd w:val="0"/>
              <w:snapToGrid w:val="0"/>
              <w:jc w:val="center"/>
              <w:rPr>
                <w:rFonts w:ascii="仿宋_GB2312" w:hAnsi="仿宋_GB2312" w:eastAsia="仿宋_GB2312" w:cs="仿宋_GB2312"/>
                <w:color w:val="000000"/>
                <w:sz w:val="21"/>
                <w:szCs w:val="21"/>
              </w:rPr>
            </w:pPr>
          </w:p>
        </w:tc>
        <w:tc>
          <w:tcPr>
            <w:tcW w:w="1098"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3531"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730"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特别严重</w:t>
            </w:r>
          </w:p>
        </w:tc>
        <w:tc>
          <w:tcPr>
            <w:tcW w:w="2378"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货值金额五万元以上</w:t>
            </w:r>
          </w:p>
        </w:tc>
        <w:tc>
          <w:tcPr>
            <w:tcW w:w="2105"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3737"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并处货值金额四倍以上五倍以下罚款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9" w:hRule="atLeast"/>
          <w:jc w:val="center"/>
        </w:trPr>
        <w:tc>
          <w:tcPr>
            <w:tcW w:w="421" w:type="dxa"/>
            <w:vMerge w:val="restart"/>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12</w:t>
            </w:r>
          </w:p>
        </w:tc>
        <w:tc>
          <w:tcPr>
            <w:tcW w:w="1098" w:type="dxa"/>
            <w:vMerge w:val="restart"/>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对应当审定未经审定的农作物品种进行推广、销售的</w:t>
            </w:r>
          </w:p>
        </w:tc>
        <w:tc>
          <w:tcPr>
            <w:tcW w:w="3531" w:type="dxa"/>
            <w:vMerge w:val="restart"/>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中华人民共和国种子法》第七十七条第一款第（一）项“违反本法第二十一条、第二十二条、第二十三条规定，有下列行为之一的，由县级以上人民政府农业农村、林业草原主管部门责令停止违法行为，没收违法所得和种子，并处二万元以上二十万元以下罚款：</w:t>
            </w:r>
            <w:r>
              <w:rPr>
                <w:rFonts w:hint="eastAsia" w:ascii="仿宋_GB2312" w:hAnsi="仿宋_GB2312" w:eastAsia="仿宋_GB2312" w:cs="仿宋_GB2312"/>
                <w:color w:val="000000"/>
                <w:kern w:val="0"/>
                <w:sz w:val="21"/>
                <w:szCs w:val="21"/>
              </w:rPr>
              <w:br w:type="textWrapping"/>
            </w:r>
            <w:r>
              <w:rPr>
                <w:rFonts w:hint="eastAsia" w:ascii="仿宋_GB2312" w:hAnsi="仿宋_GB2312" w:eastAsia="仿宋_GB2312" w:cs="仿宋_GB2312"/>
                <w:color w:val="000000"/>
                <w:kern w:val="0"/>
                <w:sz w:val="21"/>
                <w:szCs w:val="21"/>
              </w:rPr>
              <w:t>（一）对应当审定未经审定的农作物品种进行推广、销售的；”</w:t>
            </w:r>
          </w:p>
        </w:tc>
        <w:tc>
          <w:tcPr>
            <w:tcW w:w="730"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较轻</w:t>
            </w:r>
          </w:p>
        </w:tc>
        <w:tc>
          <w:tcPr>
            <w:tcW w:w="2378"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货值金额一万元以下</w:t>
            </w:r>
          </w:p>
        </w:tc>
        <w:tc>
          <w:tcPr>
            <w:tcW w:w="2105" w:type="dxa"/>
            <w:vMerge w:val="restart"/>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责令停止违法行为，没收违法所得和种子</w:t>
            </w:r>
          </w:p>
        </w:tc>
        <w:tc>
          <w:tcPr>
            <w:tcW w:w="3737"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并处二万元以上三万元以下罚款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7" w:hRule="atLeast"/>
          <w:jc w:val="center"/>
        </w:trPr>
        <w:tc>
          <w:tcPr>
            <w:tcW w:w="421" w:type="dxa"/>
            <w:vMerge w:val="continue"/>
            <w:tcBorders>
              <w:tl2br w:val="nil"/>
              <w:tr2bl w:val="nil"/>
            </w:tcBorders>
            <w:tcMar>
              <w:top w:w="57" w:type="dxa"/>
              <w:left w:w="57" w:type="dxa"/>
              <w:bottom w:w="57" w:type="dxa"/>
              <w:right w:w="57" w:type="dxa"/>
            </w:tcMar>
            <w:vAlign w:val="center"/>
          </w:tcPr>
          <w:p>
            <w:pPr>
              <w:adjustRightInd w:val="0"/>
              <w:snapToGrid w:val="0"/>
              <w:jc w:val="center"/>
              <w:rPr>
                <w:rFonts w:ascii="仿宋_GB2312" w:hAnsi="仿宋_GB2312" w:eastAsia="仿宋_GB2312" w:cs="仿宋_GB2312"/>
                <w:color w:val="000000"/>
                <w:sz w:val="21"/>
                <w:szCs w:val="21"/>
              </w:rPr>
            </w:pPr>
          </w:p>
        </w:tc>
        <w:tc>
          <w:tcPr>
            <w:tcW w:w="1098"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3531"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730"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一般</w:t>
            </w:r>
          </w:p>
        </w:tc>
        <w:tc>
          <w:tcPr>
            <w:tcW w:w="2378"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货值金额一万元以上二万元以下</w:t>
            </w:r>
          </w:p>
        </w:tc>
        <w:tc>
          <w:tcPr>
            <w:tcW w:w="2105"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3737"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并处三万元以上六万元以下罚款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5" w:hRule="atLeast"/>
          <w:jc w:val="center"/>
        </w:trPr>
        <w:tc>
          <w:tcPr>
            <w:tcW w:w="421" w:type="dxa"/>
            <w:vMerge w:val="continue"/>
            <w:tcBorders>
              <w:tl2br w:val="nil"/>
              <w:tr2bl w:val="nil"/>
            </w:tcBorders>
            <w:tcMar>
              <w:top w:w="57" w:type="dxa"/>
              <w:left w:w="57" w:type="dxa"/>
              <w:bottom w:w="57" w:type="dxa"/>
              <w:right w:w="57" w:type="dxa"/>
            </w:tcMar>
            <w:vAlign w:val="center"/>
          </w:tcPr>
          <w:p>
            <w:pPr>
              <w:adjustRightInd w:val="0"/>
              <w:snapToGrid w:val="0"/>
              <w:jc w:val="center"/>
              <w:rPr>
                <w:rFonts w:ascii="仿宋_GB2312" w:hAnsi="仿宋_GB2312" w:eastAsia="仿宋_GB2312" w:cs="仿宋_GB2312"/>
                <w:color w:val="000000"/>
                <w:sz w:val="21"/>
                <w:szCs w:val="21"/>
              </w:rPr>
            </w:pPr>
          </w:p>
        </w:tc>
        <w:tc>
          <w:tcPr>
            <w:tcW w:w="1098"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3531"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730"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较重</w:t>
            </w:r>
          </w:p>
        </w:tc>
        <w:tc>
          <w:tcPr>
            <w:tcW w:w="2378"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货值金额二万元以上三万元以下</w:t>
            </w:r>
          </w:p>
        </w:tc>
        <w:tc>
          <w:tcPr>
            <w:tcW w:w="2105"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3737"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并处六万元以上十万元以下罚款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3" w:hRule="atLeast"/>
          <w:jc w:val="center"/>
        </w:trPr>
        <w:tc>
          <w:tcPr>
            <w:tcW w:w="421" w:type="dxa"/>
            <w:vMerge w:val="continue"/>
            <w:tcBorders>
              <w:tl2br w:val="nil"/>
              <w:tr2bl w:val="nil"/>
            </w:tcBorders>
            <w:tcMar>
              <w:top w:w="57" w:type="dxa"/>
              <w:left w:w="57" w:type="dxa"/>
              <w:bottom w:w="57" w:type="dxa"/>
              <w:right w:w="57" w:type="dxa"/>
            </w:tcMar>
            <w:vAlign w:val="center"/>
          </w:tcPr>
          <w:p>
            <w:pPr>
              <w:adjustRightInd w:val="0"/>
              <w:snapToGrid w:val="0"/>
              <w:jc w:val="center"/>
              <w:rPr>
                <w:rFonts w:ascii="仿宋_GB2312" w:hAnsi="仿宋_GB2312" w:eastAsia="仿宋_GB2312" w:cs="仿宋_GB2312"/>
                <w:color w:val="000000"/>
                <w:sz w:val="21"/>
                <w:szCs w:val="21"/>
              </w:rPr>
            </w:pPr>
          </w:p>
        </w:tc>
        <w:tc>
          <w:tcPr>
            <w:tcW w:w="1098"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3531"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730"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严重</w:t>
            </w:r>
          </w:p>
        </w:tc>
        <w:tc>
          <w:tcPr>
            <w:tcW w:w="2378"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货值金额三万元以上四万元以下</w:t>
            </w:r>
          </w:p>
        </w:tc>
        <w:tc>
          <w:tcPr>
            <w:tcW w:w="2105"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3737"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并处十万元以上十五万元以下罚款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jc w:val="center"/>
        </w:trPr>
        <w:tc>
          <w:tcPr>
            <w:tcW w:w="421" w:type="dxa"/>
            <w:vMerge w:val="continue"/>
            <w:tcBorders>
              <w:tl2br w:val="nil"/>
              <w:tr2bl w:val="nil"/>
            </w:tcBorders>
            <w:tcMar>
              <w:top w:w="57" w:type="dxa"/>
              <w:left w:w="57" w:type="dxa"/>
              <w:bottom w:w="57" w:type="dxa"/>
              <w:right w:w="57" w:type="dxa"/>
            </w:tcMar>
            <w:vAlign w:val="center"/>
          </w:tcPr>
          <w:p>
            <w:pPr>
              <w:adjustRightInd w:val="0"/>
              <w:snapToGrid w:val="0"/>
              <w:jc w:val="center"/>
              <w:rPr>
                <w:rFonts w:ascii="仿宋_GB2312" w:hAnsi="仿宋_GB2312" w:eastAsia="仿宋_GB2312" w:cs="仿宋_GB2312"/>
                <w:color w:val="000000"/>
                <w:sz w:val="21"/>
                <w:szCs w:val="21"/>
              </w:rPr>
            </w:pPr>
          </w:p>
        </w:tc>
        <w:tc>
          <w:tcPr>
            <w:tcW w:w="1098"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3531"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730"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特别严重</w:t>
            </w:r>
          </w:p>
        </w:tc>
        <w:tc>
          <w:tcPr>
            <w:tcW w:w="2378"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货值金额四万元以上</w:t>
            </w:r>
          </w:p>
        </w:tc>
        <w:tc>
          <w:tcPr>
            <w:tcW w:w="2105"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3737"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并处十五万元以上二十万元以下罚款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1" w:hRule="atLeast"/>
          <w:jc w:val="center"/>
        </w:trPr>
        <w:tc>
          <w:tcPr>
            <w:tcW w:w="421" w:type="dxa"/>
            <w:vMerge w:val="restart"/>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13</w:t>
            </w:r>
          </w:p>
        </w:tc>
        <w:tc>
          <w:tcPr>
            <w:tcW w:w="1098" w:type="dxa"/>
            <w:vMerge w:val="restart"/>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推广、销售应当停止推广、销售的农作物品种的</w:t>
            </w:r>
          </w:p>
        </w:tc>
        <w:tc>
          <w:tcPr>
            <w:tcW w:w="3531" w:type="dxa"/>
            <w:vMerge w:val="restart"/>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 xml:space="preserve">《中华人民共和国种子法》第七十七条第一款第（三）项“违反本法第二十一条、第二十二条、第二十三条规定，有下列行为之一的，由县级以上人民政府农业农村、林业草原主管部门责令停止违法行为，没收违法所得和种子，并处二万元以上二十万元以下罚款：               </w:t>
            </w:r>
          </w:p>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（三）推广、销售应当停止推广、销售的农作物品种或者林木良种的；”</w:t>
            </w:r>
          </w:p>
        </w:tc>
        <w:tc>
          <w:tcPr>
            <w:tcW w:w="730"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较轻</w:t>
            </w:r>
          </w:p>
        </w:tc>
        <w:tc>
          <w:tcPr>
            <w:tcW w:w="2378"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货值金额一万元以下</w:t>
            </w:r>
          </w:p>
        </w:tc>
        <w:tc>
          <w:tcPr>
            <w:tcW w:w="2105" w:type="dxa"/>
            <w:vMerge w:val="restart"/>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责令停止违法行为，没收违法所得和种子</w:t>
            </w:r>
          </w:p>
        </w:tc>
        <w:tc>
          <w:tcPr>
            <w:tcW w:w="3737"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并处二万元以上三万元以下罚款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421" w:type="dxa"/>
            <w:vMerge w:val="continue"/>
            <w:tcBorders>
              <w:tl2br w:val="nil"/>
              <w:tr2bl w:val="nil"/>
            </w:tcBorders>
            <w:tcMar>
              <w:top w:w="57" w:type="dxa"/>
              <w:left w:w="57" w:type="dxa"/>
              <w:bottom w:w="57" w:type="dxa"/>
              <w:right w:w="57" w:type="dxa"/>
            </w:tcMar>
            <w:vAlign w:val="center"/>
          </w:tcPr>
          <w:p>
            <w:pPr>
              <w:adjustRightInd w:val="0"/>
              <w:snapToGrid w:val="0"/>
              <w:jc w:val="center"/>
              <w:rPr>
                <w:rFonts w:ascii="仿宋_GB2312" w:hAnsi="仿宋_GB2312" w:eastAsia="仿宋_GB2312" w:cs="仿宋_GB2312"/>
                <w:color w:val="000000"/>
                <w:sz w:val="21"/>
                <w:szCs w:val="21"/>
              </w:rPr>
            </w:pPr>
          </w:p>
        </w:tc>
        <w:tc>
          <w:tcPr>
            <w:tcW w:w="1098"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3531"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730"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一般</w:t>
            </w:r>
          </w:p>
        </w:tc>
        <w:tc>
          <w:tcPr>
            <w:tcW w:w="2378"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货值金额一万元以上二万元以下</w:t>
            </w:r>
          </w:p>
        </w:tc>
        <w:tc>
          <w:tcPr>
            <w:tcW w:w="2105"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3737"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并处三万元以上六万元以下罚款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421" w:type="dxa"/>
            <w:vMerge w:val="continue"/>
            <w:tcBorders>
              <w:tl2br w:val="nil"/>
              <w:tr2bl w:val="nil"/>
            </w:tcBorders>
            <w:tcMar>
              <w:top w:w="57" w:type="dxa"/>
              <w:left w:w="57" w:type="dxa"/>
              <w:bottom w:w="57" w:type="dxa"/>
              <w:right w:w="57" w:type="dxa"/>
            </w:tcMar>
            <w:vAlign w:val="center"/>
          </w:tcPr>
          <w:p>
            <w:pPr>
              <w:adjustRightInd w:val="0"/>
              <w:snapToGrid w:val="0"/>
              <w:jc w:val="center"/>
              <w:rPr>
                <w:rFonts w:ascii="仿宋_GB2312" w:hAnsi="仿宋_GB2312" w:eastAsia="仿宋_GB2312" w:cs="仿宋_GB2312"/>
                <w:color w:val="000000"/>
                <w:sz w:val="21"/>
                <w:szCs w:val="21"/>
              </w:rPr>
            </w:pPr>
          </w:p>
        </w:tc>
        <w:tc>
          <w:tcPr>
            <w:tcW w:w="1098"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3531"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730"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较重</w:t>
            </w:r>
          </w:p>
        </w:tc>
        <w:tc>
          <w:tcPr>
            <w:tcW w:w="2378"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货值金额二万元以上三万元以下</w:t>
            </w:r>
          </w:p>
        </w:tc>
        <w:tc>
          <w:tcPr>
            <w:tcW w:w="2105"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3737"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并处六万元以上十万元以下罚款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421" w:type="dxa"/>
            <w:vMerge w:val="continue"/>
            <w:tcBorders>
              <w:tl2br w:val="nil"/>
              <w:tr2bl w:val="nil"/>
            </w:tcBorders>
            <w:tcMar>
              <w:top w:w="57" w:type="dxa"/>
              <w:left w:w="57" w:type="dxa"/>
              <w:bottom w:w="57" w:type="dxa"/>
              <w:right w:w="57" w:type="dxa"/>
            </w:tcMar>
            <w:vAlign w:val="center"/>
          </w:tcPr>
          <w:p>
            <w:pPr>
              <w:adjustRightInd w:val="0"/>
              <w:snapToGrid w:val="0"/>
              <w:jc w:val="center"/>
              <w:rPr>
                <w:rFonts w:ascii="仿宋_GB2312" w:hAnsi="仿宋_GB2312" w:eastAsia="仿宋_GB2312" w:cs="仿宋_GB2312"/>
                <w:color w:val="000000"/>
                <w:sz w:val="21"/>
                <w:szCs w:val="21"/>
              </w:rPr>
            </w:pPr>
          </w:p>
        </w:tc>
        <w:tc>
          <w:tcPr>
            <w:tcW w:w="1098"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3531"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730"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严重</w:t>
            </w:r>
          </w:p>
        </w:tc>
        <w:tc>
          <w:tcPr>
            <w:tcW w:w="2378"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货值金额三万元以上四万元以下</w:t>
            </w:r>
          </w:p>
        </w:tc>
        <w:tc>
          <w:tcPr>
            <w:tcW w:w="2105"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3737"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并处十万元以上十五万元以下罚款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1" w:hRule="atLeast"/>
          <w:jc w:val="center"/>
        </w:trPr>
        <w:tc>
          <w:tcPr>
            <w:tcW w:w="421" w:type="dxa"/>
            <w:vMerge w:val="continue"/>
            <w:tcBorders>
              <w:tl2br w:val="nil"/>
              <w:tr2bl w:val="nil"/>
            </w:tcBorders>
            <w:tcMar>
              <w:top w:w="57" w:type="dxa"/>
              <w:left w:w="57" w:type="dxa"/>
              <w:bottom w:w="57" w:type="dxa"/>
              <w:right w:w="57" w:type="dxa"/>
            </w:tcMar>
            <w:vAlign w:val="center"/>
          </w:tcPr>
          <w:p>
            <w:pPr>
              <w:adjustRightInd w:val="0"/>
              <w:snapToGrid w:val="0"/>
              <w:jc w:val="center"/>
              <w:rPr>
                <w:rFonts w:ascii="仿宋_GB2312" w:hAnsi="仿宋_GB2312" w:eastAsia="仿宋_GB2312" w:cs="仿宋_GB2312"/>
                <w:color w:val="000000"/>
                <w:sz w:val="21"/>
                <w:szCs w:val="21"/>
              </w:rPr>
            </w:pPr>
          </w:p>
        </w:tc>
        <w:tc>
          <w:tcPr>
            <w:tcW w:w="1098"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3531"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730"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特别严重</w:t>
            </w:r>
          </w:p>
        </w:tc>
        <w:tc>
          <w:tcPr>
            <w:tcW w:w="2378"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货值金额四万元以上</w:t>
            </w:r>
          </w:p>
        </w:tc>
        <w:tc>
          <w:tcPr>
            <w:tcW w:w="2105"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3737"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并处十五万元以上二十万元以下罚款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jc w:val="center"/>
        </w:trPr>
        <w:tc>
          <w:tcPr>
            <w:tcW w:w="421" w:type="dxa"/>
            <w:vMerge w:val="restart"/>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14</w:t>
            </w:r>
          </w:p>
        </w:tc>
        <w:tc>
          <w:tcPr>
            <w:tcW w:w="1098" w:type="dxa"/>
            <w:vMerge w:val="restart"/>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对应当登记未经登记的农作物品种进行推广，或者以登记品种的名义进行销售的</w:t>
            </w:r>
          </w:p>
        </w:tc>
        <w:tc>
          <w:tcPr>
            <w:tcW w:w="3531" w:type="dxa"/>
            <w:vMerge w:val="restart"/>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中华人民共和国种子法》第七十七条第一款第（四）项“违反本法第二十一条、第二十二条、第二十三条规定，有下列行为之一的，由县级以上人民政府农业农村、林业草原主管部门责令停止违法行为，没收违法所得和种子，并处二万元以上二十万元以下罚款：</w:t>
            </w:r>
          </w:p>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（四）对应当登记未经登记的农作物品种进行推广，或者以登记品种的名义进行销售的；”</w:t>
            </w:r>
          </w:p>
        </w:tc>
        <w:tc>
          <w:tcPr>
            <w:tcW w:w="730"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较轻</w:t>
            </w:r>
          </w:p>
        </w:tc>
        <w:tc>
          <w:tcPr>
            <w:tcW w:w="2378"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货值金额一万元以下</w:t>
            </w:r>
          </w:p>
        </w:tc>
        <w:tc>
          <w:tcPr>
            <w:tcW w:w="2105" w:type="dxa"/>
            <w:vMerge w:val="restart"/>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责令停止违法行为，没收违法所得和种子</w:t>
            </w:r>
          </w:p>
        </w:tc>
        <w:tc>
          <w:tcPr>
            <w:tcW w:w="3737"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并处二万元以上三万元以下罚款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4" w:hRule="atLeast"/>
          <w:jc w:val="center"/>
        </w:trPr>
        <w:tc>
          <w:tcPr>
            <w:tcW w:w="421" w:type="dxa"/>
            <w:vMerge w:val="continue"/>
            <w:tcBorders>
              <w:tl2br w:val="nil"/>
              <w:tr2bl w:val="nil"/>
            </w:tcBorders>
            <w:tcMar>
              <w:top w:w="57" w:type="dxa"/>
              <w:left w:w="57" w:type="dxa"/>
              <w:bottom w:w="57" w:type="dxa"/>
              <w:right w:w="57" w:type="dxa"/>
            </w:tcMar>
            <w:vAlign w:val="center"/>
          </w:tcPr>
          <w:p>
            <w:pPr>
              <w:adjustRightInd w:val="0"/>
              <w:snapToGrid w:val="0"/>
              <w:jc w:val="center"/>
              <w:rPr>
                <w:rFonts w:ascii="仿宋_GB2312" w:hAnsi="仿宋_GB2312" w:eastAsia="仿宋_GB2312" w:cs="仿宋_GB2312"/>
                <w:color w:val="000000"/>
                <w:sz w:val="21"/>
                <w:szCs w:val="21"/>
              </w:rPr>
            </w:pPr>
          </w:p>
        </w:tc>
        <w:tc>
          <w:tcPr>
            <w:tcW w:w="1098"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3531"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730"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一般</w:t>
            </w:r>
          </w:p>
        </w:tc>
        <w:tc>
          <w:tcPr>
            <w:tcW w:w="2378"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货值金额一万元以上二万元以下</w:t>
            </w:r>
          </w:p>
        </w:tc>
        <w:tc>
          <w:tcPr>
            <w:tcW w:w="2105"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3737"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并处三万元以上六万元以下罚款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4" w:hRule="atLeast"/>
          <w:jc w:val="center"/>
        </w:trPr>
        <w:tc>
          <w:tcPr>
            <w:tcW w:w="421" w:type="dxa"/>
            <w:vMerge w:val="continue"/>
            <w:tcBorders>
              <w:tl2br w:val="nil"/>
              <w:tr2bl w:val="nil"/>
            </w:tcBorders>
            <w:tcMar>
              <w:top w:w="57" w:type="dxa"/>
              <w:left w:w="57" w:type="dxa"/>
              <w:bottom w:w="57" w:type="dxa"/>
              <w:right w:w="57" w:type="dxa"/>
            </w:tcMar>
            <w:vAlign w:val="center"/>
          </w:tcPr>
          <w:p>
            <w:pPr>
              <w:adjustRightInd w:val="0"/>
              <w:snapToGrid w:val="0"/>
              <w:jc w:val="center"/>
              <w:rPr>
                <w:rFonts w:ascii="仿宋_GB2312" w:hAnsi="仿宋_GB2312" w:eastAsia="仿宋_GB2312" w:cs="仿宋_GB2312"/>
                <w:color w:val="000000"/>
                <w:sz w:val="21"/>
                <w:szCs w:val="21"/>
              </w:rPr>
            </w:pPr>
          </w:p>
        </w:tc>
        <w:tc>
          <w:tcPr>
            <w:tcW w:w="1098"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3531"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730"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较重</w:t>
            </w:r>
          </w:p>
        </w:tc>
        <w:tc>
          <w:tcPr>
            <w:tcW w:w="2378"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货值金额二万元以上三万元以下</w:t>
            </w:r>
          </w:p>
        </w:tc>
        <w:tc>
          <w:tcPr>
            <w:tcW w:w="2105"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3737"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并处六万元以上十万元以下罚款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jc w:val="center"/>
        </w:trPr>
        <w:tc>
          <w:tcPr>
            <w:tcW w:w="421" w:type="dxa"/>
            <w:vMerge w:val="continue"/>
            <w:tcBorders>
              <w:tl2br w:val="nil"/>
              <w:tr2bl w:val="nil"/>
            </w:tcBorders>
            <w:tcMar>
              <w:top w:w="57" w:type="dxa"/>
              <w:left w:w="57" w:type="dxa"/>
              <w:bottom w:w="57" w:type="dxa"/>
              <w:right w:w="57" w:type="dxa"/>
            </w:tcMar>
            <w:vAlign w:val="center"/>
          </w:tcPr>
          <w:p>
            <w:pPr>
              <w:adjustRightInd w:val="0"/>
              <w:snapToGrid w:val="0"/>
              <w:jc w:val="center"/>
              <w:rPr>
                <w:rFonts w:ascii="仿宋_GB2312" w:hAnsi="仿宋_GB2312" w:eastAsia="仿宋_GB2312" w:cs="仿宋_GB2312"/>
                <w:color w:val="000000"/>
                <w:sz w:val="21"/>
                <w:szCs w:val="21"/>
              </w:rPr>
            </w:pPr>
          </w:p>
        </w:tc>
        <w:tc>
          <w:tcPr>
            <w:tcW w:w="1098"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3531"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730"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严重</w:t>
            </w:r>
          </w:p>
        </w:tc>
        <w:tc>
          <w:tcPr>
            <w:tcW w:w="2378"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货值金额三万元以上四万元以下</w:t>
            </w:r>
          </w:p>
        </w:tc>
        <w:tc>
          <w:tcPr>
            <w:tcW w:w="2105"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3737"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并处十万元以上十五万元以下罚款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4" w:hRule="atLeast"/>
          <w:jc w:val="center"/>
        </w:trPr>
        <w:tc>
          <w:tcPr>
            <w:tcW w:w="421" w:type="dxa"/>
            <w:vMerge w:val="continue"/>
            <w:tcBorders>
              <w:tl2br w:val="nil"/>
              <w:tr2bl w:val="nil"/>
            </w:tcBorders>
            <w:tcMar>
              <w:top w:w="57" w:type="dxa"/>
              <w:left w:w="57" w:type="dxa"/>
              <w:bottom w:w="57" w:type="dxa"/>
              <w:right w:w="57" w:type="dxa"/>
            </w:tcMar>
            <w:vAlign w:val="center"/>
          </w:tcPr>
          <w:p>
            <w:pPr>
              <w:adjustRightInd w:val="0"/>
              <w:snapToGrid w:val="0"/>
              <w:jc w:val="center"/>
              <w:rPr>
                <w:rFonts w:ascii="仿宋_GB2312" w:hAnsi="仿宋_GB2312" w:eastAsia="仿宋_GB2312" w:cs="仿宋_GB2312"/>
                <w:color w:val="000000"/>
                <w:sz w:val="21"/>
                <w:szCs w:val="21"/>
              </w:rPr>
            </w:pPr>
          </w:p>
        </w:tc>
        <w:tc>
          <w:tcPr>
            <w:tcW w:w="1098"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3531"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730"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特别严重</w:t>
            </w:r>
          </w:p>
        </w:tc>
        <w:tc>
          <w:tcPr>
            <w:tcW w:w="2378"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货值金额四万元以上</w:t>
            </w:r>
          </w:p>
        </w:tc>
        <w:tc>
          <w:tcPr>
            <w:tcW w:w="2105"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3737"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并处十五万元以上二十万元以下罚款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4" w:hRule="atLeast"/>
          <w:jc w:val="center"/>
        </w:trPr>
        <w:tc>
          <w:tcPr>
            <w:tcW w:w="421" w:type="dxa"/>
            <w:vMerge w:val="restart"/>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15</w:t>
            </w:r>
          </w:p>
        </w:tc>
        <w:tc>
          <w:tcPr>
            <w:tcW w:w="1098" w:type="dxa"/>
            <w:vMerge w:val="restart"/>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对已撤销登记的农作物品种进行推广，或者以登记品种的名义进行销售的</w:t>
            </w:r>
          </w:p>
        </w:tc>
        <w:tc>
          <w:tcPr>
            <w:tcW w:w="3531" w:type="dxa"/>
            <w:vMerge w:val="restart"/>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 xml:space="preserve">《中华人民共和国种子法》第七十七条第一款第（五）项“违反本法第二十一条、第二十二条、第二十三条规定，有下列行为之一的，由县级以上人民政府农业农村、林业草原主管部门责令停止违法行为，没收违法所得和种子，并处二万元以上二十万元以下罚款：     </w:t>
            </w:r>
          </w:p>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（五）对已撤销登记的农作物品种进行推广，或者以登记品种的名义进行销售的。”</w:t>
            </w:r>
          </w:p>
        </w:tc>
        <w:tc>
          <w:tcPr>
            <w:tcW w:w="730"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较轻</w:t>
            </w:r>
          </w:p>
        </w:tc>
        <w:tc>
          <w:tcPr>
            <w:tcW w:w="2378"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货值金额一万元以下</w:t>
            </w:r>
          </w:p>
        </w:tc>
        <w:tc>
          <w:tcPr>
            <w:tcW w:w="2105" w:type="dxa"/>
            <w:vMerge w:val="restart"/>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责令停止违法行为，没收违法所得和种子</w:t>
            </w:r>
          </w:p>
        </w:tc>
        <w:tc>
          <w:tcPr>
            <w:tcW w:w="3737"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并处二万元以上三万元以下罚款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4" w:hRule="atLeast"/>
          <w:jc w:val="center"/>
        </w:trPr>
        <w:tc>
          <w:tcPr>
            <w:tcW w:w="421" w:type="dxa"/>
            <w:vMerge w:val="continue"/>
            <w:tcBorders>
              <w:tl2br w:val="nil"/>
              <w:tr2bl w:val="nil"/>
            </w:tcBorders>
            <w:tcMar>
              <w:top w:w="57" w:type="dxa"/>
              <w:left w:w="57" w:type="dxa"/>
              <w:bottom w:w="57" w:type="dxa"/>
              <w:right w:w="57" w:type="dxa"/>
            </w:tcMar>
            <w:vAlign w:val="center"/>
          </w:tcPr>
          <w:p>
            <w:pPr>
              <w:adjustRightInd w:val="0"/>
              <w:snapToGrid w:val="0"/>
              <w:jc w:val="center"/>
              <w:rPr>
                <w:rFonts w:ascii="仿宋_GB2312" w:hAnsi="仿宋_GB2312" w:eastAsia="仿宋_GB2312" w:cs="仿宋_GB2312"/>
                <w:color w:val="000000"/>
                <w:sz w:val="21"/>
                <w:szCs w:val="21"/>
              </w:rPr>
            </w:pPr>
          </w:p>
        </w:tc>
        <w:tc>
          <w:tcPr>
            <w:tcW w:w="1098"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3531"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730"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一般</w:t>
            </w:r>
          </w:p>
        </w:tc>
        <w:tc>
          <w:tcPr>
            <w:tcW w:w="2378"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货值金额一万元以上二万元以下</w:t>
            </w:r>
          </w:p>
        </w:tc>
        <w:tc>
          <w:tcPr>
            <w:tcW w:w="2105"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3737"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并处三万元以上六万元以下罚款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4" w:hRule="atLeast"/>
          <w:jc w:val="center"/>
        </w:trPr>
        <w:tc>
          <w:tcPr>
            <w:tcW w:w="421" w:type="dxa"/>
            <w:vMerge w:val="continue"/>
            <w:tcBorders>
              <w:tl2br w:val="nil"/>
              <w:tr2bl w:val="nil"/>
            </w:tcBorders>
            <w:tcMar>
              <w:top w:w="57" w:type="dxa"/>
              <w:left w:w="57" w:type="dxa"/>
              <w:bottom w:w="57" w:type="dxa"/>
              <w:right w:w="57" w:type="dxa"/>
            </w:tcMar>
            <w:vAlign w:val="center"/>
          </w:tcPr>
          <w:p>
            <w:pPr>
              <w:adjustRightInd w:val="0"/>
              <w:snapToGrid w:val="0"/>
              <w:jc w:val="center"/>
              <w:rPr>
                <w:rFonts w:ascii="仿宋_GB2312" w:hAnsi="仿宋_GB2312" w:eastAsia="仿宋_GB2312" w:cs="仿宋_GB2312"/>
                <w:color w:val="000000"/>
                <w:sz w:val="21"/>
                <w:szCs w:val="21"/>
              </w:rPr>
            </w:pPr>
          </w:p>
        </w:tc>
        <w:tc>
          <w:tcPr>
            <w:tcW w:w="1098"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3531"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730"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较重</w:t>
            </w:r>
          </w:p>
        </w:tc>
        <w:tc>
          <w:tcPr>
            <w:tcW w:w="2378"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货值金额二万元以上三万元以下</w:t>
            </w:r>
          </w:p>
        </w:tc>
        <w:tc>
          <w:tcPr>
            <w:tcW w:w="2105"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3737"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并处六万元以上十万元以下罚款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4" w:hRule="atLeast"/>
          <w:jc w:val="center"/>
        </w:trPr>
        <w:tc>
          <w:tcPr>
            <w:tcW w:w="421" w:type="dxa"/>
            <w:vMerge w:val="continue"/>
            <w:tcBorders>
              <w:tl2br w:val="nil"/>
              <w:tr2bl w:val="nil"/>
            </w:tcBorders>
            <w:tcMar>
              <w:top w:w="57" w:type="dxa"/>
              <w:left w:w="57" w:type="dxa"/>
              <w:bottom w:w="57" w:type="dxa"/>
              <w:right w:w="57" w:type="dxa"/>
            </w:tcMar>
            <w:vAlign w:val="center"/>
          </w:tcPr>
          <w:p>
            <w:pPr>
              <w:adjustRightInd w:val="0"/>
              <w:snapToGrid w:val="0"/>
              <w:jc w:val="center"/>
              <w:rPr>
                <w:rFonts w:ascii="仿宋_GB2312" w:hAnsi="仿宋_GB2312" w:eastAsia="仿宋_GB2312" w:cs="仿宋_GB2312"/>
                <w:color w:val="000000"/>
                <w:sz w:val="21"/>
                <w:szCs w:val="21"/>
              </w:rPr>
            </w:pPr>
          </w:p>
        </w:tc>
        <w:tc>
          <w:tcPr>
            <w:tcW w:w="1098"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3531"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730"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严重</w:t>
            </w:r>
          </w:p>
        </w:tc>
        <w:tc>
          <w:tcPr>
            <w:tcW w:w="2378"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货值金额三万元以上四万元以下</w:t>
            </w:r>
          </w:p>
        </w:tc>
        <w:tc>
          <w:tcPr>
            <w:tcW w:w="2105"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3737"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并处十万元以上十五万元以下罚款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4" w:hRule="atLeast"/>
          <w:jc w:val="center"/>
        </w:trPr>
        <w:tc>
          <w:tcPr>
            <w:tcW w:w="421" w:type="dxa"/>
            <w:vMerge w:val="continue"/>
            <w:tcBorders>
              <w:tl2br w:val="nil"/>
              <w:tr2bl w:val="nil"/>
            </w:tcBorders>
            <w:tcMar>
              <w:top w:w="57" w:type="dxa"/>
              <w:left w:w="57" w:type="dxa"/>
              <w:bottom w:w="57" w:type="dxa"/>
              <w:right w:w="57" w:type="dxa"/>
            </w:tcMar>
            <w:vAlign w:val="center"/>
          </w:tcPr>
          <w:p>
            <w:pPr>
              <w:adjustRightInd w:val="0"/>
              <w:snapToGrid w:val="0"/>
              <w:jc w:val="center"/>
              <w:rPr>
                <w:rFonts w:ascii="仿宋_GB2312" w:hAnsi="仿宋_GB2312" w:eastAsia="仿宋_GB2312" w:cs="仿宋_GB2312"/>
                <w:color w:val="000000"/>
                <w:sz w:val="21"/>
                <w:szCs w:val="21"/>
              </w:rPr>
            </w:pPr>
          </w:p>
        </w:tc>
        <w:tc>
          <w:tcPr>
            <w:tcW w:w="1098"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3531"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730"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特别严重</w:t>
            </w:r>
          </w:p>
        </w:tc>
        <w:tc>
          <w:tcPr>
            <w:tcW w:w="2378"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货值金额四万元以上</w:t>
            </w:r>
          </w:p>
        </w:tc>
        <w:tc>
          <w:tcPr>
            <w:tcW w:w="2105"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3737"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并处十五万元以上二十万元以下罚款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4" w:hRule="atLeast"/>
          <w:jc w:val="center"/>
        </w:trPr>
        <w:tc>
          <w:tcPr>
            <w:tcW w:w="421" w:type="dxa"/>
            <w:vMerge w:val="restart"/>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16</w:t>
            </w:r>
          </w:p>
        </w:tc>
        <w:tc>
          <w:tcPr>
            <w:tcW w:w="1098" w:type="dxa"/>
            <w:vMerge w:val="restart"/>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未经许可进出口种子的</w:t>
            </w:r>
          </w:p>
        </w:tc>
        <w:tc>
          <w:tcPr>
            <w:tcW w:w="3531" w:type="dxa"/>
            <w:vMerge w:val="restart"/>
            <w:tcBorders>
              <w:tl2br w:val="nil"/>
              <w:tr2bl w:val="nil"/>
            </w:tcBorders>
            <w:tcMar>
              <w:top w:w="57" w:type="dxa"/>
              <w:left w:w="57" w:type="dxa"/>
              <w:bottom w:w="57" w:type="dxa"/>
              <w:right w:w="57" w:type="dxa"/>
            </w:tcMar>
            <w:vAlign w:val="center"/>
          </w:tcPr>
          <w:p>
            <w:pPr>
              <w:widowControl/>
              <w:adjustRightInd w:val="0"/>
              <w:snapToGrid w:val="0"/>
              <w:spacing w:line="280" w:lineRule="exact"/>
              <w:textAlignment w:val="center"/>
              <w:rPr>
                <w:rFonts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中华人民共和国种子法》第七十八条第（一）项“违反本法第五十七条、第五十九条、第六十条规定，有下列行为之一的，由县级以上人民政府农业农村、林业草原主管部门责令改正，没收违法所得和种子；违法生产经营的货值金额不足一万元的，并处三千元以上三万元以下罚款；货值金额一万元以上的，并处货值金额三倍以上五倍以下罚款；情节严重的，吊销种子生产经营许可证：</w:t>
            </w:r>
          </w:p>
          <w:p>
            <w:pPr>
              <w:widowControl/>
              <w:adjustRightInd w:val="0"/>
              <w:snapToGrid w:val="0"/>
              <w:spacing w:line="280" w:lineRule="exact"/>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（一）未经许可进出口种子的；”</w:t>
            </w:r>
          </w:p>
        </w:tc>
        <w:tc>
          <w:tcPr>
            <w:tcW w:w="730"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较轻</w:t>
            </w:r>
          </w:p>
        </w:tc>
        <w:tc>
          <w:tcPr>
            <w:tcW w:w="2378"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货值金额三千元以下</w:t>
            </w:r>
          </w:p>
        </w:tc>
        <w:tc>
          <w:tcPr>
            <w:tcW w:w="2105" w:type="dxa"/>
            <w:vMerge w:val="restart"/>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责令改正，没收违法所得和种子</w:t>
            </w:r>
          </w:p>
        </w:tc>
        <w:tc>
          <w:tcPr>
            <w:tcW w:w="3737" w:type="dxa"/>
            <w:tcBorders>
              <w:tl2br w:val="nil"/>
              <w:tr2bl w:val="nil"/>
            </w:tcBorders>
            <w:tcMar>
              <w:top w:w="57" w:type="dxa"/>
              <w:left w:w="57" w:type="dxa"/>
              <w:bottom w:w="57" w:type="dxa"/>
              <w:right w:w="57" w:type="dxa"/>
            </w:tcMar>
            <w:vAlign w:val="center"/>
          </w:tcPr>
          <w:p>
            <w:pPr>
              <w:widowControl/>
              <w:adjustRightInd w:val="0"/>
              <w:snapToGrid w:val="0"/>
              <w:spacing w:line="280" w:lineRule="exact"/>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并处三千元以上五千元以下罚款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421" w:type="dxa"/>
            <w:vMerge w:val="continue"/>
            <w:tcBorders>
              <w:tl2br w:val="nil"/>
              <w:tr2bl w:val="nil"/>
            </w:tcBorders>
            <w:tcMar>
              <w:top w:w="57" w:type="dxa"/>
              <w:left w:w="57" w:type="dxa"/>
              <w:bottom w:w="57" w:type="dxa"/>
              <w:right w:w="57" w:type="dxa"/>
            </w:tcMar>
            <w:vAlign w:val="center"/>
          </w:tcPr>
          <w:p>
            <w:pPr>
              <w:adjustRightInd w:val="0"/>
              <w:snapToGrid w:val="0"/>
              <w:jc w:val="center"/>
              <w:rPr>
                <w:rFonts w:ascii="仿宋_GB2312" w:hAnsi="仿宋_GB2312" w:eastAsia="仿宋_GB2312" w:cs="仿宋_GB2312"/>
                <w:color w:val="000000"/>
                <w:sz w:val="21"/>
                <w:szCs w:val="21"/>
              </w:rPr>
            </w:pPr>
          </w:p>
        </w:tc>
        <w:tc>
          <w:tcPr>
            <w:tcW w:w="1098"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3531" w:type="dxa"/>
            <w:vMerge w:val="continue"/>
            <w:tcBorders>
              <w:tl2br w:val="nil"/>
              <w:tr2bl w:val="nil"/>
            </w:tcBorders>
            <w:tcMar>
              <w:top w:w="57" w:type="dxa"/>
              <w:left w:w="57" w:type="dxa"/>
              <w:bottom w:w="57" w:type="dxa"/>
              <w:right w:w="57" w:type="dxa"/>
            </w:tcMar>
            <w:vAlign w:val="center"/>
          </w:tcPr>
          <w:p>
            <w:pPr>
              <w:adjustRightInd w:val="0"/>
              <w:snapToGrid w:val="0"/>
              <w:spacing w:line="280" w:lineRule="exact"/>
              <w:rPr>
                <w:rFonts w:ascii="仿宋_GB2312" w:hAnsi="仿宋_GB2312" w:eastAsia="仿宋_GB2312" w:cs="仿宋_GB2312"/>
                <w:color w:val="000000"/>
                <w:sz w:val="21"/>
                <w:szCs w:val="21"/>
              </w:rPr>
            </w:pPr>
          </w:p>
        </w:tc>
        <w:tc>
          <w:tcPr>
            <w:tcW w:w="730"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一般</w:t>
            </w:r>
          </w:p>
        </w:tc>
        <w:tc>
          <w:tcPr>
            <w:tcW w:w="2378"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货值金额三千元以上六千元以下</w:t>
            </w:r>
          </w:p>
        </w:tc>
        <w:tc>
          <w:tcPr>
            <w:tcW w:w="2105"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3737" w:type="dxa"/>
            <w:tcBorders>
              <w:tl2br w:val="nil"/>
              <w:tr2bl w:val="nil"/>
            </w:tcBorders>
            <w:tcMar>
              <w:top w:w="57" w:type="dxa"/>
              <w:left w:w="57" w:type="dxa"/>
              <w:bottom w:w="57" w:type="dxa"/>
              <w:right w:w="57" w:type="dxa"/>
            </w:tcMar>
            <w:vAlign w:val="center"/>
          </w:tcPr>
          <w:p>
            <w:pPr>
              <w:widowControl/>
              <w:adjustRightInd w:val="0"/>
              <w:snapToGrid w:val="0"/>
              <w:spacing w:line="280" w:lineRule="exact"/>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并处五千元以上二万元以下罚款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421" w:type="dxa"/>
            <w:vMerge w:val="continue"/>
            <w:tcBorders>
              <w:tl2br w:val="nil"/>
              <w:tr2bl w:val="nil"/>
            </w:tcBorders>
            <w:tcMar>
              <w:top w:w="57" w:type="dxa"/>
              <w:left w:w="57" w:type="dxa"/>
              <w:bottom w:w="57" w:type="dxa"/>
              <w:right w:w="57" w:type="dxa"/>
            </w:tcMar>
            <w:vAlign w:val="center"/>
          </w:tcPr>
          <w:p>
            <w:pPr>
              <w:adjustRightInd w:val="0"/>
              <w:snapToGrid w:val="0"/>
              <w:jc w:val="center"/>
              <w:rPr>
                <w:rFonts w:ascii="仿宋_GB2312" w:hAnsi="仿宋_GB2312" w:eastAsia="仿宋_GB2312" w:cs="仿宋_GB2312"/>
                <w:color w:val="000000"/>
                <w:sz w:val="21"/>
                <w:szCs w:val="21"/>
              </w:rPr>
            </w:pPr>
          </w:p>
        </w:tc>
        <w:tc>
          <w:tcPr>
            <w:tcW w:w="1098"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3531" w:type="dxa"/>
            <w:vMerge w:val="continue"/>
            <w:tcBorders>
              <w:tl2br w:val="nil"/>
              <w:tr2bl w:val="nil"/>
            </w:tcBorders>
            <w:tcMar>
              <w:top w:w="57" w:type="dxa"/>
              <w:left w:w="57" w:type="dxa"/>
              <w:bottom w:w="57" w:type="dxa"/>
              <w:right w:w="57" w:type="dxa"/>
            </w:tcMar>
            <w:vAlign w:val="center"/>
          </w:tcPr>
          <w:p>
            <w:pPr>
              <w:adjustRightInd w:val="0"/>
              <w:snapToGrid w:val="0"/>
              <w:spacing w:line="280" w:lineRule="exact"/>
              <w:rPr>
                <w:rFonts w:ascii="仿宋_GB2312" w:hAnsi="仿宋_GB2312" w:eastAsia="仿宋_GB2312" w:cs="仿宋_GB2312"/>
                <w:color w:val="000000"/>
                <w:sz w:val="21"/>
                <w:szCs w:val="21"/>
              </w:rPr>
            </w:pPr>
          </w:p>
        </w:tc>
        <w:tc>
          <w:tcPr>
            <w:tcW w:w="730"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较重</w:t>
            </w:r>
          </w:p>
        </w:tc>
        <w:tc>
          <w:tcPr>
            <w:tcW w:w="2378"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货值金额六千元以上，不足一万元</w:t>
            </w:r>
          </w:p>
        </w:tc>
        <w:tc>
          <w:tcPr>
            <w:tcW w:w="2105"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3737" w:type="dxa"/>
            <w:tcBorders>
              <w:tl2br w:val="nil"/>
              <w:tr2bl w:val="nil"/>
            </w:tcBorders>
            <w:tcMar>
              <w:top w:w="57" w:type="dxa"/>
              <w:left w:w="57" w:type="dxa"/>
              <w:bottom w:w="57" w:type="dxa"/>
              <w:right w:w="57" w:type="dxa"/>
            </w:tcMar>
            <w:vAlign w:val="center"/>
          </w:tcPr>
          <w:p>
            <w:pPr>
              <w:widowControl/>
              <w:adjustRightInd w:val="0"/>
              <w:snapToGrid w:val="0"/>
              <w:spacing w:line="280" w:lineRule="exact"/>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并处二万元以上三万元以下罚款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421" w:type="dxa"/>
            <w:vMerge w:val="continue"/>
            <w:tcBorders>
              <w:tl2br w:val="nil"/>
              <w:tr2bl w:val="nil"/>
            </w:tcBorders>
            <w:tcMar>
              <w:top w:w="57" w:type="dxa"/>
              <w:left w:w="57" w:type="dxa"/>
              <w:bottom w:w="57" w:type="dxa"/>
              <w:right w:w="57" w:type="dxa"/>
            </w:tcMar>
            <w:vAlign w:val="center"/>
          </w:tcPr>
          <w:p>
            <w:pPr>
              <w:adjustRightInd w:val="0"/>
              <w:snapToGrid w:val="0"/>
              <w:jc w:val="center"/>
              <w:rPr>
                <w:rFonts w:ascii="仿宋_GB2312" w:hAnsi="仿宋_GB2312" w:eastAsia="仿宋_GB2312" w:cs="仿宋_GB2312"/>
                <w:color w:val="000000"/>
                <w:sz w:val="21"/>
                <w:szCs w:val="21"/>
              </w:rPr>
            </w:pPr>
          </w:p>
        </w:tc>
        <w:tc>
          <w:tcPr>
            <w:tcW w:w="1098"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3531" w:type="dxa"/>
            <w:vMerge w:val="continue"/>
            <w:tcBorders>
              <w:tl2br w:val="nil"/>
              <w:tr2bl w:val="nil"/>
            </w:tcBorders>
            <w:tcMar>
              <w:top w:w="57" w:type="dxa"/>
              <w:left w:w="57" w:type="dxa"/>
              <w:bottom w:w="57" w:type="dxa"/>
              <w:right w:w="57" w:type="dxa"/>
            </w:tcMar>
            <w:vAlign w:val="center"/>
          </w:tcPr>
          <w:p>
            <w:pPr>
              <w:adjustRightInd w:val="0"/>
              <w:snapToGrid w:val="0"/>
              <w:spacing w:line="280" w:lineRule="exact"/>
              <w:rPr>
                <w:rFonts w:ascii="仿宋_GB2312" w:hAnsi="仿宋_GB2312" w:eastAsia="仿宋_GB2312" w:cs="仿宋_GB2312"/>
                <w:color w:val="000000"/>
                <w:sz w:val="21"/>
                <w:szCs w:val="21"/>
              </w:rPr>
            </w:pPr>
          </w:p>
        </w:tc>
        <w:tc>
          <w:tcPr>
            <w:tcW w:w="730"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严重</w:t>
            </w:r>
          </w:p>
        </w:tc>
        <w:tc>
          <w:tcPr>
            <w:tcW w:w="2378"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货值金额一万元以上五万元以下</w:t>
            </w:r>
          </w:p>
        </w:tc>
        <w:tc>
          <w:tcPr>
            <w:tcW w:w="2105"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3737" w:type="dxa"/>
            <w:tcBorders>
              <w:tl2br w:val="nil"/>
              <w:tr2bl w:val="nil"/>
            </w:tcBorders>
            <w:tcMar>
              <w:top w:w="57" w:type="dxa"/>
              <w:left w:w="57" w:type="dxa"/>
              <w:bottom w:w="57" w:type="dxa"/>
              <w:right w:w="57" w:type="dxa"/>
            </w:tcMar>
            <w:vAlign w:val="center"/>
          </w:tcPr>
          <w:p>
            <w:pPr>
              <w:widowControl/>
              <w:adjustRightInd w:val="0"/>
              <w:snapToGrid w:val="0"/>
              <w:spacing w:line="280" w:lineRule="exact"/>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并处货值金额三倍以上四倍以下罚款，抄告发证机关吊销种子生产经营许可证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9" w:hRule="atLeast"/>
          <w:jc w:val="center"/>
        </w:trPr>
        <w:tc>
          <w:tcPr>
            <w:tcW w:w="421" w:type="dxa"/>
            <w:vMerge w:val="continue"/>
            <w:tcBorders>
              <w:tl2br w:val="nil"/>
              <w:tr2bl w:val="nil"/>
            </w:tcBorders>
            <w:tcMar>
              <w:top w:w="57" w:type="dxa"/>
              <w:left w:w="57" w:type="dxa"/>
              <w:bottom w:w="57" w:type="dxa"/>
              <w:right w:w="57" w:type="dxa"/>
            </w:tcMar>
            <w:vAlign w:val="center"/>
          </w:tcPr>
          <w:p>
            <w:pPr>
              <w:adjustRightInd w:val="0"/>
              <w:snapToGrid w:val="0"/>
              <w:jc w:val="center"/>
              <w:rPr>
                <w:rFonts w:ascii="仿宋_GB2312" w:hAnsi="仿宋_GB2312" w:eastAsia="仿宋_GB2312" w:cs="仿宋_GB2312"/>
                <w:color w:val="000000"/>
                <w:sz w:val="21"/>
                <w:szCs w:val="21"/>
              </w:rPr>
            </w:pPr>
          </w:p>
        </w:tc>
        <w:tc>
          <w:tcPr>
            <w:tcW w:w="1098"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3531" w:type="dxa"/>
            <w:vMerge w:val="continue"/>
            <w:tcBorders>
              <w:tl2br w:val="nil"/>
              <w:tr2bl w:val="nil"/>
            </w:tcBorders>
            <w:tcMar>
              <w:top w:w="57" w:type="dxa"/>
              <w:left w:w="57" w:type="dxa"/>
              <w:bottom w:w="57" w:type="dxa"/>
              <w:right w:w="57" w:type="dxa"/>
            </w:tcMar>
            <w:vAlign w:val="center"/>
          </w:tcPr>
          <w:p>
            <w:pPr>
              <w:adjustRightInd w:val="0"/>
              <w:snapToGrid w:val="0"/>
              <w:spacing w:line="280" w:lineRule="exact"/>
              <w:rPr>
                <w:rFonts w:ascii="仿宋_GB2312" w:hAnsi="仿宋_GB2312" w:eastAsia="仿宋_GB2312" w:cs="仿宋_GB2312"/>
                <w:color w:val="000000"/>
                <w:sz w:val="21"/>
                <w:szCs w:val="21"/>
              </w:rPr>
            </w:pPr>
          </w:p>
        </w:tc>
        <w:tc>
          <w:tcPr>
            <w:tcW w:w="730"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特别严重</w:t>
            </w:r>
          </w:p>
        </w:tc>
        <w:tc>
          <w:tcPr>
            <w:tcW w:w="2378"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货值金额五万元以上</w:t>
            </w:r>
          </w:p>
        </w:tc>
        <w:tc>
          <w:tcPr>
            <w:tcW w:w="2105"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3737" w:type="dxa"/>
            <w:tcBorders>
              <w:tl2br w:val="nil"/>
              <w:tr2bl w:val="nil"/>
            </w:tcBorders>
            <w:tcMar>
              <w:top w:w="57" w:type="dxa"/>
              <w:left w:w="57" w:type="dxa"/>
              <w:bottom w:w="57" w:type="dxa"/>
              <w:right w:w="57" w:type="dxa"/>
            </w:tcMar>
            <w:vAlign w:val="center"/>
          </w:tcPr>
          <w:p>
            <w:pPr>
              <w:widowControl/>
              <w:adjustRightInd w:val="0"/>
              <w:snapToGrid w:val="0"/>
              <w:spacing w:line="280" w:lineRule="exact"/>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并处货值金额四倍以上五倍以下罚款，抄告发证机关吊销种子生产经营许可证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421" w:type="dxa"/>
            <w:vMerge w:val="restart"/>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17</w:t>
            </w:r>
          </w:p>
        </w:tc>
        <w:tc>
          <w:tcPr>
            <w:tcW w:w="1098" w:type="dxa"/>
            <w:vMerge w:val="restart"/>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为境外制种的种子在境内销售的</w:t>
            </w:r>
          </w:p>
        </w:tc>
        <w:tc>
          <w:tcPr>
            <w:tcW w:w="3531" w:type="dxa"/>
            <w:vMerge w:val="restart"/>
            <w:tcBorders>
              <w:tl2br w:val="nil"/>
              <w:tr2bl w:val="nil"/>
            </w:tcBorders>
            <w:tcMar>
              <w:top w:w="57" w:type="dxa"/>
              <w:left w:w="57" w:type="dxa"/>
              <w:bottom w:w="57" w:type="dxa"/>
              <w:right w:w="57" w:type="dxa"/>
            </w:tcMar>
            <w:vAlign w:val="center"/>
          </w:tcPr>
          <w:p>
            <w:pPr>
              <w:widowControl/>
              <w:adjustRightInd w:val="0"/>
              <w:snapToGrid w:val="0"/>
              <w:spacing w:line="280" w:lineRule="exact"/>
              <w:textAlignment w:val="center"/>
              <w:rPr>
                <w:rFonts w:ascii="仿宋_GB2312" w:hAnsi="仿宋_GB2312" w:eastAsia="仿宋_GB2312" w:cs="仿宋_GB2312"/>
                <w:color w:val="000000"/>
                <w:spacing w:val="-4"/>
                <w:kern w:val="0"/>
                <w:sz w:val="21"/>
                <w:szCs w:val="21"/>
              </w:rPr>
            </w:pPr>
            <w:r>
              <w:rPr>
                <w:rFonts w:hint="eastAsia" w:ascii="仿宋_GB2312" w:hAnsi="仿宋_GB2312" w:eastAsia="仿宋_GB2312" w:cs="仿宋_GB2312"/>
                <w:color w:val="000000"/>
                <w:spacing w:val="-4"/>
                <w:kern w:val="0"/>
                <w:sz w:val="21"/>
                <w:szCs w:val="21"/>
              </w:rPr>
              <w:t>《中华人民共和国种子法》第七十八条第（二）项“违反本法第五十七条、第五十九条、第六十条规定，有下列行为之一的，由县级以上人民政府农业农村、林业草原主管部门责令改正，没收违法所得和种子；违法生产经营的货值金额不足一万元的，并处三千元以上三万元以下罚款；货值金额一万元以上的，并处货值金额三倍以上五倍以下罚款；情节严重的，吊销种子生产经营许可证：</w:t>
            </w:r>
          </w:p>
          <w:p>
            <w:pPr>
              <w:widowControl/>
              <w:adjustRightInd w:val="0"/>
              <w:snapToGrid w:val="0"/>
              <w:spacing w:line="280" w:lineRule="exact"/>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（二）为境外制种的种子在境内销售的；”</w:t>
            </w:r>
          </w:p>
        </w:tc>
        <w:tc>
          <w:tcPr>
            <w:tcW w:w="730"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较轻</w:t>
            </w:r>
          </w:p>
        </w:tc>
        <w:tc>
          <w:tcPr>
            <w:tcW w:w="2378"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货值金额三千元以下</w:t>
            </w:r>
          </w:p>
        </w:tc>
        <w:tc>
          <w:tcPr>
            <w:tcW w:w="2105" w:type="dxa"/>
            <w:vMerge w:val="restart"/>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责令改正，没收违法所得和种子</w:t>
            </w:r>
          </w:p>
        </w:tc>
        <w:tc>
          <w:tcPr>
            <w:tcW w:w="3737" w:type="dxa"/>
            <w:tcBorders>
              <w:tl2br w:val="nil"/>
              <w:tr2bl w:val="nil"/>
            </w:tcBorders>
            <w:tcMar>
              <w:top w:w="57" w:type="dxa"/>
              <w:left w:w="57" w:type="dxa"/>
              <w:bottom w:w="57" w:type="dxa"/>
              <w:right w:w="57" w:type="dxa"/>
            </w:tcMar>
            <w:vAlign w:val="center"/>
          </w:tcPr>
          <w:p>
            <w:pPr>
              <w:widowControl/>
              <w:adjustRightInd w:val="0"/>
              <w:snapToGrid w:val="0"/>
              <w:spacing w:line="280" w:lineRule="exact"/>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并处三千元以上五千元以下罚款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421" w:type="dxa"/>
            <w:vMerge w:val="continue"/>
            <w:tcBorders>
              <w:tl2br w:val="nil"/>
              <w:tr2bl w:val="nil"/>
            </w:tcBorders>
            <w:tcMar>
              <w:top w:w="57" w:type="dxa"/>
              <w:left w:w="57" w:type="dxa"/>
              <w:bottom w:w="57" w:type="dxa"/>
              <w:right w:w="57" w:type="dxa"/>
            </w:tcMar>
            <w:vAlign w:val="center"/>
          </w:tcPr>
          <w:p>
            <w:pPr>
              <w:adjustRightInd w:val="0"/>
              <w:snapToGrid w:val="0"/>
              <w:jc w:val="center"/>
              <w:rPr>
                <w:rFonts w:ascii="仿宋_GB2312" w:hAnsi="仿宋_GB2312" w:eastAsia="仿宋_GB2312" w:cs="仿宋_GB2312"/>
                <w:color w:val="000000"/>
                <w:sz w:val="21"/>
                <w:szCs w:val="21"/>
              </w:rPr>
            </w:pPr>
          </w:p>
        </w:tc>
        <w:tc>
          <w:tcPr>
            <w:tcW w:w="1098"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3531"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730"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一般</w:t>
            </w:r>
          </w:p>
        </w:tc>
        <w:tc>
          <w:tcPr>
            <w:tcW w:w="2378"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货值金额三千元以上六千元以下</w:t>
            </w:r>
          </w:p>
        </w:tc>
        <w:tc>
          <w:tcPr>
            <w:tcW w:w="2105"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3737" w:type="dxa"/>
            <w:tcBorders>
              <w:tl2br w:val="nil"/>
              <w:tr2bl w:val="nil"/>
            </w:tcBorders>
            <w:tcMar>
              <w:top w:w="57" w:type="dxa"/>
              <w:left w:w="57" w:type="dxa"/>
              <w:bottom w:w="57" w:type="dxa"/>
              <w:right w:w="57" w:type="dxa"/>
            </w:tcMar>
            <w:vAlign w:val="center"/>
          </w:tcPr>
          <w:p>
            <w:pPr>
              <w:widowControl/>
              <w:adjustRightInd w:val="0"/>
              <w:snapToGrid w:val="0"/>
              <w:spacing w:line="280" w:lineRule="exact"/>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并处五千元以上二万元以下罚款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421" w:type="dxa"/>
            <w:vMerge w:val="continue"/>
            <w:tcBorders>
              <w:tl2br w:val="nil"/>
              <w:tr2bl w:val="nil"/>
            </w:tcBorders>
            <w:tcMar>
              <w:top w:w="57" w:type="dxa"/>
              <w:left w:w="57" w:type="dxa"/>
              <w:bottom w:w="57" w:type="dxa"/>
              <w:right w:w="57" w:type="dxa"/>
            </w:tcMar>
            <w:vAlign w:val="center"/>
          </w:tcPr>
          <w:p>
            <w:pPr>
              <w:adjustRightInd w:val="0"/>
              <w:snapToGrid w:val="0"/>
              <w:jc w:val="center"/>
              <w:rPr>
                <w:rFonts w:ascii="仿宋_GB2312" w:hAnsi="仿宋_GB2312" w:eastAsia="仿宋_GB2312" w:cs="仿宋_GB2312"/>
                <w:color w:val="000000"/>
                <w:sz w:val="21"/>
                <w:szCs w:val="21"/>
              </w:rPr>
            </w:pPr>
          </w:p>
        </w:tc>
        <w:tc>
          <w:tcPr>
            <w:tcW w:w="1098"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3531"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730"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较重</w:t>
            </w:r>
          </w:p>
        </w:tc>
        <w:tc>
          <w:tcPr>
            <w:tcW w:w="2378"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货值金额六千元以上，不足一万元</w:t>
            </w:r>
          </w:p>
        </w:tc>
        <w:tc>
          <w:tcPr>
            <w:tcW w:w="2105"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3737" w:type="dxa"/>
            <w:tcBorders>
              <w:tl2br w:val="nil"/>
              <w:tr2bl w:val="nil"/>
            </w:tcBorders>
            <w:tcMar>
              <w:top w:w="57" w:type="dxa"/>
              <w:left w:w="57" w:type="dxa"/>
              <w:bottom w:w="57" w:type="dxa"/>
              <w:right w:w="57" w:type="dxa"/>
            </w:tcMar>
            <w:vAlign w:val="center"/>
          </w:tcPr>
          <w:p>
            <w:pPr>
              <w:widowControl/>
              <w:adjustRightInd w:val="0"/>
              <w:snapToGrid w:val="0"/>
              <w:spacing w:line="280" w:lineRule="exact"/>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并处二万元以上三万元以下罚款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421" w:type="dxa"/>
            <w:vMerge w:val="continue"/>
            <w:tcBorders>
              <w:tl2br w:val="nil"/>
              <w:tr2bl w:val="nil"/>
            </w:tcBorders>
            <w:tcMar>
              <w:top w:w="57" w:type="dxa"/>
              <w:left w:w="57" w:type="dxa"/>
              <w:bottom w:w="57" w:type="dxa"/>
              <w:right w:w="57" w:type="dxa"/>
            </w:tcMar>
            <w:vAlign w:val="center"/>
          </w:tcPr>
          <w:p>
            <w:pPr>
              <w:adjustRightInd w:val="0"/>
              <w:snapToGrid w:val="0"/>
              <w:jc w:val="center"/>
              <w:rPr>
                <w:rFonts w:ascii="仿宋_GB2312" w:hAnsi="仿宋_GB2312" w:eastAsia="仿宋_GB2312" w:cs="仿宋_GB2312"/>
                <w:color w:val="000000"/>
                <w:sz w:val="21"/>
                <w:szCs w:val="21"/>
              </w:rPr>
            </w:pPr>
          </w:p>
        </w:tc>
        <w:tc>
          <w:tcPr>
            <w:tcW w:w="1098"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3531"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730"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严重</w:t>
            </w:r>
          </w:p>
        </w:tc>
        <w:tc>
          <w:tcPr>
            <w:tcW w:w="2378"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货值金额一万元以上五万元以下</w:t>
            </w:r>
          </w:p>
        </w:tc>
        <w:tc>
          <w:tcPr>
            <w:tcW w:w="2105"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3737" w:type="dxa"/>
            <w:tcBorders>
              <w:tl2br w:val="nil"/>
              <w:tr2bl w:val="nil"/>
            </w:tcBorders>
            <w:tcMar>
              <w:top w:w="57" w:type="dxa"/>
              <w:left w:w="57" w:type="dxa"/>
              <w:bottom w:w="57" w:type="dxa"/>
              <w:right w:w="57" w:type="dxa"/>
            </w:tcMar>
            <w:vAlign w:val="center"/>
          </w:tcPr>
          <w:p>
            <w:pPr>
              <w:widowControl/>
              <w:adjustRightInd w:val="0"/>
              <w:snapToGrid w:val="0"/>
              <w:spacing w:line="280" w:lineRule="exact"/>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并处货值金额三倍以上四倍以下罚款，抄告发证机关吊销种子生产经营许可证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8" w:hRule="atLeast"/>
          <w:jc w:val="center"/>
        </w:trPr>
        <w:tc>
          <w:tcPr>
            <w:tcW w:w="421" w:type="dxa"/>
            <w:vMerge w:val="continue"/>
            <w:tcBorders>
              <w:tl2br w:val="nil"/>
              <w:tr2bl w:val="nil"/>
            </w:tcBorders>
            <w:tcMar>
              <w:top w:w="57" w:type="dxa"/>
              <w:left w:w="57" w:type="dxa"/>
              <w:bottom w:w="57" w:type="dxa"/>
              <w:right w:w="57" w:type="dxa"/>
            </w:tcMar>
            <w:vAlign w:val="center"/>
          </w:tcPr>
          <w:p>
            <w:pPr>
              <w:adjustRightInd w:val="0"/>
              <w:snapToGrid w:val="0"/>
              <w:jc w:val="center"/>
              <w:rPr>
                <w:rFonts w:ascii="仿宋_GB2312" w:hAnsi="仿宋_GB2312" w:eastAsia="仿宋_GB2312" w:cs="仿宋_GB2312"/>
                <w:color w:val="000000"/>
                <w:sz w:val="21"/>
                <w:szCs w:val="21"/>
              </w:rPr>
            </w:pPr>
          </w:p>
        </w:tc>
        <w:tc>
          <w:tcPr>
            <w:tcW w:w="1098"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3531"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730"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特别严重</w:t>
            </w:r>
          </w:p>
        </w:tc>
        <w:tc>
          <w:tcPr>
            <w:tcW w:w="2378"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货值金额五万元以上</w:t>
            </w:r>
          </w:p>
        </w:tc>
        <w:tc>
          <w:tcPr>
            <w:tcW w:w="2105"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3737" w:type="dxa"/>
            <w:tcBorders>
              <w:tl2br w:val="nil"/>
              <w:tr2bl w:val="nil"/>
            </w:tcBorders>
            <w:tcMar>
              <w:top w:w="57" w:type="dxa"/>
              <w:left w:w="57" w:type="dxa"/>
              <w:bottom w:w="57" w:type="dxa"/>
              <w:right w:w="57" w:type="dxa"/>
            </w:tcMar>
            <w:vAlign w:val="center"/>
          </w:tcPr>
          <w:p>
            <w:pPr>
              <w:widowControl/>
              <w:adjustRightInd w:val="0"/>
              <w:snapToGrid w:val="0"/>
              <w:spacing w:line="280" w:lineRule="exact"/>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并处货值金额四倍以上五倍以下罚款，抄告发证机关吊销种子生产经营许可证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59" w:hRule="atLeast"/>
          <w:jc w:val="center"/>
        </w:trPr>
        <w:tc>
          <w:tcPr>
            <w:tcW w:w="421" w:type="dxa"/>
            <w:vMerge w:val="restart"/>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18</w:t>
            </w:r>
          </w:p>
        </w:tc>
        <w:tc>
          <w:tcPr>
            <w:tcW w:w="1098" w:type="dxa"/>
            <w:vMerge w:val="restart"/>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从境外引进农作物种子进行引种试验的收获物作为种子在境内销售的</w:t>
            </w:r>
          </w:p>
        </w:tc>
        <w:tc>
          <w:tcPr>
            <w:tcW w:w="3531" w:type="dxa"/>
            <w:vMerge w:val="restart"/>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 xml:space="preserve">《中华人民共和国种子法》第七十八条第(三）项“违反本法第五十七条、第五十九条、第六十条规定，有下列行为之一的，由县级以上人民政府农业农村、林业草原主管部门责令改正，没收违法所得和种子；违法生产经营的货值金额不足一万元的，并处三千元以上三万元以下罚款；货值金额一万元以上的，并处货值金额三倍以上五倍以下罚款；情节严重的，吊销种子生产经营许可证：            </w:t>
            </w:r>
          </w:p>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（三）从境外引进农作物或者林木种子进行引种试验的收获物作为种子在境内销售的；”</w:t>
            </w:r>
          </w:p>
        </w:tc>
        <w:tc>
          <w:tcPr>
            <w:tcW w:w="730"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较轻</w:t>
            </w:r>
          </w:p>
        </w:tc>
        <w:tc>
          <w:tcPr>
            <w:tcW w:w="2378"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货值金额三千元以下</w:t>
            </w:r>
          </w:p>
        </w:tc>
        <w:tc>
          <w:tcPr>
            <w:tcW w:w="2105" w:type="dxa"/>
            <w:vMerge w:val="restart"/>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责令改正，没收违法所得和种子</w:t>
            </w:r>
          </w:p>
        </w:tc>
        <w:tc>
          <w:tcPr>
            <w:tcW w:w="3737"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并处三千元以上五千元以下罚款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 w:hRule="atLeast"/>
          <w:jc w:val="center"/>
        </w:trPr>
        <w:tc>
          <w:tcPr>
            <w:tcW w:w="421" w:type="dxa"/>
            <w:vMerge w:val="continue"/>
            <w:tcBorders>
              <w:tl2br w:val="nil"/>
              <w:tr2bl w:val="nil"/>
            </w:tcBorders>
            <w:tcMar>
              <w:top w:w="57" w:type="dxa"/>
              <w:left w:w="57" w:type="dxa"/>
              <w:bottom w:w="57" w:type="dxa"/>
              <w:right w:w="57" w:type="dxa"/>
            </w:tcMar>
            <w:vAlign w:val="center"/>
          </w:tcPr>
          <w:p>
            <w:pPr>
              <w:adjustRightInd w:val="0"/>
              <w:snapToGrid w:val="0"/>
              <w:jc w:val="center"/>
              <w:rPr>
                <w:rFonts w:ascii="仿宋_GB2312" w:hAnsi="仿宋_GB2312" w:eastAsia="仿宋_GB2312" w:cs="仿宋_GB2312"/>
                <w:color w:val="000000"/>
                <w:sz w:val="21"/>
                <w:szCs w:val="21"/>
              </w:rPr>
            </w:pPr>
          </w:p>
        </w:tc>
        <w:tc>
          <w:tcPr>
            <w:tcW w:w="1098"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3531"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730"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一般</w:t>
            </w:r>
          </w:p>
        </w:tc>
        <w:tc>
          <w:tcPr>
            <w:tcW w:w="2378"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货值金额三千元以上六千元以下</w:t>
            </w:r>
          </w:p>
        </w:tc>
        <w:tc>
          <w:tcPr>
            <w:tcW w:w="2105"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3737"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并处五千元以上二万元以下罚款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4" w:hRule="atLeast"/>
          <w:jc w:val="center"/>
        </w:trPr>
        <w:tc>
          <w:tcPr>
            <w:tcW w:w="421" w:type="dxa"/>
            <w:vMerge w:val="continue"/>
            <w:tcBorders>
              <w:tl2br w:val="nil"/>
              <w:tr2bl w:val="nil"/>
            </w:tcBorders>
            <w:tcMar>
              <w:top w:w="57" w:type="dxa"/>
              <w:left w:w="57" w:type="dxa"/>
              <w:bottom w:w="57" w:type="dxa"/>
              <w:right w:w="57" w:type="dxa"/>
            </w:tcMar>
            <w:vAlign w:val="center"/>
          </w:tcPr>
          <w:p>
            <w:pPr>
              <w:adjustRightInd w:val="0"/>
              <w:snapToGrid w:val="0"/>
              <w:jc w:val="center"/>
              <w:rPr>
                <w:rFonts w:ascii="仿宋_GB2312" w:hAnsi="仿宋_GB2312" w:eastAsia="仿宋_GB2312" w:cs="仿宋_GB2312"/>
                <w:color w:val="000000"/>
                <w:sz w:val="21"/>
                <w:szCs w:val="21"/>
              </w:rPr>
            </w:pPr>
          </w:p>
        </w:tc>
        <w:tc>
          <w:tcPr>
            <w:tcW w:w="1098"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3531"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730"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较重</w:t>
            </w:r>
          </w:p>
        </w:tc>
        <w:tc>
          <w:tcPr>
            <w:tcW w:w="2378"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货值金额六千元以上，不足一万元</w:t>
            </w:r>
          </w:p>
        </w:tc>
        <w:tc>
          <w:tcPr>
            <w:tcW w:w="2105"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3737"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并处二万元以上三万元以下罚款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1" w:hRule="atLeast"/>
          <w:jc w:val="center"/>
        </w:trPr>
        <w:tc>
          <w:tcPr>
            <w:tcW w:w="421" w:type="dxa"/>
            <w:vMerge w:val="continue"/>
            <w:tcBorders>
              <w:tl2br w:val="nil"/>
              <w:tr2bl w:val="nil"/>
            </w:tcBorders>
            <w:tcMar>
              <w:top w:w="57" w:type="dxa"/>
              <w:left w:w="57" w:type="dxa"/>
              <w:bottom w:w="57" w:type="dxa"/>
              <w:right w:w="57" w:type="dxa"/>
            </w:tcMar>
            <w:vAlign w:val="center"/>
          </w:tcPr>
          <w:p>
            <w:pPr>
              <w:adjustRightInd w:val="0"/>
              <w:snapToGrid w:val="0"/>
              <w:jc w:val="center"/>
              <w:rPr>
                <w:rFonts w:ascii="仿宋_GB2312" w:hAnsi="仿宋_GB2312" w:eastAsia="仿宋_GB2312" w:cs="仿宋_GB2312"/>
                <w:color w:val="000000"/>
                <w:sz w:val="21"/>
                <w:szCs w:val="21"/>
              </w:rPr>
            </w:pPr>
          </w:p>
        </w:tc>
        <w:tc>
          <w:tcPr>
            <w:tcW w:w="1098"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3531"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730"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严重</w:t>
            </w:r>
          </w:p>
        </w:tc>
        <w:tc>
          <w:tcPr>
            <w:tcW w:w="2378"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货值金额一万元以上五万元以下</w:t>
            </w:r>
          </w:p>
        </w:tc>
        <w:tc>
          <w:tcPr>
            <w:tcW w:w="2105"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3737"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并处货值金额三倍以上四倍以下罚款，抄告发证机关吊销种子生产经营许可证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421" w:type="dxa"/>
            <w:vMerge w:val="continue"/>
            <w:tcBorders>
              <w:tl2br w:val="nil"/>
              <w:tr2bl w:val="nil"/>
            </w:tcBorders>
            <w:tcMar>
              <w:top w:w="57" w:type="dxa"/>
              <w:left w:w="57" w:type="dxa"/>
              <w:bottom w:w="57" w:type="dxa"/>
              <w:right w:w="57" w:type="dxa"/>
            </w:tcMar>
            <w:vAlign w:val="center"/>
          </w:tcPr>
          <w:p>
            <w:pPr>
              <w:adjustRightInd w:val="0"/>
              <w:snapToGrid w:val="0"/>
              <w:jc w:val="center"/>
              <w:rPr>
                <w:rFonts w:ascii="仿宋_GB2312" w:hAnsi="仿宋_GB2312" w:eastAsia="仿宋_GB2312" w:cs="仿宋_GB2312"/>
                <w:color w:val="000000"/>
                <w:sz w:val="21"/>
                <w:szCs w:val="21"/>
              </w:rPr>
            </w:pPr>
          </w:p>
        </w:tc>
        <w:tc>
          <w:tcPr>
            <w:tcW w:w="1098"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3531"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730"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特别严重</w:t>
            </w:r>
          </w:p>
        </w:tc>
        <w:tc>
          <w:tcPr>
            <w:tcW w:w="2378"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货值金额五万元以上</w:t>
            </w:r>
          </w:p>
        </w:tc>
        <w:tc>
          <w:tcPr>
            <w:tcW w:w="2105"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3737"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并处货值金额四倍以上五倍以下罚款，抄告发证机关吊销种子生产经营许可证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421" w:type="dxa"/>
            <w:vMerge w:val="restart"/>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19</w:t>
            </w:r>
          </w:p>
        </w:tc>
        <w:tc>
          <w:tcPr>
            <w:tcW w:w="1098" w:type="dxa"/>
            <w:vMerge w:val="restart"/>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进出口假、劣种子或者属于国家规定不得进出口的种子的</w:t>
            </w:r>
          </w:p>
        </w:tc>
        <w:tc>
          <w:tcPr>
            <w:tcW w:w="3531" w:type="dxa"/>
            <w:vMerge w:val="restart"/>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spacing w:val="-4"/>
                <w:kern w:val="0"/>
                <w:sz w:val="21"/>
                <w:szCs w:val="21"/>
              </w:rPr>
              <w:t>《中华人民共和国种子法》第七十八条第（四）项“违反本法第五十七条、第五十九条、第六十条规定，有下列行为之一的，由县级以上人民政府农业农村、林业草原主管部门责令改正，没收违法所得和种子；违法生产经营的货值金额不足一万元的，并处三千元以上三万元以下罚款；货值金额一万元以上的，并处货值金额三倍以上五倍以下罚款；情节严重的，吊销种子生产经营许可证：</w:t>
            </w:r>
            <w:r>
              <w:rPr>
                <w:rFonts w:hint="eastAsia" w:ascii="仿宋_GB2312" w:hAnsi="仿宋_GB2312" w:eastAsia="仿宋_GB2312" w:cs="仿宋_GB2312"/>
                <w:color w:val="000000"/>
                <w:kern w:val="0"/>
                <w:sz w:val="21"/>
                <w:szCs w:val="21"/>
              </w:rPr>
              <w:br w:type="textWrapping"/>
            </w:r>
            <w:r>
              <w:rPr>
                <w:rFonts w:hint="eastAsia" w:ascii="仿宋_GB2312" w:hAnsi="仿宋_GB2312" w:eastAsia="仿宋_GB2312" w:cs="仿宋_GB2312"/>
                <w:color w:val="000000"/>
                <w:kern w:val="0"/>
                <w:sz w:val="21"/>
                <w:szCs w:val="21"/>
              </w:rPr>
              <w:t>（四）进出口假、劣种子或者属于国家规定不得进出口的种子的。”</w:t>
            </w:r>
          </w:p>
        </w:tc>
        <w:tc>
          <w:tcPr>
            <w:tcW w:w="730"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较轻</w:t>
            </w:r>
          </w:p>
        </w:tc>
        <w:tc>
          <w:tcPr>
            <w:tcW w:w="2378"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货值金额三千元以下</w:t>
            </w:r>
          </w:p>
        </w:tc>
        <w:tc>
          <w:tcPr>
            <w:tcW w:w="2105" w:type="dxa"/>
            <w:vMerge w:val="restart"/>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责令改正，没收违法所得和种子</w:t>
            </w:r>
          </w:p>
        </w:tc>
        <w:tc>
          <w:tcPr>
            <w:tcW w:w="3737"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并处三千元以上五千元以下罚款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421" w:type="dxa"/>
            <w:vMerge w:val="continue"/>
            <w:tcBorders>
              <w:tl2br w:val="nil"/>
              <w:tr2bl w:val="nil"/>
            </w:tcBorders>
            <w:tcMar>
              <w:top w:w="57" w:type="dxa"/>
              <w:left w:w="57" w:type="dxa"/>
              <w:bottom w:w="57" w:type="dxa"/>
              <w:right w:w="57" w:type="dxa"/>
            </w:tcMar>
            <w:vAlign w:val="center"/>
          </w:tcPr>
          <w:p>
            <w:pPr>
              <w:adjustRightInd w:val="0"/>
              <w:snapToGrid w:val="0"/>
              <w:jc w:val="center"/>
              <w:rPr>
                <w:rFonts w:ascii="仿宋_GB2312" w:hAnsi="仿宋_GB2312" w:eastAsia="仿宋_GB2312" w:cs="仿宋_GB2312"/>
                <w:color w:val="000000"/>
                <w:sz w:val="21"/>
                <w:szCs w:val="21"/>
              </w:rPr>
            </w:pPr>
          </w:p>
        </w:tc>
        <w:tc>
          <w:tcPr>
            <w:tcW w:w="1098"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3531"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730"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一般</w:t>
            </w:r>
          </w:p>
        </w:tc>
        <w:tc>
          <w:tcPr>
            <w:tcW w:w="2378"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货值金额三千元以上六千元以下</w:t>
            </w:r>
          </w:p>
        </w:tc>
        <w:tc>
          <w:tcPr>
            <w:tcW w:w="2105"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3737"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并处五千元以上二万元以下罚款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421" w:type="dxa"/>
            <w:vMerge w:val="continue"/>
            <w:tcBorders>
              <w:tl2br w:val="nil"/>
              <w:tr2bl w:val="nil"/>
            </w:tcBorders>
            <w:tcMar>
              <w:top w:w="57" w:type="dxa"/>
              <w:left w:w="57" w:type="dxa"/>
              <w:bottom w:w="57" w:type="dxa"/>
              <w:right w:w="57" w:type="dxa"/>
            </w:tcMar>
            <w:vAlign w:val="center"/>
          </w:tcPr>
          <w:p>
            <w:pPr>
              <w:adjustRightInd w:val="0"/>
              <w:snapToGrid w:val="0"/>
              <w:jc w:val="center"/>
              <w:rPr>
                <w:rFonts w:ascii="仿宋_GB2312" w:hAnsi="仿宋_GB2312" w:eastAsia="仿宋_GB2312" w:cs="仿宋_GB2312"/>
                <w:color w:val="000000"/>
                <w:sz w:val="21"/>
                <w:szCs w:val="21"/>
              </w:rPr>
            </w:pPr>
          </w:p>
        </w:tc>
        <w:tc>
          <w:tcPr>
            <w:tcW w:w="1098"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3531"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730"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较重</w:t>
            </w:r>
          </w:p>
        </w:tc>
        <w:tc>
          <w:tcPr>
            <w:tcW w:w="2378"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货值金额六千元以上，不足一万元</w:t>
            </w:r>
          </w:p>
        </w:tc>
        <w:tc>
          <w:tcPr>
            <w:tcW w:w="2105"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3737"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并处二万元以上三万元以下罚款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421" w:type="dxa"/>
            <w:vMerge w:val="continue"/>
            <w:tcBorders>
              <w:tl2br w:val="nil"/>
              <w:tr2bl w:val="nil"/>
            </w:tcBorders>
            <w:tcMar>
              <w:top w:w="57" w:type="dxa"/>
              <w:left w:w="57" w:type="dxa"/>
              <w:bottom w:w="57" w:type="dxa"/>
              <w:right w:w="57" w:type="dxa"/>
            </w:tcMar>
            <w:vAlign w:val="center"/>
          </w:tcPr>
          <w:p>
            <w:pPr>
              <w:adjustRightInd w:val="0"/>
              <w:snapToGrid w:val="0"/>
              <w:jc w:val="center"/>
              <w:rPr>
                <w:rFonts w:ascii="仿宋_GB2312" w:hAnsi="仿宋_GB2312" w:eastAsia="仿宋_GB2312" w:cs="仿宋_GB2312"/>
                <w:color w:val="000000"/>
                <w:sz w:val="21"/>
                <w:szCs w:val="21"/>
              </w:rPr>
            </w:pPr>
          </w:p>
        </w:tc>
        <w:tc>
          <w:tcPr>
            <w:tcW w:w="1098"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3531"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730"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严重</w:t>
            </w:r>
          </w:p>
        </w:tc>
        <w:tc>
          <w:tcPr>
            <w:tcW w:w="2378"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货值金额一万元以上五万元以下</w:t>
            </w:r>
          </w:p>
        </w:tc>
        <w:tc>
          <w:tcPr>
            <w:tcW w:w="2105"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3737"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并处货值金额三倍以上四倍以下罚款，抄告发证机关吊销种子生产经营许可证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421" w:type="dxa"/>
            <w:vMerge w:val="continue"/>
            <w:tcBorders>
              <w:tl2br w:val="nil"/>
              <w:tr2bl w:val="nil"/>
            </w:tcBorders>
            <w:tcMar>
              <w:top w:w="57" w:type="dxa"/>
              <w:left w:w="57" w:type="dxa"/>
              <w:bottom w:w="57" w:type="dxa"/>
              <w:right w:w="57" w:type="dxa"/>
            </w:tcMar>
            <w:vAlign w:val="center"/>
          </w:tcPr>
          <w:p>
            <w:pPr>
              <w:adjustRightInd w:val="0"/>
              <w:snapToGrid w:val="0"/>
              <w:jc w:val="center"/>
              <w:rPr>
                <w:rFonts w:ascii="仿宋_GB2312" w:hAnsi="仿宋_GB2312" w:eastAsia="仿宋_GB2312" w:cs="仿宋_GB2312"/>
                <w:color w:val="000000"/>
                <w:sz w:val="21"/>
                <w:szCs w:val="21"/>
              </w:rPr>
            </w:pPr>
          </w:p>
        </w:tc>
        <w:tc>
          <w:tcPr>
            <w:tcW w:w="1098"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3531"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730"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特别严重</w:t>
            </w:r>
          </w:p>
        </w:tc>
        <w:tc>
          <w:tcPr>
            <w:tcW w:w="2378"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货值金额五万元以上</w:t>
            </w:r>
          </w:p>
        </w:tc>
        <w:tc>
          <w:tcPr>
            <w:tcW w:w="2105"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3737"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并处货值金额四倍以上五倍以下罚款，抄告发证机关吊销种子生产经营许可证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421" w:type="dxa"/>
            <w:vMerge w:val="restart"/>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20</w:t>
            </w:r>
          </w:p>
        </w:tc>
        <w:tc>
          <w:tcPr>
            <w:tcW w:w="1098" w:type="dxa"/>
            <w:vMerge w:val="restart"/>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销售的种子应当包装而没有包装的</w:t>
            </w:r>
          </w:p>
        </w:tc>
        <w:tc>
          <w:tcPr>
            <w:tcW w:w="3531" w:type="dxa"/>
            <w:vMerge w:val="restart"/>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中华人民共和国种子法》第七十九条第（一）项“违反本法第三十六条、第三十八条、第三十九条、第四十条规定，有下列行为之一的，由县级以上人民政府农业农村、林业草原主管部门责令改正，处二千元以上二万元以下罚款：                           （一）销售的种子应当包装而没有包装的；”</w:t>
            </w:r>
          </w:p>
        </w:tc>
        <w:tc>
          <w:tcPr>
            <w:tcW w:w="730"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较轻</w:t>
            </w:r>
          </w:p>
        </w:tc>
        <w:tc>
          <w:tcPr>
            <w:tcW w:w="2378"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货值金额五千元以下</w:t>
            </w:r>
          </w:p>
        </w:tc>
        <w:tc>
          <w:tcPr>
            <w:tcW w:w="2105" w:type="dxa"/>
            <w:vMerge w:val="restart"/>
            <w:tcBorders>
              <w:tl2br w:val="nil"/>
              <w:tr2bl w:val="nil"/>
            </w:tcBorders>
            <w:noWrap/>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责令改正</w:t>
            </w:r>
          </w:p>
        </w:tc>
        <w:tc>
          <w:tcPr>
            <w:tcW w:w="3737"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处二千元以上三千元以下罚款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421" w:type="dxa"/>
            <w:vMerge w:val="continue"/>
            <w:tcBorders>
              <w:tl2br w:val="nil"/>
              <w:tr2bl w:val="nil"/>
            </w:tcBorders>
            <w:tcMar>
              <w:top w:w="57" w:type="dxa"/>
              <w:left w:w="57" w:type="dxa"/>
              <w:bottom w:w="57" w:type="dxa"/>
              <w:right w:w="57" w:type="dxa"/>
            </w:tcMar>
            <w:vAlign w:val="center"/>
          </w:tcPr>
          <w:p>
            <w:pPr>
              <w:adjustRightInd w:val="0"/>
              <w:snapToGrid w:val="0"/>
              <w:jc w:val="center"/>
              <w:rPr>
                <w:rFonts w:ascii="仿宋_GB2312" w:hAnsi="仿宋_GB2312" w:eastAsia="仿宋_GB2312" w:cs="仿宋_GB2312"/>
                <w:color w:val="000000"/>
                <w:sz w:val="21"/>
                <w:szCs w:val="21"/>
              </w:rPr>
            </w:pPr>
          </w:p>
        </w:tc>
        <w:tc>
          <w:tcPr>
            <w:tcW w:w="1098"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3531"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730"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一般</w:t>
            </w:r>
          </w:p>
        </w:tc>
        <w:tc>
          <w:tcPr>
            <w:tcW w:w="2378"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货值金额五千元以上一万元以下</w:t>
            </w:r>
          </w:p>
        </w:tc>
        <w:tc>
          <w:tcPr>
            <w:tcW w:w="2105" w:type="dxa"/>
            <w:vMerge w:val="continue"/>
            <w:tcBorders>
              <w:tl2br w:val="nil"/>
              <w:tr2bl w:val="nil"/>
            </w:tcBorders>
            <w:noWrap/>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3737"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处三千元以上五千元以下罚款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421" w:type="dxa"/>
            <w:vMerge w:val="continue"/>
            <w:tcBorders>
              <w:tl2br w:val="nil"/>
              <w:tr2bl w:val="nil"/>
            </w:tcBorders>
            <w:tcMar>
              <w:top w:w="57" w:type="dxa"/>
              <w:left w:w="57" w:type="dxa"/>
              <w:bottom w:w="57" w:type="dxa"/>
              <w:right w:w="57" w:type="dxa"/>
            </w:tcMar>
            <w:vAlign w:val="center"/>
          </w:tcPr>
          <w:p>
            <w:pPr>
              <w:adjustRightInd w:val="0"/>
              <w:snapToGrid w:val="0"/>
              <w:jc w:val="center"/>
              <w:rPr>
                <w:rFonts w:ascii="仿宋_GB2312" w:hAnsi="仿宋_GB2312" w:eastAsia="仿宋_GB2312" w:cs="仿宋_GB2312"/>
                <w:color w:val="000000"/>
                <w:sz w:val="21"/>
                <w:szCs w:val="21"/>
              </w:rPr>
            </w:pPr>
          </w:p>
        </w:tc>
        <w:tc>
          <w:tcPr>
            <w:tcW w:w="1098"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3531"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730"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较重</w:t>
            </w:r>
          </w:p>
        </w:tc>
        <w:tc>
          <w:tcPr>
            <w:tcW w:w="2378"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货值金额一万元以上二万元以下</w:t>
            </w:r>
          </w:p>
        </w:tc>
        <w:tc>
          <w:tcPr>
            <w:tcW w:w="2105" w:type="dxa"/>
            <w:vMerge w:val="continue"/>
            <w:tcBorders>
              <w:tl2br w:val="nil"/>
              <w:tr2bl w:val="nil"/>
            </w:tcBorders>
            <w:noWrap/>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3737"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处五千元以上八千元以下罚款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421" w:type="dxa"/>
            <w:vMerge w:val="continue"/>
            <w:tcBorders>
              <w:tl2br w:val="nil"/>
              <w:tr2bl w:val="nil"/>
            </w:tcBorders>
            <w:tcMar>
              <w:top w:w="57" w:type="dxa"/>
              <w:left w:w="57" w:type="dxa"/>
              <w:bottom w:w="57" w:type="dxa"/>
              <w:right w:w="57" w:type="dxa"/>
            </w:tcMar>
            <w:vAlign w:val="center"/>
          </w:tcPr>
          <w:p>
            <w:pPr>
              <w:adjustRightInd w:val="0"/>
              <w:snapToGrid w:val="0"/>
              <w:jc w:val="center"/>
              <w:rPr>
                <w:rFonts w:ascii="仿宋_GB2312" w:hAnsi="仿宋_GB2312" w:eastAsia="仿宋_GB2312" w:cs="仿宋_GB2312"/>
                <w:color w:val="000000"/>
                <w:sz w:val="21"/>
                <w:szCs w:val="21"/>
              </w:rPr>
            </w:pPr>
          </w:p>
        </w:tc>
        <w:tc>
          <w:tcPr>
            <w:tcW w:w="1098"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3531"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730"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严重</w:t>
            </w:r>
          </w:p>
        </w:tc>
        <w:tc>
          <w:tcPr>
            <w:tcW w:w="2378"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货值金额二万元以上三万元以下</w:t>
            </w:r>
          </w:p>
        </w:tc>
        <w:tc>
          <w:tcPr>
            <w:tcW w:w="2105" w:type="dxa"/>
            <w:vMerge w:val="continue"/>
            <w:tcBorders>
              <w:tl2br w:val="nil"/>
              <w:tr2bl w:val="nil"/>
            </w:tcBorders>
            <w:noWrap/>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3737"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处八千元以上一万二千元以下罚款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421" w:type="dxa"/>
            <w:vMerge w:val="continue"/>
            <w:tcBorders>
              <w:tl2br w:val="nil"/>
              <w:tr2bl w:val="nil"/>
            </w:tcBorders>
            <w:tcMar>
              <w:top w:w="57" w:type="dxa"/>
              <w:left w:w="57" w:type="dxa"/>
              <w:bottom w:w="57" w:type="dxa"/>
              <w:right w:w="57" w:type="dxa"/>
            </w:tcMar>
            <w:vAlign w:val="center"/>
          </w:tcPr>
          <w:p>
            <w:pPr>
              <w:adjustRightInd w:val="0"/>
              <w:snapToGrid w:val="0"/>
              <w:jc w:val="center"/>
              <w:rPr>
                <w:rFonts w:ascii="仿宋_GB2312" w:hAnsi="仿宋_GB2312" w:eastAsia="仿宋_GB2312" w:cs="仿宋_GB2312"/>
                <w:color w:val="000000"/>
                <w:sz w:val="21"/>
                <w:szCs w:val="21"/>
              </w:rPr>
            </w:pPr>
          </w:p>
        </w:tc>
        <w:tc>
          <w:tcPr>
            <w:tcW w:w="1098"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3531"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730"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特别严重</w:t>
            </w:r>
          </w:p>
        </w:tc>
        <w:tc>
          <w:tcPr>
            <w:tcW w:w="2378"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货值金额三万元以上</w:t>
            </w:r>
          </w:p>
        </w:tc>
        <w:tc>
          <w:tcPr>
            <w:tcW w:w="2105" w:type="dxa"/>
            <w:vMerge w:val="continue"/>
            <w:tcBorders>
              <w:tl2br w:val="nil"/>
              <w:tr2bl w:val="nil"/>
            </w:tcBorders>
            <w:noWrap/>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3737"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处一万二千元以上二万元以下罚款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9" w:hRule="atLeast"/>
          <w:jc w:val="center"/>
        </w:trPr>
        <w:tc>
          <w:tcPr>
            <w:tcW w:w="421" w:type="dxa"/>
            <w:vMerge w:val="restart"/>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21</w:t>
            </w:r>
          </w:p>
        </w:tc>
        <w:tc>
          <w:tcPr>
            <w:tcW w:w="1098" w:type="dxa"/>
            <w:vMerge w:val="restart"/>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销售的种子没有使用说明或者标签内容不符合规定的</w:t>
            </w:r>
          </w:p>
        </w:tc>
        <w:tc>
          <w:tcPr>
            <w:tcW w:w="3531" w:type="dxa"/>
            <w:vMerge w:val="restart"/>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中华人民共和国种子法》第七十九条第（二）项“违反本法第三十六条、第三十八条、第三十九条、第四十条规定，有下列行为之一的，由县级以上人民政府农业农村、林业草原主管部门责令改正，处二千元以上二万元以下罚款：                           （二）销售的种子没有使用说明或者标签内容不符合规定的；”</w:t>
            </w:r>
          </w:p>
        </w:tc>
        <w:tc>
          <w:tcPr>
            <w:tcW w:w="730"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较轻</w:t>
            </w:r>
          </w:p>
        </w:tc>
        <w:tc>
          <w:tcPr>
            <w:tcW w:w="2378"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货值金额五千元以下</w:t>
            </w:r>
          </w:p>
        </w:tc>
        <w:tc>
          <w:tcPr>
            <w:tcW w:w="2105" w:type="dxa"/>
            <w:vMerge w:val="restart"/>
            <w:tcBorders>
              <w:tl2br w:val="nil"/>
              <w:tr2bl w:val="nil"/>
            </w:tcBorders>
            <w:noWrap/>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责令改正</w:t>
            </w:r>
          </w:p>
        </w:tc>
        <w:tc>
          <w:tcPr>
            <w:tcW w:w="3737"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处二千元以上三千元以下罚款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9" w:hRule="atLeast"/>
          <w:jc w:val="center"/>
        </w:trPr>
        <w:tc>
          <w:tcPr>
            <w:tcW w:w="421" w:type="dxa"/>
            <w:vMerge w:val="continue"/>
            <w:tcBorders>
              <w:tl2br w:val="nil"/>
              <w:tr2bl w:val="nil"/>
            </w:tcBorders>
            <w:tcMar>
              <w:top w:w="57" w:type="dxa"/>
              <w:left w:w="57" w:type="dxa"/>
              <w:bottom w:w="57" w:type="dxa"/>
              <w:right w:w="57" w:type="dxa"/>
            </w:tcMar>
            <w:vAlign w:val="center"/>
          </w:tcPr>
          <w:p>
            <w:pPr>
              <w:adjustRightInd w:val="0"/>
              <w:snapToGrid w:val="0"/>
              <w:jc w:val="center"/>
              <w:rPr>
                <w:rFonts w:ascii="仿宋_GB2312" w:hAnsi="仿宋_GB2312" w:eastAsia="仿宋_GB2312" w:cs="仿宋_GB2312"/>
                <w:color w:val="000000"/>
                <w:sz w:val="21"/>
                <w:szCs w:val="21"/>
              </w:rPr>
            </w:pPr>
          </w:p>
        </w:tc>
        <w:tc>
          <w:tcPr>
            <w:tcW w:w="1098"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3531"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730"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一般</w:t>
            </w:r>
          </w:p>
        </w:tc>
        <w:tc>
          <w:tcPr>
            <w:tcW w:w="2378"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货值金额五千元以上一万元以下</w:t>
            </w:r>
          </w:p>
        </w:tc>
        <w:tc>
          <w:tcPr>
            <w:tcW w:w="2105" w:type="dxa"/>
            <w:vMerge w:val="continue"/>
            <w:tcBorders>
              <w:tl2br w:val="nil"/>
              <w:tr2bl w:val="nil"/>
            </w:tcBorders>
            <w:noWrap/>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3737"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处三千元以上五千元以下罚款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9" w:hRule="atLeast"/>
          <w:jc w:val="center"/>
        </w:trPr>
        <w:tc>
          <w:tcPr>
            <w:tcW w:w="421" w:type="dxa"/>
            <w:vMerge w:val="continue"/>
            <w:tcBorders>
              <w:tl2br w:val="nil"/>
              <w:tr2bl w:val="nil"/>
            </w:tcBorders>
            <w:tcMar>
              <w:top w:w="57" w:type="dxa"/>
              <w:left w:w="57" w:type="dxa"/>
              <w:bottom w:w="57" w:type="dxa"/>
              <w:right w:w="57" w:type="dxa"/>
            </w:tcMar>
            <w:vAlign w:val="center"/>
          </w:tcPr>
          <w:p>
            <w:pPr>
              <w:adjustRightInd w:val="0"/>
              <w:snapToGrid w:val="0"/>
              <w:jc w:val="center"/>
              <w:rPr>
                <w:rFonts w:ascii="仿宋_GB2312" w:hAnsi="仿宋_GB2312" w:eastAsia="仿宋_GB2312" w:cs="仿宋_GB2312"/>
                <w:color w:val="000000"/>
                <w:sz w:val="21"/>
                <w:szCs w:val="21"/>
              </w:rPr>
            </w:pPr>
          </w:p>
        </w:tc>
        <w:tc>
          <w:tcPr>
            <w:tcW w:w="1098"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3531"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730"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较重</w:t>
            </w:r>
          </w:p>
        </w:tc>
        <w:tc>
          <w:tcPr>
            <w:tcW w:w="2378"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货值金额一万元以上二万元以下</w:t>
            </w:r>
          </w:p>
        </w:tc>
        <w:tc>
          <w:tcPr>
            <w:tcW w:w="2105" w:type="dxa"/>
            <w:vMerge w:val="continue"/>
            <w:tcBorders>
              <w:tl2br w:val="nil"/>
              <w:tr2bl w:val="nil"/>
            </w:tcBorders>
            <w:noWrap/>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3737"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处五千元以上八千元以下罚款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9" w:hRule="atLeast"/>
          <w:jc w:val="center"/>
        </w:trPr>
        <w:tc>
          <w:tcPr>
            <w:tcW w:w="421" w:type="dxa"/>
            <w:vMerge w:val="continue"/>
            <w:tcBorders>
              <w:tl2br w:val="nil"/>
              <w:tr2bl w:val="nil"/>
            </w:tcBorders>
            <w:tcMar>
              <w:top w:w="57" w:type="dxa"/>
              <w:left w:w="57" w:type="dxa"/>
              <w:bottom w:w="57" w:type="dxa"/>
              <w:right w:w="57" w:type="dxa"/>
            </w:tcMar>
            <w:vAlign w:val="center"/>
          </w:tcPr>
          <w:p>
            <w:pPr>
              <w:adjustRightInd w:val="0"/>
              <w:snapToGrid w:val="0"/>
              <w:jc w:val="center"/>
              <w:rPr>
                <w:rFonts w:ascii="仿宋_GB2312" w:hAnsi="仿宋_GB2312" w:eastAsia="仿宋_GB2312" w:cs="仿宋_GB2312"/>
                <w:color w:val="000000"/>
                <w:sz w:val="21"/>
                <w:szCs w:val="21"/>
              </w:rPr>
            </w:pPr>
          </w:p>
        </w:tc>
        <w:tc>
          <w:tcPr>
            <w:tcW w:w="1098"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3531"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730"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严重</w:t>
            </w:r>
          </w:p>
        </w:tc>
        <w:tc>
          <w:tcPr>
            <w:tcW w:w="2378"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货值金额二万元以上三万元以下</w:t>
            </w:r>
          </w:p>
        </w:tc>
        <w:tc>
          <w:tcPr>
            <w:tcW w:w="2105" w:type="dxa"/>
            <w:vMerge w:val="continue"/>
            <w:tcBorders>
              <w:tl2br w:val="nil"/>
              <w:tr2bl w:val="nil"/>
            </w:tcBorders>
            <w:noWrap/>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3737"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处八千元以上一万二千元以下罚款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9" w:hRule="atLeast"/>
          <w:jc w:val="center"/>
        </w:trPr>
        <w:tc>
          <w:tcPr>
            <w:tcW w:w="421" w:type="dxa"/>
            <w:vMerge w:val="continue"/>
            <w:tcBorders>
              <w:tl2br w:val="nil"/>
              <w:tr2bl w:val="nil"/>
            </w:tcBorders>
            <w:tcMar>
              <w:top w:w="57" w:type="dxa"/>
              <w:left w:w="57" w:type="dxa"/>
              <w:bottom w:w="57" w:type="dxa"/>
              <w:right w:w="57" w:type="dxa"/>
            </w:tcMar>
            <w:vAlign w:val="center"/>
          </w:tcPr>
          <w:p>
            <w:pPr>
              <w:adjustRightInd w:val="0"/>
              <w:snapToGrid w:val="0"/>
              <w:jc w:val="center"/>
              <w:rPr>
                <w:rFonts w:ascii="仿宋_GB2312" w:hAnsi="仿宋_GB2312" w:eastAsia="仿宋_GB2312" w:cs="仿宋_GB2312"/>
                <w:color w:val="000000"/>
                <w:sz w:val="21"/>
                <w:szCs w:val="21"/>
              </w:rPr>
            </w:pPr>
          </w:p>
        </w:tc>
        <w:tc>
          <w:tcPr>
            <w:tcW w:w="1098"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3531"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730"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特别严重</w:t>
            </w:r>
          </w:p>
        </w:tc>
        <w:tc>
          <w:tcPr>
            <w:tcW w:w="2378"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货值金额三万元以上</w:t>
            </w:r>
          </w:p>
        </w:tc>
        <w:tc>
          <w:tcPr>
            <w:tcW w:w="2105" w:type="dxa"/>
            <w:vMerge w:val="continue"/>
            <w:tcBorders>
              <w:tl2br w:val="nil"/>
              <w:tr2bl w:val="nil"/>
            </w:tcBorders>
            <w:noWrap/>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3737"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处一万二千元以上二万元以下罚款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421" w:type="dxa"/>
            <w:vMerge w:val="restart"/>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22</w:t>
            </w:r>
          </w:p>
        </w:tc>
        <w:tc>
          <w:tcPr>
            <w:tcW w:w="1098" w:type="dxa"/>
            <w:vMerge w:val="restart"/>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涂改标签的</w:t>
            </w:r>
          </w:p>
        </w:tc>
        <w:tc>
          <w:tcPr>
            <w:tcW w:w="3531" w:type="dxa"/>
            <w:vMerge w:val="restart"/>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中华人民共和国种子法》第七十九条第（三）项“违反本法第三十六条、第三十八条、第三十九条、第四十条规定，有下列行为之一的，由县级以上人民政府农业农村、林业草原主管部门责令改正，处二千元以上二万元以下罚款：                           （三）涂改标签的；”</w:t>
            </w:r>
          </w:p>
        </w:tc>
        <w:tc>
          <w:tcPr>
            <w:tcW w:w="730"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较轻</w:t>
            </w:r>
          </w:p>
        </w:tc>
        <w:tc>
          <w:tcPr>
            <w:tcW w:w="2378"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货值金额五千元以下</w:t>
            </w:r>
          </w:p>
        </w:tc>
        <w:tc>
          <w:tcPr>
            <w:tcW w:w="2105" w:type="dxa"/>
            <w:vMerge w:val="restart"/>
            <w:tcBorders>
              <w:tl2br w:val="nil"/>
              <w:tr2bl w:val="nil"/>
            </w:tcBorders>
            <w:noWrap/>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责令改正</w:t>
            </w:r>
          </w:p>
        </w:tc>
        <w:tc>
          <w:tcPr>
            <w:tcW w:w="3737"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处二千元以上三千元以下罚款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9" w:hRule="atLeast"/>
          <w:jc w:val="center"/>
        </w:trPr>
        <w:tc>
          <w:tcPr>
            <w:tcW w:w="421" w:type="dxa"/>
            <w:vMerge w:val="continue"/>
            <w:tcBorders>
              <w:tl2br w:val="nil"/>
              <w:tr2bl w:val="nil"/>
            </w:tcBorders>
            <w:tcMar>
              <w:top w:w="57" w:type="dxa"/>
              <w:left w:w="57" w:type="dxa"/>
              <w:bottom w:w="57" w:type="dxa"/>
              <w:right w:w="57" w:type="dxa"/>
            </w:tcMar>
            <w:vAlign w:val="center"/>
          </w:tcPr>
          <w:p>
            <w:pPr>
              <w:adjustRightInd w:val="0"/>
              <w:snapToGrid w:val="0"/>
              <w:jc w:val="center"/>
              <w:rPr>
                <w:rFonts w:ascii="仿宋_GB2312" w:hAnsi="仿宋_GB2312" w:eastAsia="仿宋_GB2312" w:cs="仿宋_GB2312"/>
                <w:color w:val="000000"/>
                <w:sz w:val="21"/>
                <w:szCs w:val="21"/>
              </w:rPr>
            </w:pPr>
          </w:p>
        </w:tc>
        <w:tc>
          <w:tcPr>
            <w:tcW w:w="1098"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3531"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730"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一般</w:t>
            </w:r>
          </w:p>
        </w:tc>
        <w:tc>
          <w:tcPr>
            <w:tcW w:w="2378"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货值金额五千元以上一万元以下</w:t>
            </w:r>
          </w:p>
        </w:tc>
        <w:tc>
          <w:tcPr>
            <w:tcW w:w="2105" w:type="dxa"/>
            <w:vMerge w:val="continue"/>
            <w:tcBorders>
              <w:tl2br w:val="nil"/>
              <w:tr2bl w:val="nil"/>
            </w:tcBorders>
            <w:noWrap/>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3737"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处三千元以上五千元以下罚款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4" w:hRule="atLeast"/>
          <w:jc w:val="center"/>
        </w:trPr>
        <w:tc>
          <w:tcPr>
            <w:tcW w:w="421" w:type="dxa"/>
            <w:vMerge w:val="continue"/>
            <w:tcBorders>
              <w:tl2br w:val="nil"/>
              <w:tr2bl w:val="nil"/>
            </w:tcBorders>
            <w:tcMar>
              <w:top w:w="57" w:type="dxa"/>
              <w:left w:w="57" w:type="dxa"/>
              <w:bottom w:w="57" w:type="dxa"/>
              <w:right w:w="57" w:type="dxa"/>
            </w:tcMar>
            <w:vAlign w:val="center"/>
          </w:tcPr>
          <w:p>
            <w:pPr>
              <w:adjustRightInd w:val="0"/>
              <w:snapToGrid w:val="0"/>
              <w:jc w:val="center"/>
              <w:rPr>
                <w:rFonts w:ascii="仿宋_GB2312" w:hAnsi="仿宋_GB2312" w:eastAsia="仿宋_GB2312" w:cs="仿宋_GB2312"/>
                <w:color w:val="000000"/>
                <w:sz w:val="21"/>
                <w:szCs w:val="21"/>
              </w:rPr>
            </w:pPr>
          </w:p>
        </w:tc>
        <w:tc>
          <w:tcPr>
            <w:tcW w:w="1098"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3531"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730"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较重</w:t>
            </w:r>
          </w:p>
        </w:tc>
        <w:tc>
          <w:tcPr>
            <w:tcW w:w="2378"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货值金额一万元以上二万元以下</w:t>
            </w:r>
          </w:p>
        </w:tc>
        <w:tc>
          <w:tcPr>
            <w:tcW w:w="2105" w:type="dxa"/>
            <w:vMerge w:val="continue"/>
            <w:tcBorders>
              <w:tl2br w:val="nil"/>
              <w:tr2bl w:val="nil"/>
            </w:tcBorders>
            <w:noWrap/>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3737"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处五千元以上八千元以下罚款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421" w:type="dxa"/>
            <w:vMerge w:val="continue"/>
            <w:tcBorders>
              <w:tl2br w:val="nil"/>
              <w:tr2bl w:val="nil"/>
            </w:tcBorders>
            <w:tcMar>
              <w:top w:w="57" w:type="dxa"/>
              <w:left w:w="57" w:type="dxa"/>
              <w:bottom w:w="57" w:type="dxa"/>
              <w:right w:w="57" w:type="dxa"/>
            </w:tcMar>
            <w:vAlign w:val="center"/>
          </w:tcPr>
          <w:p>
            <w:pPr>
              <w:adjustRightInd w:val="0"/>
              <w:snapToGrid w:val="0"/>
              <w:jc w:val="center"/>
              <w:rPr>
                <w:rFonts w:ascii="仿宋_GB2312" w:hAnsi="仿宋_GB2312" w:eastAsia="仿宋_GB2312" w:cs="仿宋_GB2312"/>
                <w:color w:val="000000"/>
                <w:sz w:val="21"/>
                <w:szCs w:val="21"/>
              </w:rPr>
            </w:pPr>
          </w:p>
        </w:tc>
        <w:tc>
          <w:tcPr>
            <w:tcW w:w="1098"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3531"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730"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严重</w:t>
            </w:r>
          </w:p>
        </w:tc>
        <w:tc>
          <w:tcPr>
            <w:tcW w:w="2378"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货值金额二万元以上三万元以下</w:t>
            </w:r>
          </w:p>
        </w:tc>
        <w:tc>
          <w:tcPr>
            <w:tcW w:w="2105" w:type="dxa"/>
            <w:vMerge w:val="continue"/>
            <w:tcBorders>
              <w:tl2br w:val="nil"/>
              <w:tr2bl w:val="nil"/>
            </w:tcBorders>
            <w:noWrap/>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3737"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处八千元以上一万二千元以下罚款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jc w:val="center"/>
        </w:trPr>
        <w:tc>
          <w:tcPr>
            <w:tcW w:w="421" w:type="dxa"/>
            <w:vMerge w:val="continue"/>
            <w:tcBorders>
              <w:tl2br w:val="nil"/>
              <w:tr2bl w:val="nil"/>
            </w:tcBorders>
            <w:tcMar>
              <w:top w:w="57" w:type="dxa"/>
              <w:left w:w="57" w:type="dxa"/>
              <w:bottom w:w="57" w:type="dxa"/>
              <w:right w:w="57" w:type="dxa"/>
            </w:tcMar>
            <w:vAlign w:val="center"/>
          </w:tcPr>
          <w:p>
            <w:pPr>
              <w:adjustRightInd w:val="0"/>
              <w:snapToGrid w:val="0"/>
              <w:jc w:val="center"/>
              <w:rPr>
                <w:rFonts w:ascii="仿宋_GB2312" w:hAnsi="仿宋_GB2312" w:eastAsia="仿宋_GB2312" w:cs="仿宋_GB2312"/>
                <w:color w:val="000000"/>
                <w:sz w:val="21"/>
                <w:szCs w:val="21"/>
              </w:rPr>
            </w:pPr>
          </w:p>
        </w:tc>
        <w:tc>
          <w:tcPr>
            <w:tcW w:w="1098"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3531"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730"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特别严重</w:t>
            </w:r>
          </w:p>
        </w:tc>
        <w:tc>
          <w:tcPr>
            <w:tcW w:w="2378"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货值金额三万元以上</w:t>
            </w:r>
          </w:p>
        </w:tc>
        <w:tc>
          <w:tcPr>
            <w:tcW w:w="2105" w:type="dxa"/>
            <w:vMerge w:val="continue"/>
            <w:tcBorders>
              <w:tl2br w:val="nil"/>
              <w:tr2bl w:val="nil"/>
            </w:tcBorders>
            <w:noWrap/>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3737"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处一万二千元以上二万元以下罚款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3" w:hRule="atLeast"/>
          <w:jc w:val="center"/>
        </w:trPr>
        <w:tc>
          <w:tcPr>
            <w:tcW w:w="421" w:type="dxa"/>
            <w:vMerge w:val="restart"/>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23</w:t>
            </w:r>
          </w:p>
        </w:tc>
        <w:tc>
          <w:tcPr>
            <w:tcW w:w="1098" w:type="dxa"/>
            <w:vMerge w:val="restart"/>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未按规定建立、保存种子生产经营档案的</w:t>
            </w:r>
          </w:p>
        </w:tc>
        <w:tc>
          <w:tcPr>
            <w:tcW w:w="3531" w:type="dxa"/>
            <w:vMerge w:val="restart"/>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中华人民共和国种子法》第七十九条第（四）项“违反本法第三十六条、第三十八条、第三十九条、第四十条规定，有下列行为之一的，由县级以上人民政府农业农村、林业草原主管部门责令改正，处二千元以上二万元以下罚款：                           （四）未按规定建立、保存种子生产经营档案的；”</w:t>
            </w:r>
          </w:p>
        </w:tc>
        <w:tc>
          <w:tcPr>
            <w:tcW w:w="730"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较轻</w:t>
            </w:r>
          </w:p>
        </w:tc>
        <w:tc>
          <w:tcPr>
            <w:tcW w:w="2378"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档案记录不全</w:t>
            </w:r>
          </w:p>
        </w:tc>
        <w:tc>
          <w:tcPr>
            <w:tcW w:w="2105" w:type="dxa"/>
            <w:vMerge w:val="restart"/>
            <w:tcBorders>
              <w:tl2br w:val="nil"/>
              <w:tr2bl w:val="nil"/>
            </w:tcBorders>
            <w:noWrap/>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责令改正</w:t>
            </w:r>
          </w:p>
        </w:tc>
        <w:tc>
          <w:tcPr>
            <w:tcW w:w="3737"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处两千元以上一万元以下罚款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46" w:hRule="atLeast"/>
          <w:jc w:val="center"/>
        </w:trPr>
        <w:tc>
          <w:tcPr>
            <w:tcW w:w="421" w:type="dxa"/>
            <w:vMerge w:val="continue"/>
            <w:tcBorders>
              <w:tl2br w:val="nil"/>
              <w:tr2bl w:val="nil"/>
            </w:tcBorders>
            <w:tcMar>
              <w:top w:w="57" w:type="dxa"/>
              <w:left w:w="57" w:type="dxa"/>
              <w:bottom w:w="57" w:type="dxa"/>
              <w:right w:w="57" w:type="dxa"/>
            </w:tcMar>
            <w:vAlign w:val="center"/>
          </w:tcPr>
          <w:p>
            <w:pPr>
              <w:adjustRightInd w:val="0"/>
              <w:snapToGrid w:val="0"/>
              <w:jc w:val="center"/>
              <w:rPr>
                <w:rFonts w:ascii="仿宋_GB2312" w:hAnsi="仿宋_GB2312" w:eastAsia="仿宋_GB2312" w:cs="仿宋_GB2312"/>
                <w:color w:val="000000"/>
                <w:sz w:val="21"/>
                <w:szCs w:val="21"/>
              </w:rPr>
            </w:pPr>
          </w:p>
        </w:tc>
        <w:tc>
          <w:tcPr>
            <w:tcW w:w="1098"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3531"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730"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较重</w:t>
            </w:r>
          </w:p>
        </w:tc>
        <w:tc>
          <w:tcPr>
            <w:tcW w:w="2378"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 xml:space="preserve">未建立、保存档案 </w:t>
            </w:r>
          </w:p>
        </w:tc>
        <w:tc>
          <w:tcPr>
            <w:tcW w:w="2105" w:type="dxa"/>
            <w:vMerge w:val="continue"/>
            <w:tcBorders>
              <w:tl2br w:val="nil"/>
              <w:tr2bl w:val="nil"/>
            </w:tcBorders>
            <w:noWrap/>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3737"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处一万元以上二万元以下罚款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07" w:hRule="atLeast"/>
          <w:jc w:val="center"/>
        </w:trPr>
        <w:tc>
          <w:tcPr>
            <w:tcW w:w="421" w:type="dxa"/>
            <w:vMerge w:val="restart"/>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24</w:t>
            </w:r>
          </w:p>
        </w:tc>
        <w:tc>
          <w:tcPr>
            <w:tcW w:w="1098" w:type="dxa"/>
            <w:vMerge w:val="restart"/>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种子生产经营者在异地设立分支机构、专门经营不再分装的包装种子或者受委托生产、代销种子，未按规定备案的</w:t>
            </w:r>
          </w:p>
        </w:tc>
        <w:tc>
          <w:tcPr>
            <w:tcW w:w="3531" w:type="dxa"/>
            <w:vMerge w:val="restart"/>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中华人民共和国种子法》第七十九条第（五）项“违反本法第三十六条、第三十八条、第三十九条、第四十条规定，有下列行为之一的，由县级以上人民政府农业农村、林业草原主管部门责令改正，处二千元以上二万元以下罚款：                           （五）种子生产经营者在异地设立分支机构、专门经营不再分装的包装种子或者受委托生产、代销种子，未按规定备案的。”</w:t>
            </w:r>
          </w:p>
        </w:tc>
        <w:tc>
          <w:tcPr>
            <w:tcW w:w="730"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较轻</w:t>
            </w:r>
          </w:p>
        </w:tc>
        <w:tc>
          <w:tcPr>
            <w:tcW w:w="2378"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备案信息不全</w:t>
            </w:r>
          </w:p>
        </w:tc>
        <w:tc>
          <w:tcPr>
            <w:tcW w:w="2105" w:type="dxa"/>
            <w:vMerge w:val="restart"/>
            <w:tcBorders>
              <w:tl2br w:val="nil"/>
              <w:tr2bl w:val="nil"/>
            </w:tcBorders>
            <w:noWrap/>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责令改正</w:t>
            </w:r>
          </w:p>
        </w:tc>
        <w:tc>
          <w:tcPr>
            <w:tcW w:w="3737"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处两千元以上一万元以下罚款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24" w:hRule="atLeast"/>
          <w:jc w:val="center"/>
        </w:trPr>
        <w:tc>
          <w:tcPr>
            <w:tcW w:w="421" w:type="dxa"/>
            <w:vMerge w:val="continue"/>
            <w:tcBorders>
              <w:tl2br w:val="nil"/>
              <w:tr2bl w:val="nil"/>
            </w:tcBorders>
            <w:tcMar>
              <w:top w:w="57" w:type="dxa"/>
              <w:left w:w="57" w:type="dxa"/>
              <w:bottom w:w="57" w:type="dxa"/>
              <w:right w:w="57" w:type="dxa"/>
            </w:tcMar>
            <w:vAlign w:val="center"/>
          </w:tcPr>
          <w:p>
            <w:pPr>
              <w:adjustRightInd w:val="0"/>
              <w:snapToGrid w:val="0"/>
              <w:jc w:val="center"/>
              <w:rPr>
                <w:rFonts w:ascii="仿宋_GB2312" w:hAnsi="仿宋_GB2312" w:eastAsia="仿宋_GB2312" w:cs="仿宋_GB2312"/>
                <w:color w:val="000000"/>
                <w:sz w:val="21"/>
                <w:szCs w:val="21"/>
              </w:rPr>
            </w:pPr>
          </w:p>
        </w:tc>
        <w:tc>
          <w:tcPr>
            <w:tcW w:w="1098"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3531"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730"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较重</w:t>
            </w:r>
          </w:p>
        </w:tc>
        <w:tc>
          <w:tcPr>
            <w:tcW w:w="2378"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未备案</w:t>
            </w:r>
          </w:p>
        </w:tc>
        <w:tc>
          <w:tcPr>
            <w:tcW w:w="2105" w:type="dxa"/>
            <w:vMerge w:val="continue"/>
            <w:tcBorders>
              <w:tl2br w:val="nil"/>
              <w:tr2bl w:val="nil"/>
            </w:tcBorders>
            <w:noWrap/>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3737"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处一万元以上二万元以下罚款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2" w:hRule="atLeast"/>
          <w:jc w:val="center"/>
        </w:trPr>
        <w:tc>
          <w:tcPr>
            <w:tcW w:w="421" w:type="dxa"/>
            <w:vMerge w:val="restart"/>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25</w:t>
            </w:r>
          </w:p>
        </w:tc>
        <w:tc>
          <w:tcPr>
            <w:tcW w:w="1098" w:type="dxa"/>
            <w:vMerge w:val="restart"/>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侵占、破坏种质资源，私自采集或者采伐国家重点保护的天然种质资源的</w:t>
            </w:r>
          </w:p>
        </w:tc>
        <w:tc>
          <w:tcPr>
            <w:tcW w:w="3531" w:type="dxa"/>
            <w:vMerge w:val="restart"/>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中华人民共和国种子法》第八十条“违反本法第八条规定，侵占、破坏种质资源，私自采集或者采伐国家重点保护的天然种质资源的，由县级以上人民政府农业农村、林业草原主管部门责令停止违法行为，没收种质资源和违法所得，并处五千元以上五万元以下罚款；造成损失的，依法承担赔偿责任。”</w:t>
            </w:r>
          </w:p>
        </w:tc>
        <w:tc>
          <w:tcPr>
            <w:tcW w:w="730"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较轻</w:t>
            </w:r>
          </w:p>
        </w:tc>
        <w:tc>
          <w:tcPr>
            <w:tcW w:w="2378"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侵占、破坏种质资源，私自采集或者采伐国家重点保护的天然种质资源，可以恢复</w:t>
            </w:r>
          </w:p>
        </w:tc>
        <w:tc>
          <w:tcPr>
            <w:tcW w:w="2105" w:type="dxa"/>
            <w:vMerge w:val="restart"/>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责令停止违法行为，没收种质资源和违法所得，造成损失的，依法承担赔偿责任</w:t>
            </w:r>
          </w:p>
        </w:tc>
        <w:tc>
          <w:tcPr>
            <w:tcW w:w="3737"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并处五千元以上二万元以下罚款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3" w:hRule="atLeast"/>
          <w:jc w:val="center"/>
        </w:trPr>
        <w:tc>
          <w:tcPr>
            <w:tcW w:w="421" w:type="dxa"/>
            <w:vMerge w:val="continue"/>
            <w:tcBorders>
              <w:tl2br w:val="nil"/>
              <w:tr2bl w:val="nil"/>
            </w:tcBorders>
            <w:tcMar>
              <w:top w:w="57" w:type="dxa"/>
              <w:left w:w="57" w:type="dxa"/>
              <w:bottom w:w="57" w:type="dxa"/>
              <w:right w:w="57" w:type="dxa"/>
            </w:tcMar>
            <w:vAlign w:val="center"/>
          </w:tcPr>
          <w:p>
            <w:pPr>
              <w:adjustRightInd w:val="0"/>
              <w:snapToGrid w:val="0"/>
              <w:jc w:val="center"/>
              <w:rPr>
                <w:rFonts w:ascii="仿宋_GB2312" w:hAnsi="仿宋_GB2312" w:eastAsia="仿宋_GB2312" w:cs="仿宋_GB2312"/>
                <w:color w:val="000000"/>
                <w:sz w:val="21"/>
                <w:szCs w:val="21"/>
              </w:rPr>
            </w:pPr>
          </w:p>
        </w:tc>
        <w:tc>
          <w:tcPr>
            <w:tcW w:w="1098"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3531"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730"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一般</w:t>
            </w:r>
          </w:p>
        </w:tc>
        <w:tc>
          <w:tcPr>
            <w:tcW w:w="2378"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侵占、破坏种质资源，私自采集或者采伐国家重点保护的天然种质资源，较难恢复</w:t>
            </w:r>
          </w:p>
        </w:tc>
        <w:tc>
          <w:tcPr>
            <w:tcW w:w="2105"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3737"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并处二万元以上四万元以下罚款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3" w:hRule="atLeast"/>
          <w:jc w:val="center"/>
        </w:trPr>
        <w:tc>
          <w:tcPr>
            <w:tcW w:w="421" w:type="dxa"/>
            <w:vMerge w:val="continue"/>
            <w:tcBorders>
              <w:tl2br w:val="nil"/>
              <w:tr2bl w:val="nil"/>
            </w:tcBorders>
            <w:tcMar>
              <w:top w:w="57" w:type="dxa"/>
              <w:left w:w="57" w:type="dxa"/>
              <w:bottom w:w="57" w:type="dxa"/>
              <w:right w:w="57" w:type="dxa"/>
            </w:tcMar>
            <w:vAlign w:val="center"/>
          </w:tcPr>
          <w:p>
            <w:pPr>
              <w:adjustRightInd w:val="0"/>
              <w:snapToGrid w:val="0"/>
              <w:jc w:val="center"/>
              <w:rPr>
                <w:rFonts w:ascii="仿宋_GB2312" w:hAnsi="仿宋_GB2312" w:eastAsia="仿宋_GB2312" w:cs="仿宋_GB2312"/>
                <w:color w:val="000000"/>
                <w:sz w:val="21"/>
                <w:szCs w:val="21"/>
              </w:rPr>
            </w:pPr>
          </w:p>
        </w:tc>
        <w:tc>
          <w:tcPr>
            <w:tcW w:w="1098"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3531"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730"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严重</w:t>
            </w:r>
          </w:p>
        </w:tc>
        <w:tc>
          <w:tcPr>
            <w:tcW w:w="2378"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侵占、破坏种质资源，私自采集或者采伐国家重点保护的天然种质资源，无法恢复</w:t>
            </w:r>
          </w:p>
        </w:tc>
        <w:tc>
          <w:tcPr>
            <w:tcW w:w="2105"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3737"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并处四万元以上五万元以下罚款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3" w:hRule="atLeast"/>
          <w:jc w:val="center"/>
        </w:trPr>
        <w:tc>
          <w:tcPr>
            <w:tcW w:w="421" w:type="dxa"/>
            <w:vMerge w:val="restart"/>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26</w:t>
            </w:r>
          </w:p>
        </w:tc>
        <w:tc>
          <w:tcPr>
            <w:tcW w:w="1098" w:type="dxa"/>
            <w:vMerge w:val="restart"/>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向境外提供或者从境外引进种质资源，或者与境外机构、个人开展合作研究利用种质资源的</w:t>
            </w:r>
          </w:p>
        </w:tc>
        <w:tc>
          <w:tcPr>
            <w:tcW w:w="3531" w:type="dxa"/>
            <w:vMerge w:val="restart"/>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中华人民共和国种子法》第八十一条第一款“违反本法第十一条规定，向境外提供或者从境外引进种质资源，或者与境外机构、个人开展合作研究利用种质资源的，由国务院或者省、自治区、直辖市人民政府的农业农村、林业草原主管部门没收种质资源和违法所得，并处二万元以上二十万元以下罚款。”</w:t>
            </w:r>
          </w:p>
        </w:tc>
        <w:tc>
          <w:tcPr>
            <w:tcW w:w="730"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较轻</w:t>
            </w:r>
          </w:p>
        </w:tc>
        <w:tc>
          <w:tcPr>
            <w:tcW w:w="2378"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初次违法，只涉及1种种子</w:t>
            </w:r>
          </w:p>
        </w:tc>
        <w:tc>
          <w:tcPr>
            <w:tcW w:w="2105" w:type="dxa"/>
            <w:vMerge w:val="restart"/>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没收种质资源和违法所得</w:t>
            </w:r>
          </w:p>
        </w:tc>
        <w:tc>
          <w:tcPr>
            <w:tcW w:w="3737"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并处二万元以上六万元以下罚款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71" w:hRule="atLeast"/>
          <w:jc w:val="center"/>
        </w:trPr>
        <w:tc>
          <w:tcPr>
            <w:tcW w:w="421" w:type="dxa"/>
            <w:vMerge w:val="continue"/>
            <w:tcBorders>
              <w:tl2br w:val="nil"/>
              <w:tr2bl w:val="nil"/>
            </w:tcBorders>
            <w:tcMar>
              <w:top w:w="57" w:type="dxa"/>
              <w:left w:w="57" w:type="dxa"/>
              <w:bottom w:w="57" w:type="dxa"/>
              <w:right w:w="57" w:type="dxa"/>
            </w:tcMar>
            <w:vAlign w:val="center"/>
          </w:tcPr>
          <w:p>
            <w:pPr>
              <w:adjustRightInd w:val="0"/>
              <w:snapToGrid w:val="0"/>
              <w:jc w:val="center"/>
              <w:rPr>
                <w:rFonts w:ascii="仿宋_GB2312" w:hAnsi="仿宋_GB2312" w:eastAsia="仿宋_GB2312" w:cs="仿宋_GB2312"/>
                <w:color w:val="000000"/>
                <w:sz w:val="21"/>
                <w:szCs w:val="21"/>
              </w:rPr>
            </w:pPr>
          </w:p>
        </w:tc>
        <w:tc>
          <w:tcPr>
            <w:tcW w:w="1098"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3531"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730"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一般</w:t>
            </w:r>
          </w:p>
        </w:tc>
        <w:tc>
          <w:tcPr>
            <w:tcW w:w="2378"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再次违法或涉及的种子在2种以上到5种以下</w:t>
            </w:r>
          </w:p>
        </w:tc>
        <w:tc>
          <w:tcPr>
            <w:tcW w:w="2105"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3737"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并处六万元以上十五万元以下罚款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6" w:hRule="atLeast"/>
          <w:jc w:val="center"/>
        </w:trPr>
        <w:tc>
          <w:tcPr>
            <w:tcW w:w="421" w:type="dxa"/>
            <w:vMerge w:val="continue"/>
            <w:tcBorders>
              <w:tl2br w:val="nil"/>
              <w:tr2bl w:val="nil"/>
            </w:tcBorders>
            <w:tcMar>
              <w:top w:w="57" w:type="dxa"/>
              <w:left w:w="57" w:type="dxa"/>
              <w:bottom w:w="57" w:type="dxa"/>
              <w:right w:w="57" w:type="dxa"/>
            </w:tcMar>
            <w:vAlign w:val="center"/>
          </w:tcPr>
          <w:p>
            <w:pPr>
              <w:adjustRightInd w:val="0"/>
              <w:snapToGrid w:val="0"/>
              <w:jc w:val="center"/>
              <w:rPr>
                <w:rFonts w:ascii="仿宋_GB2312" w:hAnsi="仿宋_GB2312" w:eastAsia="仿宋_GB2312" w:cs="仿宋_GB2312"/>
                <w:color w:val="000000"/>
                <w:sz w:val="21"/>
                <w:szCs w:val="21"/>
              </w:rPr>
            </w:pPr>
          </w:p>
        </w:tc>
        <w:tc>
          <w:tcPr>
            <w:tcW w:w="1098"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3531"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730"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严重</w:t>
            </w:r>
          </w:p>
        </w:tc>
        <w:tc>
          <w:tcPr>
            <w:tcW w:w="2378"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三次以上违法或涉及种子5种以上</w:t>
            </w:r>
          </w:p>
        </w:tc>
        <w:tc>
          <w:tcPr>
            <w:tcW w:w="2105"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3737"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并处十五万元以上二十万元以下罚款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9" w:hRule="atLeast"/>
          <w:jc w:val="center"/>
        </w:trPr>
        <w:tc>
          <w:tcPr>
            <w:tcW w:w="421" w:type="dxa"/>
            <w:vMerge w:val="restart"/>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27</w:t>
            </w:r>
          </w:p>
        </w:tc>
        <w:tc>
          <w:tcPr>
            <w:tcW w:w="1098" w:type="dxa"/>
            <w:vMerge w:val="restart"/>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种子企业有造假行为的</w:t>
            </w:r>
          </w:p>
        </w:tc>
        <w:tc>
          <w:tcPr>
            <w:tcW w:w="3531" w:type="dxa"/>
            <w:vMerge w:val="restart"/>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中华人民共和国种子法》第八十三条“违反本法第十七条规定，种子企业有造假行为的，由省级以上人民政府农业农村、林业草原主管部门处一百万元以上五百万元以下罚款；不得再依照本法第十七条的规定申请品种审定；给种子使用者和其他种子生产经营者造成损失的，依法承担赔偿责任。”</w:t>
            </w:r>
          </w:p>
        </w:tc>
        <w:tc>
          <w:tcPr>
            <w:tcW w:w="730"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较轻</w:t>
            </w:r>
          </w:p>
        </w:tc>
        <w:tc>
          <w:tcPr>
            <w:tcW w:w="2378"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一个生育周期的试验数据造假</w:t>
            </w:r>
          </w:p>
        </w:tc>
        <w:tc>
          <w:tcPr>
            <w:tcW w:w="2105" w:type="dxa"/>
            <w:vMerge w:val="restart"/>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不得再依照《中华人民共和国种子法》第十七条的规定申请品种审定，给种子使用者和其他种子生产经营者造成损失的，依法承担赔偿责任</w:t>
            </w:r>
          </w:p>
        </w:tc>
        <w:tc>
          <w:tcPr>
            <w:tcW w:w="3737"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处一百万元以上二百万元以下罚款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8" w:hRule="atLeast"/>
          <w:jc w:val="center"/>
        </w:trPr>
        <w:tc>
          <w:tcPr>
            <w:tcW w:w="421" w:type="dxa"/>
            <w:vMerge w:val="continue"/>
            <w:tcBorders>
              <w:tl2br w:val="nil"/>
              <w:tr2bl w:val="nil"/>
            </w:tcBorders>
            <w:tcMar>
              <w:top w:w="57" w:type="dxa"/>
              <w:left w:w="57" w:type="dxa"/>
              <w:bottom w:w="57" w:type="dxa"/>
              <w:right w:w="57" w:type="dxa"/>
            </w:tcMar>
            <w:vAlign w:val="center"/>
          </w:tcPr>
          <w:p>
            <w:pPr>
              <w:adjustRightInd w:val="0"/>
              <w:snapToGrid w:val="0"/>
              <w:jc w:val="center"/>
              <w:rPr>
                <w:rFonts w:ascii="仿宋_GB2312" w:hAnsi="仿宋_GB2312" w:eastAsia="仿宋_GB2312" w:cs="仿宋_GB2312"/>
                <w:color w:val="000000"/>
                <w:sz w:val="21"/>
                <w:szCs w:val="21"/>
              </w:rPr>
            </w:pPr>
          </w:p>
        </w:tc>
        <w:tc>
          <w:tcPr>
            <w:tcW w:w="1098"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3531"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730"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一般</w:t>
            </w:r>
          </w:p>
        </w:tc>
        <w:tc>
          <w:tcPr>
            <w:tcW w:w="2378"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二个生育周期的试验数据造假</w:t>
            </w:r>
          </w:p>
        </w:tc>
        <w:tc>
          <w:tcPr>
            <w:tcW w:w="2105"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3737"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处二百万元以上三百万元以下罚款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7" w:hRule="atLeast"/>
          <w:jc w:val="center"/>
        </w:trPr>
        <w:tc>
          <w:tcPr>
            <w:tcW w:w="421" w:type="dxa"/>
            <w:vMerge w:val="continue"/>
            <w:tcBorders>
              <w:tl2br w:val="nil"/>
              <w:tr2bl w:val="nil"/>
            </w:tcBorders>
            <w:tcMar>
              <w:top w:w="57" w:type="dxa"/>
              <w:left w:w="57" w:type="dxa"/>
              <w:bottom w:w="57" w:type="dxa"/>
              <w:right w:w="57" w:type="dxa"/>
            </w:tcMar>
            <w:vAlign w:val="center"/>
          </w:tcPr>
          <w:p>
            <w:pPr>
              <w:adjustRightInd w:val="0"/>
              <w:snapToGrid w:val="0"/>
              <w:jc w:val="center"/>
              <w:rPr>
                <w:rFonts w:ascii="仿宋_GB2312" w:hAnsi="仿宋_GB2312" w:eastAsia="仿宋_GB2312" w:cs="仿宋_GB2312"/>
                <w:color w:val="000000"/>
                <w:sz w:val="21"/>
                <w:szCs w:val="21"/>
              </w:rPr>
            </w:pPr>
          </w:p>
        </w:tc>
        <w:tc>
          <w:tcPr>
            <w:tcW w:w="1098"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3531"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730"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较重</w:t>
            </w:r>
          </w:p>
        </w:tc>
        <w:tc>
          <w:tcPr>
            <w:tcW w:w="2378"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三个以上生育周期的试验数据造假</w:t>
            </w:r>
          </w:p>
        </w:tc>
        <w:tc>
          <w:tcPr>
            <w:tcW w:w="2105"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3737"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处三百万元以上五百万元以下罚款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jc w:val="center"/>
        </w:trPr>
        <w:tc>
          <w:tcPr>
            <w:tcW w:w="421" w:type="dxa"/>
            <w:vMerge w:val="restart"/>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28</w:t>
            </w:r>
          </w:p>
        </w:tc>
        <w:tc>
          <w:tcPr>
            <w:tcW w:w="1098" w:type="dxa"/>
            <w:vMerge w:val="restart"/>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在种子生产基地进行检疫性有害生物接种试验的</w:t>
            </w:r>
          </w:p>
        </w:tc>
        <w:tc>
          <w:tcPr>
            <w:tcW w:w="3531" w:type="dxa"/>
            <w:vMerge w:val="restart"/>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中华人民共和国种子法》第八十五条“违反本法第五十三条规定，在种子生产基地进行检疫性有害生物接种试验的，由县级以上人民政府农业农村、林业草原主管部门责令停止试验，处五千元以上五万元以下罚款。”</w:t>
            </w:r>
          </w:p>
        </w:tc>
        <w:tc>
          <w:tcPr>
            <w:tcW w:w="730"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较轻</w:t>
            </w:r>
          </w:p>
        </w:tc>
        <w:tc>
          <w:tcPr>
            <w:tcW w:w="2378"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接种面积在0.1亩以下，且未造成后果</w:t>
            </w:r>
          </w:p>
        </w:tc>
        <w:tc>
          <w:tcPr>
            <w:tcW w:w="2105" w:type="dxa"/>
            <w:vMerge w:val="restart"/>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责令停止试验</w:t>
            </w:r>
          </w:p>
        </w:tc>
        <w:tc>
          <w:tcPr>
            <w:tcW w:w="3737"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处五千元以上一万元以下罚款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4" w:hRule="atLeast"/>
          <w:jc w:val="center"/>
        </w:trPr>
        <w:tc>
          <w:tcPr>
            <w:tcW w:w="421" w:type="dxa"/>
            <w:vMerge w:val="continue"/>
            <w:tcBorders>
              <w:tl2br w:val="nil"/>
              <w:tr2bl w:val="nil"/>
            </w:tcBorders>
            <w:tcMar>
              <w:top w:w="57" w:type="dxa"/>
              <w:left w:w="57" w:type="dxa"/>
              <w:bottom w:w="57" w:type="dxa"/>
              <w:right w:w="57" w:type="dxa"/>
            </w:tcMar>
            <w:vAlign w:val="center"/>
          </w:tcPr>
          <w:p>
            <w:pPr>
              <w:adjustRightInd w:val="0"/>
              <w:snapToGrid w:val="0"/>
              <w:jc w:val="center"/>
              <w:rPr>
                <w:rFonts w:ascii="仿宋_GB2312" w:hAnsi="仿宋_GB2312" w:eastAsia="仿宋_GB2312" w:cs="仿宋_GB2312"/>
                <w:color w:val="000000"/>
                <w:sz w:val="21"/>
                <w:szCs w:val="21"/>
              </w:rPr>
            </w:pPr>
          </w:p>
        </w:tc>
        <w:tc>
          <w:tcPr>
            <w:tcW w:w="1098"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3531"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730"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一般</w:t>
            </w:r>
          </w:p>
        </w:tc>
        <w:tc>
          <w:tcPr>
            <w:tcW w:w="2378"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接种面积在0.1亩以上0.5亩以下，且未造成后果</w:t>
            </w:r>
          </w:p>
        </w:tc>
        <w:tc>
          <w:tcPr>
            <w:tcW w:w="2105"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3737"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处一万元以上二万元以下罚款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jc w:val="center"/>
        </w:trPr>
        <w:tc>
          <w:tcPr>
            <w:tcW w:w="421" w:type="dxa"/>
            <w:vMerge w:val="continue"/>
            <w:tcBorders>
              <w:tl2br w:val="nil"/>
              <w:tr2bl w:val="nil"/>
            </w:tcBorders>
            <w:tcMar>
              <w:top w:w="57" w:type="dxa"/>
              <w:left w:w="57" w:type="dxa"/>
              <w:bottom w:w="57" w:type="dxa"/>
              <w:right w:w="57" w:type="dxa"/>
            </w:tcMar>
            <w:vAlign w:val="center"/>
          </w:tcPr>
          <w:p>
            <w:pPr>
              <w:adjustRightInd w:val="0"/>
              <w:snapToGrid w:val="0"/>
              <w:jc w:val="center"/>
              <w:rPr>
                <w:rFonts w:ascii="仿宋_GB2312" w:hAnsi="仿宋_GB2312" w:eastAsia="仿宋_GB2312" w:cs="仿宋_GB2312"/>
                <w:color w:val="000000"/>
                <w:sz w:val="21"/>
                <w:szCs w:val="21"/>
              </w:rPr>
            </w:pPr>
          </w:p>
        </w:tc>
        <w:tc>
          <w:tcPr>
            <w:tcW w:w="1098"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3531"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730"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较重</w:t>
            </w:r>
          </w:p>
        </w:tc>
        <w:tc>
          <w:tcPr>
            <w:tcW w:w="2378"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接种面积在0.1亩以下，已造成后果</w:t>
            </w:r>
          </w:p>
        </w:tc>
        <w:tc>
          <w:tcPr>
            <w:tcW w:w="2105"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3737"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处二万元以上三万元以下罚款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1" w:hRule="atLeast"/>
          <w:jc w:val="center"/>
        </w:trPr>
        <w:tc>
          <w:tcPr>
            <w:tcW w:w="421" w:type="dxa"/>
            <w:vMerge w:val="continue"/>
            <w:tcBorders>
              <w:tl2br w:val="nil"/>
              <w:tr2bl w:val="nil"/>
            </w:tcBorders>
            <w:tcMar>
              <w:top w:w="57" w:type="dxa"/>
              <w:left w:w="57" w:type="dxa"/>
              <w:bottom w:w="57" w:type="dxa"/>
              <w:right w:w="57" w:type="dxa"/>
            </w:tcMar>
            <w:vAlign w:val="center"/>
          </w:tcPr>
          <w:p>
            <w:pPr>
              <w:adjustRightInd w:val="0"/>
              <w:snapToGrid w:val="0"/>
              <w:jc w:val="center"/>
              <w:rPr>
                <w:rFonts w:ascii="仿宋_GB2312" w:hAnsi="仿宋_GB2312" w:eastAsia="仿宋_GB2312" w:cs="仿宋_GB2312"/>
                <w:color w:val="000000"/>
                <w:sz w:val="21"/>
                <w:szCs w:val="21"/>
              </w:rPr>
            </w:pPr>
          </w:p>
        </w:tc>
        <w:tc>
          <w:tcPr>
            <w:tcW w:w="1098"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3531"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730"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严重</w:t>
            </w:r>
          </w:p>
        </w:tc>
        <w:tc>
          <w:tcPr>
            <w:tcW w:w="2378"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接种面积在0.1亩以上0.5亩以下，已造成后果</w:t>
            </w:r>
          </w:p>
        </w:tc>
        <w:tc>
          <w:tcPr>
            <w:tcW w:w="2105"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3737"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处三万元以上四万元以下罚款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jc w:val="center"/>
        </w:trPr>
        <w:tc>
          <w:tcPr>
            <w:tcW w:w="421" w:type="dxa"/>
            <w:vMerge w:val="continue"/>
            <w:tcBorders>
              <w:tl2br w:val="nil"/>
              <w:tr2bl w:val="nil"/>
            </w:tcBorders>
            <w:tcMar>
              <w:top w:w="57" w:type="dxa"/>
              <w:left w:w="57" w:type="dxa"/>
              <w:bottom w:w="57" w:type="dxa"/>
              <w:right w:w="57" w:type="dxa"/>
            </w:tcMar>
            <w:vAlign w:val="center"/>
          </w:tcPr>
          <w:p>
            <w:pPr>
              <w:adjustRightInd w:val="0"/>
              <w:snapToGrid w:val="0"/>
              <w:jc w:val="center"/>
              <w:rPr>
                <w:rFonts w:ascii="仿宋_GB2312" w:hAnsi="仿宋_GB2312" w:eastAsia="仿宋_GB2312" w:cs="仿宋_GB2312"/>
                <w:color w:val="000000"/>
                <w:sz w:val="21"/>
                <w:szCs w:val="21"/>
              </w:rPr>
            </w:pPr>
          </w:p>
        </w:tc>
        <w:tc>
          <w:tcPr>
            <w:tcW w:w="1098"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3531"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730"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特别严重</w:t>
            </w:r>
          </w:p>
        </w:tc>
        <w:tc>
          <w:tcPr>
            <w:tcW w:w="2378"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接种面积在0.5亩以上</w:t>
            </w:r>
          </w:p>
        </w:tc>
        <w:tc>
          <w:tcPr>
            <w:tcW w:w="2105"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3737"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处四万元以上五万元以下罚款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02" w:hRule="atLeast"/>
          <w:jc w:val="center"/>
        </w:trPr>
        <w:tc>
          <w:tcPr>
            <w:tcW w:w="421" w:type="dxa"/>
            <w:vMerge w:val="restart"/>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29</w:t>
            </w:r>
          </w:p>
        </w:tc>
        <w:tc>
          <w:tcPr>
            <w:tcW w:w="1098" w:type="dxa"/>
            <w:vMerge w:val="restart"/>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拒绝、阻挠监督检查的</w:t>
            </w:r>
          </w:p>
        </w:tc>
        <w:tc>
          <w:tcPr>
            <w:tcW w:w="3531" w:type="dxa"/>
            <w:vMerge w:val="restart"/>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中华人民共和国种子法》第八十六条“违反本法第四十九条规定，拒绝、阻挠农业农村、林业草原主管部门依法实施监督检查的，处二千元以上五万元以下罚款，可以责令停产停业整顿；构成违反治安管理行为的，由公安机关依法给予治安管理处罚。”</w:t>
            </w:r>
          </w:p>
        </w:tc>
        <w:tc>
          <w:tcPr>
            <w:tcW w:w="730"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较轻</w:t>
            </w:r>
          </w:p>
        </w:tc>
        <w:tc>
          <w:tcPr>
            <w:tcW w:w="2378"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生产经营者不按照农业执法人员依法要求提供相关手续、不配合监督检查、取样、取证等工作的</w:t>
            </w:r>
          </w:p>
        </w:tc>
        <w:tc>
          <w:tcPr>
            <w:tcW w:w="2105" w:type="dxa"/>
            <w:vMerge w:val="restart"/>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 xml:space="preserve"> 可以责令停产停业整顿</w:t>
            </w:r>
          </w:p>
        </w:tc>
        <w:tc>
          <w:tcPr>
            <w:tcW w:w="3737"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 xml:space="preserve">处二千元以上一万元以下罚款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05" w:hRule="atLeast"/>
          <w:jc w:val="center"/>
        </w:trPr>
        <w:tc>
          <w:tcPr>
            <w:tcW w:w="421" w:type="dxa"/>
            <w:vMerge w:val="continue"/>
            <w:tcBorders>
              <w:tl2br w:val="nil"/>
              <w:tr2bl w:val="nil"/>
            </w:tcBorders>
            <w:tcMar>
              <w:top w:w="57" w:type="dxa"/>
              <w:left w:w="57" w:type="dxa"/>
              <w:bottom w:w="57" w:type="dxa"/>
              <w:right w:w="57" w:type="dxa"/>
            </w:tcMar>
            <w:vAlign w:val="center"/>
          </w:tcPr>
          <w:p>
            <w:pPr>
              <w:adjustRightInd w:val="0"/>
              <w:snapToGrid w:val="0"/>
              <w:jc w:val="center"/>
              <w:rPr>
                <w:rFonts w:ascii="仿宋_GB2312" w:hAnsi="仿宋_GB2312" w:eastAsia="仿宋_GB2312" w:cs="仿宋_GB2312"/>
                <w:color w:val="000000"/>
                <w:sz w:val="21"/>
                <w:szCs w:val="21"/>
              </w:rPr>
            </w:pPr>
          </w:p>
        </w:tc>
        <w:tc>
          <w:tcPr>
            <w:tcW w:w="1098"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3531"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730"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一般</w:t>
            </w:r>
          </w:p>
        </w:tc>
        <w:tc>
          <w:tcPr>
            <w:tcW w:w="2378"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生产经营者以关闭生产经营场所、经营门店等方式，拒绝、阻挠农业执法人员依法实施监督检查的</w:t>
            </w:r>
          </w:p>
        </w:tc>
        <w:tc>
          <w:tcPr>
            <w:tcW w:w="2105"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3737"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 xml:space="preserve">处一万元以上三万元以下罚款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421" w:type="dxa"/>
            <w:vMerge w:val="continue"/>
            <w:tcBorders>
              <w:tl2br w:val="nil"/>
              <w:tr2bl w:val="nil"/>
            </w:tcBorders>
            <w:tcMar>
              <w:top w:w="57" w:type="dxa"/>
              <w:left w:w="57" w:type="dxa"/>
              <w:bottom w:w="57" w:type="dxa"/>
              <w:right w:w="57" w:type="dxa"/>
            </w:tcMar>
            <w:vAlign w:val="center"/>
          </w:tcPr>
          <w:p>
            <w:pPr>
              <w:adjustRightInd w:val="0"/>
              <w:snapToGrid w:val="0"/>
              <w:jc w:val="center"/>
              <w:rPr>
                <w:rFonts w:ascii="仿宋_GB2312" w:hAnsi="仿宋_GB2312" w:eastAsia="仿宋_GB2312" w:cs="仿宋_GB2312"/>
                <w:color w:val="000000"/>
                <w:sz w:val="21"/>
                <w:szCs w:val="21"/>
              </w:rPr>
            </w:pPr>
          </w:p>
        </w:tc>
        <w:tc>
          <w:tcPr>
            <w:tcW w:w="1098"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3531"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730"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严重</w:t>
            </w:r>
          </w:p>
        </w:tc>
        <w:tc>
          <w:tcPr>
            <w:tcW w:w="2378"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生产经营者以围堵、干涉等方式，拒绝、阻挠农业执法人员依法实施监督检查的</w:t>
            </w:r>
          </w:p>
        </w:tc>
        <w:tc>
          <w:tcPr>
            <w:tcW w:w="2105"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3737"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处三万元以上五万元以下罚款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9" w:hRule="atLeast"/>
          <w:jc w:val="center"/>
        </w:trPr>
        <w:tc>
          <w:tcPr>
            <w:tcW w:w="421" w:type="dxa"/>
            <w:vMerge w:val="restart"/>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30</w:t>
            </w:r>
          </w:p>
        </w:tc>
        <w:tc>
          <w:tcPr>
            <w:tcW w:w="1098" w:type="dxa"/>
            <w:vMerge w:val="restart"/>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销售超过质量保证期的农作物种子的</w:t>
            </w:r>
          </w:p>
        </w:tc>
        <w:tc>
          <w:tcPr>
            <w:tcW w:w="3531" w:type="dxa"/>
            <w:vMerge w:val="restart"/>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山东省种子条例》第五十七条“违反本条例规定，销售超过质量保证期的农作物种子的，由县级以上人民政府农业农村主管部门责令停止销售，处违法销售产品货值金额二倍以下罚款；有违法所得的，没收违法所得;构成生产经营劣质种子行为的，依照有关法律、行政法规的规定处理。”</w:t>
            </w:r>
          </w:p>
        </w:tc>
        <w:tc>
          <w:tcPr>
            <w:tcW w:w="730"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较轻</w:t>
            </w:r>
          </w:p>
        </w:tc>
        <w:tc>
          <w:tcPr>
            <w:tcW w:w="2378"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货值金额三千元以下</w:t>
            </w:r>
          </w:p>
        </w:tc>
        <w:tc>
          <w:tcPr>
            <w:tcW w:w="2105" w:type="dxa"/>
            <w:vMerge w:val="restart"/>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责令停止销售，有违法所得的，没收违法所得</w:t>
            </w:r>
          </w:p>
        </w:tc>
        <w:tc>
          <w:tcPr>
            <w:tcW w:w="3737"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 xml:space="preserve">处货值金额一倍以下罚款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jc w:val="center"/>
        </w:trPr>
        <w:tc>
          <w:tcPr>
            <w:tcW w:w="421" w:type="dxa"/>
            <w:vMerge w:val="continue"/>
            <w:tcBorders>
              <w:tl2br w:val="nil"/>
              <w:tr2bl w:val="nil"/>
            </w:tcBorders>
            <w:tcMar>
              <w:top w:w="57" w:type="dxa"/>
              <w:left w:w="57" w:type="dxa"/>
              <w:bottom w:w="57" w:type="dxa"/>
              <w:right w:w="57" w:type="dxa"/>
            </w:tcMar>
            <w:vAlign w:val="center"/>
          </w:tcPr>
          <w:p>
            <w:pPr>
              <w:adjustRightInd w:val="0"/>
              <w:snapToGrid w:val="0"/>
              <w:jc w:val="center"/>
              <w:rPr>
                <w:rFonts w:ascii="仿宋_GB2312" w:hAnsi="仿宋_GB2312" w:eastAsia="仿宋_GB2312" w:cs="仿宋_GB2312"/>
                <w:color w:val="000000"/>
                <w:sz w:val="21"/>
                <w:szCs w:val="21"/>
              </w:rPr>
            </w:pPr>
          </w:p>
        </w:tc>
        <w:tc>
          <w:tcPr>
            <w:tcW w:w="1098"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3531"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730"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一般</w:t>
            </w:r>
          </w:p>
        </w:tc>
        <w:tc>
          <w:tcPr>
            <w:tcW w:w="2378"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货值金额三千元以上一万以下</w:t>
            </w:r>
          </w:p>
        </w:tc>
        <w:tc>
          <w:tcPr>
            <w:tcW w:w="2105"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3737"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处货值金额一倍以上一点五倍以下罚款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jc w:val="center"/>
        </w:trPr>
        <w:tc>
          <w:tcPr>
            <w:tcW w:w="421" w:type="dxa"/>
            <w:vMerge w:val="continue"/>
            <w:tcBorders>
              <w:tl2br w:val="nil"/>
              <w:tr2bl w:val="nil"/>
            </w:tcBorders>
            <w:tcMar>
              <w:top w:w="57" w:type="dxa"/>
              <w:left w:w="57" w:type="dxa"/>
              <w:bottom w:w="57" w:type="dxa"/>
              <w:right w:w="57" w:type="dxa"/>
            </w:tcMar>
            <w:vAlign w:val="center"/>
          </w:tcPr>
          <w:p>
            <w:pPr>
              <w:adjustRightInd w:val="0"/>
              <w:snapToGrid w:val="0"/>
              <w:jc w:val="center"/>
              <w:rPr>
                <w:rFonts w:ascii="仿宋_GB2312" w:hAnsi="仿宋_GB2312" w:eastAsia="仿宋_GB2312" w:cs="仿宋_GB2312"/>
                <w:color w:val="000000"/>
                <w:sz w:val="21"/>
                <w:szCs w:val="21"/>
              </w:rPr>
            </w:pPr>
          </w:p>
        </w:tc>
        <w:tc>
          <w:tcPr>
            <w:tcW w:w="1098"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3531"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730"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严重</w:t>
            </w:r>
          </w:p>
        </w:tc>
        <w:tc>
          <w:tcPr>
            <w:tcW w:w="2378"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货值金额一万元以上</w:t>
            </w:r>
          </w:p>
        </w:tc>
        <w:tc>
          <w:tcPr>
            <w:tcW w:w="2105"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3737"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处货值金额一点五倍以上二倍以下罚款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421" w:type="dxa"/>
            <w:vMerge w:val="restart"/>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31</w:t>
            </w:r>
          </w:p>
        </w:tc>
        <w:tc>
          <w:tcPr>
            <w:tcW w:w="1098" w:type="dxa"/>
            <w:vMerge w:val="restart"/>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销售种子未按照规定开具销售凭证的</w:t>
            </w:r>
          </w:p>
        </w:tc>
        <w:tc>
          <w:tcPr>
            <w:tcW w:w="3531" w:type="dxa"/>
            <w:vMerge w:val="restart"/>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《山东省种子条例》第五十八条“违反本条例规定，销售种子未按照规定开具销售凭证的，由县级以上人民政府农业农村、林业主管部门或者有关综合行政执法部门责令改正，处一千元以上一万元以下罚款。”</w:t>
            </w:r>
          </w:p>
        </w:tc>
        <w:tc>
          <w:tcPr>
            <w:tcW w:w="730"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较轻</w:t>
            </w:r>
          </w:p>
        </w:tc>
        <w:tc>
          <w:tcPr>
            <w:tcW w:w="2378"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初次违法</w:t>
            </w:r>
          </w:p>
        </w:tc>
        <w:tc>
          <w:tcPr>
            <w:tcW w:w="2105" w:type="dxa"/>
            <w:vMerge w:val="restart"/>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责令改正</w:t>
            </w:r>
          </w:p>
        </w:tc>
        <w:tc>
          <w:tcPr>
            <w:tcW w:w="3737"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 xml:space="preserve">处一千元以上二千元以下罚款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jc w:val="center"/>
        </w:trPr>
        <w:tc>
          <w:tcPr>
            <w:tcW w:w="421" w:type="dxa"/>
            <w:vMerge w:val="continue"/>
            <w:tcBorders>
              <w:tl2br w:val="nil"/>
              <w:tr2bl w:val="nil"/>
            </w:tcBorders>
            <w:tcMar>
              <w:top w:w="57" w:type="dxa"/>
              <w:left w:w="57" w:type="dxa"/>
              <w:bottom w:w="57" w:type="dxa"/>
              <w:right w:w="57" w:type="dxa"/>
            </w:tcMar>
            <w:vAlign w:val="center"/>
          </w:tcPr>
          <w:p>
            <w:pPr>
              <w:adjustRightInd w:val="0"/>
              <w:snapToGrid w:val="0"/>
              <w:jc w:val="center"/>
              <w:rPr>
                <w:rFonts w:ascii="仿宋_GB2312" w:hAnsi="仿宋_GB2312" w:eastAsia="仿宋_GB2312" w:cs="仿宋_GB2312"/>
                <w:color w:val="000000"/>
                <w:sz w:val="21"/>
                <w:szCs w:val="21"/>
              </w:rPr>
            </w:pPr>
          </w:p>
        </w:tc>
        <w:tc>
          <w:tcPr>
            <w:tcW w:w="1098"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3531"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730"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一般</w:t>
            </w:r>
          </w:p>
        </w:tc>
        <w:tc>
          <w:tcPr>
            <w:tcW w:w="2378"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再次违法</w:t>
            </w:r>
          </w:p>
        </w:tc>
        <w:tc>
          <w:tcPr>
            <w:tcW w:w="2105"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3737"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 xml:space="preserve">处二千元以上五千元以下罚款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6" w:hRule="atLeast"/>
          <w:jc w:val="center"/>
        </w:trPr>
        <w:tc>
          <w:tcPr>
            <w:tcW w:w="421" w:type="dxa"/>
            <w:vMerge w:val="continue"/>
            <w:tcBorders>
              <w:tl2br w:val="nil"/>
              <w:tr2bl w:val="nil"/>
            </w:tcBorders>
            <w:tcMar>
              <w:top w:w="57" w:type="dxa"/>
              <w:left w:w="57" w:type="dxa"/>
              <w:bottom w:w="57" w:type="dxa"/>
              <w:right w:w="57" w:type="dxa"/>
            </w:tcMar>
            <w:vAlign w:val="center"/>
          </w:tcPr>
          <w:p>
            <w:pPr>
              <w:adjustRightInd w:val="0"/>
              <w:snapToGrid w:val="0"/>
              <w:jc w:val="center"/>
              <w:rPr>
                <w:rFonts w:ascii="仿宋_GB2312" w:hAnsi="仿宋_GB2312" w:eastAsia="仿宋_GB2312" w:cs="仿宋_GB2312"/>
                <w:color w:val="000000"/>
                <w:sz w:val="21"/>
                <w:szCs w:val="21"/>
              </w:rPr>
            </w:pPr>
          </w:p>
        </w:tc>
        <w:tc>
          <w:tcPr>
            <w:tcW w:w="1098"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3531"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730"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严重</w:t>
            </w:r>
          </w:p>
        </w:tc>
        <w:tc>
          <w:tcPr>
            <w:tcW w:w="2378"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三次以上违法行为</w:t>
            </w:r>
          </w:p>
        </w:tc>
        <w:tc>
          <w:tcPr>
            <w:tcW w:w="2105"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3737"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处五千元以上一万元以下罚款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5" w:hRule="atLeast"/>
          <w:jc w:val="center"/>
        </w:trPr>
        <w:tc>
          <w:tcPr>
            <w:tcW w:w="421" w:type="dxa"/>
            <w:vMerge w:val="restart"/>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32</w:t>
            </w:r>
          </w:p>
        </w:tc>
        <w:tc>
          <w:tcPr>
            <w:tcW w:w="1098" w:type="dxa"/>
            <w:vMerge w:val="restart"/>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侵占种子科研和生产基地的</w:t>
            </w:r>
          </w:p>
        </w:tc>
        <w:tc>
          <w:tcPr>
            <w:tcW w:w="3531" w:type="dxa"/>
            <w:vMerge w:val="restart"/>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山东省种子条例》第五十九条“违反本条例规定，侵占种子科研和生产基地的，由县级以上人民政府农业农村、林业主管部门或者有关综合行政执法部门责令限期改正，处一万元以上十万元以下罚款；有违法所得的，没收违法所得；造成损失的，依法承担赔偿责任。”</w:t>
            </w:r>
          </w:p>
        </w:tc>
        <w:tc>
          <w:tcPr>
            <w:tcW w:w="730"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较轻</w:t>
            </w:r>
          </w:p>
        </w:tc>
        <w:tc>
          <w:tcPr>
            <w:tcW w:w="2378"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造成种子科研基地和生产基地损失一万元以下</w:t>
            </w:r>
          </w:p>
        </w:tc>
        <w:tc>
          <w:tcPr>
            <w:tcW w:w="2105" w:type="dxa"/>
            <w:vMerge w:val="restart"/>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责令限期改正，有违法所得的，没收违法所得，造成损失的，依法承担赔偿责任</w:t>
            </w:r>
          </w:p>
        </w:tc>
        <w:tc>
          <w:tcPr>
            <w:tcW w:w="3737"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 xml:space="preserve">处一万元以上二万元以下罚款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421" w:type="dxa"/>
            <w:vMerge w:val="continue"/>
            <w:tcBorders>
              <w:tl2br w:val="nil"/>
              <w:tr2bl w:val="nil"/>
            </w:tcBorders>
            <w:tcMar>
              <w:top w:w="57" w:type="dxa"/>
              <w:left w:w="57" w:type="dxa"/>
              <w:bottom w:w="57" w:type="dxa"/>
              <w:right w:w="57" w:type="dxa"/>
            </w:tcMar>
            <w:vAlign w:val="center"/>
          </w:tcPr>
          <w:p>
            <w:pPr>
              <w:adjustRightInd w:val="0"/>
              <w:snapToGrid w:val="0"/>
              <w:jc w:val="center"/>
              <w:rPr>
                <w:rFonts w:ascii="仿宋_GB2312" w:hAnsi="仿宋_GB2312" w:eastAsia="仿宋_GB2312" w:cs="仿宋_GB2312"/>
                <w:color w:val="000000"/>
                <w:sz w:val="21"/>
                <w:szCs w:val="21"/>
              </w:rPr>
            </w:pPr>
          </w:p>
        </w:tc>
        <w:tc>
          <w:tcPr>
            <w:tcW w:w="1098"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3531"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730"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一般</w:t>
            </w:r>
          </w:p>
        </w:tc>
        <w:tc>
          <w:tcPr>
            <w:tcW w:w="2378"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造成种子科研基地和生产基地损失一万元以上十万元以下</w:t>
            </w:r>
          </w:p>
        </w:tc>
        <w:tc>
          <w:tcPr>
            <w:tcW w:w="2105"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3737"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 xml:space="preserve">处二万元以上五万元以下罚款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421" w:type="dxa"/>
            <w:vMerge w:val="continue"/>
            <w:tcBorders>
              <w:tl2br w:val="nil"/>
              <w:tr2bl w:val="nil"/>
            </w:tcBorders>
            <w:tcMar>
              <w:top w:w="57" w:type="dxa"/>
              <w:left w:w="57" w:type="dxa"/>
              <w:bottom w:w="57" w:type="dxa"/>
              <w:right w:w="57" w:type="dxa"/>
            </w:tcMar>
            <w:vAlign w:val="center"/>
          </w:tcPr>
          <w:p>
            <w:pPr>
              <w:adjustRightInd w:val="0"/>
              <w:snapToGrid w:val="0"/>
              <w:jc w:val="center"/>
              <w:rPr>
                <w:rFonts w:ascii="仿宋_GB2312" w:hAnsi="仿宋_GB2312" w:eastAsia="仿宋_GB2312" w:cs="仿宋_GB2312"/>
                <w:color w:val="000000"/>
                <w:sz w:val="21"/>
                <w:szCs w:val="21"/>
              </w:rPr>
            </w:pPr>
          </w:p>
        </w:tc>
        <w:tc>
          <w:tcPr>
            <w:tcW w:w="1098"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3531"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730"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严重</w:t>
            </w:r>
          </w:p>
        </w:tc>
        <w:tc>
          <w:tcPr>
            <w:tcW w:w="2378"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造成种子科研基地和生产基地损失十万元以上</w:t>
            </w:r>
          </w:p>
        </w:tc>
        <w:tc>
          <w:tcPr>
            <w:tcW w:w="2105"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3737"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处五万元以上十万元以下罚款</w:t>
            </w:r>
          </w:p>
        </w:tc>
      </w:tr>
    </w:tbl>
    <w:p>
      <w:pPr>
        <w:pStyle w:val="2"/>
        <w:ind w:firstLine="640" w:firstLineChars="200"/>
      </w:pPr>
      <w:r>
        <w:rPr>
          <w:rFonts w:hint="eastAsia" w:ascii="黑体" w:hAnsi="黑体" w:eastAsia="黑体" w:cs="黑体"/>
          <w:color w:val="000000"/>
          <w:kern w:val="0"/>
          <w:sz w:val="32"/>
          <w:szCs w:val="32"/>
        </w:rPr>
        <w:t>二、农药</w:t>
      </w:r>
    </w:p>
    <w:tbl>
      <w:tblPr>
        <w:tblStyle w:val="7"/>
        <w:tblW w:w="140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21"/>
        <w:gridCol w:w="1098"/>
        <w:gridCol w:w="3531"/>
        <w:gridCol w:w="730"/>
        <w:gridCol w:w="2378"/>
        <w:gridCol w:w="2105"/>
        <w:gridCol w:w="3737"/>
      </w:tblGrid>
      <w:tr>
        <w:tblPrEx>
          <w:tblCellMar>
            <w:top w:w="0" w:type="dxa"/>
            <w:left w:w="0" w:type="dxa"/>
            <w:bottom w:w="0" w:type="dxa"/>
            <w:right w:w="0" w:type="dxa"/>
          </w:tblCellMar>
        </w:tblPrEx>
        <w:trPr>
          <w:trHeight w:val="567" w:hRule="atLeast"/>
          <w:tblHeader/>
          <w:jc w:val="center"/>
        </w:trPr>
        <w:tc>
          <w:tcPr>
            <w:tcW w:w="421"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黑体" w:hAnsi="黑体" w:eastAsia="黑体" w:cs="黑体"/>
                <w:color w:val="000000"/>
                <w:sz w:val="24"/>
                <w:szCs w:val="24"/>
              </w:rPr>
            </w:pPr>
            <w:r>
              <w:rPr>
                <w:rFonts w:hint="eastAsia" w:ascii="黑体" w:hAnsi="黑体" w:eastAsia="黑体" w:cs="黑体"/>
                <w:color w:val="000000"/>
                <w:kern w:val="0"/>
                <w:sz w:val="24"/>
                <w:szCs w:val="24"/>
              </w:rPr>
              <w:t>序号</w:t>
            </w:r>
          </w:p>
        </w:tc>
        <w:tc>
          <w:tcPr>
            <w:tcW w:w="1098"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黑体" w:hAnsi="黑体" w:eastAsia="黑体" w:cs="黑体"/>
                <w:color w:val="000000"/>
                <w:sz w:val="24"/>
                <w:szCs w:val="24"/>
              </w:rPr>
            </w:pPr>
            <w:r>
              <w:rPr>
                <w:rFonts w:hint="eastAsia" w:ascii="黑体" w:hAnsi="黑体" w:eastAsia="黑体" w:cs="黑体"/>
                <w:color w:val="000000"/>
                <w:kern w:val="0"/>
                <w:sz w:val="24"/>
                <w:szCs w:val="24"/>
              </w:rPr>
              <w:t>违法行为</w:t>
            </w:r>
          </w:p>
        </w:tc>
        <w:tc>
          <w:tcPr>
            <w:tcW w:w="3531"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黑体" w:hAnsi="黑体" w:eastAsia="黑体" w:cs="黑体"/>
                <w:color w:val="000000"/>
                <w:sz w:val="24"/>
                <w:szCs w:val="24"/>
              </w:rPr>
            </w:pPr>
            <w:r>
              <w:rPr>
                <w:rFonts w:hint="eastAsia" w:ascii="黑体" w:hAnsi="黑体" w:eastAsia="黑体" w:cs="黑体"/>
                <w:color w:val="000000"/>
                <w:kern w:val="0"/>
                <w:sz w:val="24"/>
                <w:szCs w:val="24"/>
              </w:rPr>
              <w:t>处罚依据</w:t>
            </w:r>
          </w:p>
        </w:tc>
        <w:tc>
          <w:tcPr>
            <w:tcW w:w="730"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黑体" w:hAnsi="黑体" w:eastAsia="黑体" w:cs="黑体"/>
                <w:color w:val="000000"/>
                <w:sz w:val="24"/>
                <w:szCs w:val="24"/>
              </w:rPr>
            </w:pPr>
            <w:r>
              <w:rPr>
                <w:rFonts w:hint="eastAsia" w:ascii="黑体" w:hAnsi="黑体" w:eastAsia="黑体" w:cs="黑体"/>
                <w:color w:val="000000"/>
                <w:kern w:val="0"/>
                <w:sz w:val="24"/>
                <w:szCs w:val="24"/>
              </w:rPr>
              <w:t>违法程度</w:t>
            </w:r>
          </w:p>
        </w:tc>
        <w:tc>
          <w:tcPr>
            <w:tcW w:w="2378"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黑体" w:hAnsi="黑体" w:eastAsia="黑体" w:cs="黑体"/>
                <w:color w:val="000000"/>
                <w:sz w:val="24"/>
                <w:szCs w:val="24"/>
              </w:rPr>
            </w:pPr>
            <w:r>
              <w:rPr>
                <w:rFonts w:hint="eastAsia" w:ascii="黑体" w:hAnsi="黑体" w:eastAsia="黑体" w:cs="黑体"/>
                <w:color w:val="000000"/>
                <w:kern w:val="0"/>
                <w:sz w:val="24"/>
                <w:szCs w:val="24"/>
              </w:rPr>
              <w:t>违法情节</w:t>
            </w:r>
          </w:p>
        </w:tc>
        <w:tc>
          <w:tcPr>
            <w:tcW w:w="5842" w:type="dxa"/>
            <w:gridSpan w:val="2"/>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黑体" w:hAnsi="黑体" w:eastAsia="黑体" w:cs="黑体"/>
                <w:color w:val="000000"/>
                <w:sz w:val="24"/>
                <w:szCs w:val="24"/>
              </w:rPr>
            </w:pPr>
            <w:r>
              <w:rPr>
                <w:rFonts w:hint="eastAsia" w:ascii="黑体" w:hAnsi="黑体" w:eastAsia="黑体" w:cs="黑体"/>
                <w:color w:val="000000"/>
                <w:kern w:val="0"/>
                <w:sz w:val="24"/>
                <w:szCs w:val="24"/>
              </w:rPr>
              <w:t>裁量标准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74" w:hRule="atLeast"/>
          <w:jc w:val="center"/>
        </w:trPr>
        <w:tc>
          <w:tcPr>
            <w:tcW w:w="421" w:type="dxa"/>
            <w:vMerge w:val="restart"/>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1</w:t>
            </w:r>
          </w:p>
        </w:tc>
        <w:tc>
          <w:tcPr>
            <w:tcW w:w="1098" w:type="dxa"/>
            <w:vMerge w:val="restart"/>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登记试验单位出具虚假登记试验报告的</w:t>
            </w:r>
          </w:p>
        </w:tc>
        <w:tc>
          <w:tcPr>
            <w:tcW w:w="3531" w:type="dxa"/>
            <w:vMerge w:val="restart"/>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农药管理条例》第五十一条，登记试验单位出具虚假登记试验报告的，由省、自治区、直辖市人民政府农业主管部门没收违法所得，并处5万元以上10万元以下罚款；由国务院农业主管部门从登记试验单位中除名，5年内不再受理其登记试验单位认定申请；构成犯罪的，依法追究刑事责任。</w:t>
            </w:r>
          </w:p>
        </w:tc>
        <w:tc>
          <w:tcPr>
            <w:tcW w:w="730"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较轻</w:t>
            </w:r>
          </w:p>
        </w:tc>
        <w:tc>
          <w:tcPr>
            <w:tcW w:w="2378"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登记试验单位开展了相关试验，篡改数据等出具一个虚假登记试验报告；或者违法所得不足五千元的</w:t>
            </w:r>
          </w:p>
        </w:tc>
        <w:tc>
          <w:tcPr>
            <w:tcW w:w="2105" w:type="dxa"/>
            <w:vMerge w:val="restart"/>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没收违法所得,报请国务院农业主管部门从登记试验单位中除名，5年内不再受理其登记试验单位认定申请</w:t>
            </w:r>
          </w:p>
        </w:tc>
        <w:tc>
          <w:tcPr>
            <w:tcW w:w="3737"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并处五万元以上六万元以下罚款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9" w:hRule="atLeast"/>
          <w:jc w:val="center"/>
        </w:trPr>
        <w:tc>
          <w:tcPr>
            <w:tcW w:w="421" w:type="dxa"/>
            <w:vMerge w:val="continue"/>
            <w:tcBorders>
              <w:tl2br w:val="nil"/>
              <w:tr2bl w:val="nil"/>
            </w:tcBorders>
            <w:shd w:val="clear" w:color="auto" w:fill="auto"/>
            <w:tcMar>
              <w:top w:w="57" w:type="dxa"/>
              <w:left w:w="57" w:type="dxa"/>
              <w:bottom w:w="57" w:type="dxa"/>
              <w:right w:w="57" w:type="dxa"/>
            </w:tcMar>
            <w:vAlign w:val="center"/>
          </w:tcPr>
          <w:p>
            <w:pPr>
              <w:adjustRightInd w:val="0"/>
              <w:snapToGrid w:val="0"/>
              <w:jc w:val="center"/>
              <w:rPr>
                <w:rFonts w:ascii="仿宋_GB2312" w:hAnsi="仿宋_GB2312" w:eastAsia="仿宋_GB2312" w:cs="仿宋_GB2312"/>
                <w:color w:val="000000"/>
                <w:sz w:val="21"/>
                <w:szCs w:val="21"/>
              </w:rPr>
            </w:pPr>
          </w:p>
        </w:tc>
        <w:tc>
          <w:tcPr>
            <w:tcW w:w="1098" w:type="dxa"/>
            <w:vMerge w:val="continue"/>
            <w:tcBorders>
              <w:tl2br w:val="nil"/>
              <w:tr2bl w:val="nil"/>
            </w:tcBorders>
            <w:shd w:val="clear" w:color="auto" w:fill="auto"/>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3531" w:type="dxa"/>
            <w:vMerge w:val="continue"/>
            <w:tcBorders>
              <w:tl2br w:val="nil"/>
              <w:tr2bl w:val="nil"/>
            </w:tcBorders>
            <w:shd w:val="clear" w:color="auto" w:fill="auto"/>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730" w:type="dxa"/>
            <w:tcBorders>
              <w:tl2br w:val="nil"/>
              <w:tr2bl w:val="nil"/>
            </w:tcBorders>
            <w:shd w:val="clear" w:color="auto" w:fill="auto"/>
            <w:tcMar>
              <w:top w:w="57" w:type="dxa"/>
              <w:left w:w="57" w:type="dxa"/>
              <w:bottom w:w="57" w:type="dxa"/>
              <w:right w:w="57" w:type="dxa"/>
            </w:tcMar>
            <w:vAlign w:val="center"/>
          </w:tcPr>
          <w:p>
            <w:pPr>
              <w:widowControl/>
              <w:adjustRightInd w:val="0"/>
              <w:snapToGrid w:val="0"/>
              <w:jc w:val="center"/>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一般</w:t>
            </w:r>
          </w:p>
        </w:tc>
        <w:tc>
          <w:tcPr>
            <w:tcW w:w="2378" w:type="dxa"/>
            <w:tcBorders>
              <w:tl2br w:val="nil"/>
              <w:tr2bl w:val="nil"/>
            </w:tcBorders>
            <w:shd w:val="clear" w:color="auto" w:fill="FFFFFF"/>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登记试验单位开展了相关试验，篡改数据等出具多个虚假登记试验报告；或者违法所得五千元以上二万元以下的</w:t>
            </w:r>
          </w:p>
        </w:tc>
        <w:tc>
          <w:tcPr>
            <w:tcW w:w="2105"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3737"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并处六万元以上八万元以下罚款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1" w:hRule="atLeast"/>
          <w:jc w:val="center"/>
        </w:trPr>
        <w:tc>
          <w:tcPr>
            <w:tcW w:w="421" w:type="dxa"/>
            <w:vMerge w:val="continue"/>
            <w:tcBorders>
              <w:tl2br w:val="nil"/>
              <w:tr2bl w:val="nil"/>
            </w:tcBorders>
            <w:shd w:val="clear" w:color="auto" w:fill="auto"/>
            <w:tcMar>
              <w:top w:w="57" w:type="dxa"/>
              <w:left w:w="57" w:type="dxa"/>
              <w:bottom w:w="57" w:type="dxa"/>
              <w:right w:w="57" w:type="dxa"/>
            </w:tcMar>
            <w:vAlign w:val="center"/>
          </w:tcPr>
          <w:p>
            <w:pPr>
              <w:adjustRightInd w:val="0"/>
              <w:snapToGrid w:val="0"/>
              <w:jc w:val="center"/>
              <w:rPr>
                <w:rFonts w:ascii="仿宋_GB2312" w:hAnsi="仿宋_GB2312" w:eastAsia="仿宋_GB2312" w:cs="仿宋_GB2312"/>
                <w:color w:val="000000"/>
                <w:sz w:val="21"/>
                <w:szCs w:val="21"/>
              </w:rPr>
            </w:pPr>
          </w:p>
        </w:tc>
        <w:tc>
          <w:tcPr>
            <w:tcW w:w="1098" w:type="dxa"/>
            <w:vMerge w:val="continue"/>
            <w:tcBorders>
              <w:tl2br w:val="nil"/>
              <w:tr2bl w:val="nil"/>
            </w:tcBorders>
            <w:shd w:val="clear" w:color="auto" w:fill="auto"/>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3531" w:type="dxa"/>
            <w:vMerge w:val="continue"/>
            <w:tcBorders>
              <w:tl2br w:val="nil"/>
              <w:tr2bl w:val="nil"/>
            </w:tcBorders>
            <w:shd w:val="clear" w:color="auto" w:fill="auto"/>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730" w:type="dxa"/>
            <w:tcBorders>
              <w:tl2br w:val="nil"/>
              <w:tr2bl w:val="nil"/>
            </w:tcBorders>
            <w:shd w:val="clear" w:color="auto" w:fill="auto"/>
            <w:tcMar>
              <w:top w:w="57" w:type="dxa"/>
              <w:left w:w="57" w:type="dxa"/>
              <w:bottom w:w="57" w:type="dxa"/>
              <w:right w:w="57" w:type="dxa"/>
            </w:tcMar>
            <w:vAlign w:val="center"/>
          </w:tcPr>
          <w:p>
            <w:pPr>
              <w:widowControl/>
              <w:adjustRightInd w:val="0"/>
              <w:snapToGrid w:val="0"/>
              <w:jc w:val="center"/>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严重</w:t>
            </w:r>
          </w:p>
        </w:tc>
        <w:tc>
          <w:tcPr>
            <w:tcW w:w="2378" w:type="dxa"/>
            <w:tcBorders>
              <w:tl2br w:val="nil"/>
              <w:tr2bl w:val="nil"/>
            </w:tcBorders>
            <w:shd w:val="clear" w:color="auto" w:fill="FFFFFF"/>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登记试验单位未开展相关试验，编造数据等出具虚假试验报告；或者违法所得二万元以上</w:t>
            </w:r>
          </w:p>
        </w:tc>
        <w:tc>
          <w:tcPr>
            <w:tcW w:w="2105"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3737"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并处八万元以上十万元以下罚款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01" w:hRule="atLeast"/>
          <w:jc w:val="center"/>
        </w:trPr>
        <w:tc>
          <w:tcPr>
            <w:tcW w:w="421" w:type="dxa"/>
            <w:vMerge w:val="restart"/>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2</w:t>
            </w:r>
          </w:p>
        </w:tc>
        <w:tc>
          <w:tcPr>
            <w:tcW w:w="1098" w:type="dxa"/>
            <w:vMerge w:val="restart"/>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未取得农药生产许可证生产农药或者生产假农药的,委托未取得农药生产许可证的受托人加工、分装农药的或者委托加工、分装假农药的</w:t>
            </w:r>
          </w:p>
        </w:tc>
        <w:tc>
          <w:tcPr>
            <w:tcW w:w="3531" w:type="dxa"/>
            <w:vMerge w:val="restart"/>
            <w:tcBorders>
              <w:tl2br w:val="nil"/>
              <w:tr2bl w:val="nil"/>
            </w:tcBorders>
            <w:tcMar>
              <w:top w:w="57" w:type="dxa"/>
              <w:left w:w="57" w:type="dxa"/>
              <w:bottom w:w="57" w:type="dxa"/>
              <w:right w:w="57" w:type="dxa"/>
            </w:tcMar>
            <w:vAlign w:val="center"/>
          </w:tcPr>
          <w:p>
            <w:pPr>
              <w:widowControl/>
              <w:adjustRightInd w:val="0"/>
              <w:snapToGrid w:val="0"/>
              <w:spacing w:line="260" w:lineRule="exact"/>
              <w:textAlignment w:val="center"/>
              <w:rPr>
                <w:rFonts w:ascii="仿宋_GB2312" w:hAnsi="仿宋_GB2312" w:eastAsia="仿宋_GB2312" w:cs="仿宋_GB2312"/>
                <w:color w:val="000000"/>
                <w:sz w:val="21"/>
                <w:szCs w:val="21"/>
              </w:rPr>
            </w:pPr>
            <w:r>
              <w:rPr>
                <w:rStyle w:val="9"/>
                <w:rFonts w:hint="default" w:hAnsi="仿宋_GB2312"/>
                <w:spacing w:val="-11"/>
                <w:sz w:val="21"/>
                <w:szCs w:val="21"/>
              </w:rPr>
              <w:t>《农药管理条例》第五十二条第一款，未取得农药生产许可证生产农药或者生产假农药的，由县级以上地方人民政府农业主管部门责令停止生产，没收违法所得、违法生产的产品和用于违法生产的工具、设备、原材料等，违法生产的产品货值金额不足1万元的，并处5万元以上10万元以下罚款，货值金额1万元以上的，并处货值金额10倍以上20倍以下罚款，由发证机关吊销农药生产许可证和相应的农药登记证；构成犯罪的，依法追究刑事责任。</w:t>
            </w:r>
            <w:r>
              <w:rPr>
                <w:rStyle w:val="9"/>
                <w:rFonts w:hint="default" w:hAnsi="仿宋_GB2312"/>
                <w:spacing w:val="-11"/>
                <w:sz w:val="21"/>
                <w:szCs w:val="21"/>
              </w:rPr>
              <w:br w:type="textWrapping"/>
            </w:r>
            <w:r>
              <w:rPr>
                <w:rStyle w:val="9"/>
                <w:rFonts w:hint="default" w:hAnsi="仿宋_GB2312"/>
                <w:spacing w:val="-11"/>
                <w:sz w:val="21"/>
                <w:szCs w:val="21"/>
              </w:rPr>
              <w:t xml:space="preserve">第四款：委托未取得农药生产许可证的受托人加工、分装农药，或者委托加工、分装假农药、劣质农药的，对委托人和受托人均依照本条第一款、第三款的规定处罚。 </w:t>
            </w:r>
            <w:r>
              <w:rPr>
                <w:rStyle w:val="9"/>
                <w:rFonts w:hint="default" w:hAnsi="仿宋_GB2312"/>
                <w:spacing w:val="-11"/>
                <w:sz w:val="21"/>
                <w:szCs w:val="21"/>
              </w:rPr>
              <w:br w:type="textWrapping"/>
            </w:r>
            <w:r>
              <w:rPr>
                <w:rStyle w:val="9"/>
                <w:rFonts w:hint="default" w:hAnsi="仿宋_GB2312"/>
                <w:spacing w:val="-11"/>
                <w:sz w:val="21"/>
                <w:szCs w:val="21"/>
              </w:rPr>
              <w:t>《农药生产许可管理办法》第二十四条 有下列情形之一的，按未取得农药生产许可证处理：</w:t>
            </w:r>
            <w:r>
              <w:rPr>
                <w:rStyle w:val="9"/>
                <w:rFonts w:hint="default" w:hAnsi="仿宋_GB2312"/>
                <w:spacing w:val="-11"/>
                <w:sz w:val="21"/>
                <w:szCs w:val="21"/>
              </w:rPr>
              <w:br w:type="textWrapping"/>
            </w:r>
            <w:r>
              <w:rPr>
                <w:rStyle w:val="9"/>
                <w:rFonts w:hint="default" w:hAnsi="仿宋_GB2312"/>
                <w:spacing w:val="-11"/>
                <w:sz w:val="21"/>
                <w:szCs w:val="21"/>
              </w:rPr>
              <w:t>（一）超过农药生产许可证有效期继续生产农药的；（二）超过农药生产许可范围生产农药的；（三）未经批准擅自改变生产地址生产农药的；（四）委托已取得农药生产许可证的企业超过农药生产许可范围加工或者分装农药的；（五）应当按照未取得农药生产许可证处理的其他情形。</w:t>
            </w:r>
          </w:p>
        </w:tc>
        <w:tc>
          <w:tcPr>
            <w:tcW w:w="730"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较轻</w:t>
            </w:r>
          </w:p>
        </w:tc>
        <w:tc>
          <w:tcPr>
            <w:tcW w:w="2378"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货值金额五千元以下的</w:t>
            </w:r>
          </w:p>
        </w:tc>
        <w:tc>
          <w:tcPr>
            <w:tcW w:w="2105" w:type="dxa"/>
            <w:vMerge w:val="restart"/>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责令停止生产，没收违法所得、违法生产的产品和用于违法生产的工具、设备、原材料等,抄告发证机关吊销农药生产许可证和相应的农药登记证</w:t>
            </w:r>
          </w:p>
        </w:tc>
        <w:tc>
          <w:tcPr>
            <w:tcW w:w="3737"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并处五万元以上七万元以下罚款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01" w:hRule="atLeast"/>
          <w:jc w:val="center"/>
        </w:trPr>
        <w:tc>
          <w:tcPr>
            <w:tcW w:w="421" w:type="dxa"/>
            <w:vMerge w:val="continue"/>
            <w:tcBorders>
              <w:tl2br w:val="nil"/>
              <w:tr2bl w:val="nil"/>
            </w:tcBorders>
            <w:tcMar>
              <w:top w:w="57" w:type="dxa"/>
              <w:left w:w="57" w:type="dxa"/>
              <w:bottom w:w="57" w:type="dxa"/>
              <w:right w:w="57" w:type="dxa"/>
            </w:tcMar>
            <w:vAlign w:val="center"/>
          </w:tcPr>
          <w:p>
            <w:pPr>
              <w:adjustRightInd w:val="0"/>
              <w:snapToGrid w:val="0"/>
              <w:jc w:val="center"/>
              <w:rPr>
                <w:rFonts w:ascii="仿宋_GB2312" w:hAnsi="仿宋_GB2312" w:eastAsia="仿宋_GB2312" w:cs="仿宋_GB2312"/>
                <w:color w:val="000000"/>
                <w:sz w:val="21"/>
                <w:szCs w:val="21"/>
              </w:rPr>
            </w:pPr>
          </w:p>
        </w:tc>
        <w:tc>
          <w:tcPr>
            <w:tcW w:w="1098"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3531"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730"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一般</w:t>
            </w:r>
          </w:p>
        </w:tc>
        <w:tc>
          <w:tcPr>
            <w:tcW w:w="2378"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货值金额五千元以上一万元以下的</w:t>
            </w:r>
          </w:p>
        </w:tc>
        <w:tc>
          <w:tcPr>
            <w:tcW w:w="2105"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3737"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并处七万元以上十万元以下罚款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01" w:hRule="atLeast"/>
          <w:jc w:val="center"/>
        </w:trPr>
        <w:tc>
          <w:tcPr>
            <w:tcW w:w="421" w:type="dxa"/>
            <w:vMerge w:val="continue"/>
            <w:tcBorders>
              <w:tl2br w:val="nil"/>
              <w:tr2bl w:val="nil"/>
            </w:tcBorders>
            <w:tcMar>
              <w:top w:w="57" w:type="dxa"/>
              <w:left w:w="57" w:type="dxa"/>
              <w:bottom w:w="57" w:type="dxa"/>
              <w:right w:w="57" w:type="dxa"/>
            </w:tcMar>
            <w:vAlign w:val="center"/>
          </w:tcPr>
          <w:p>
            <w:pPr>
              <w:adjustRightInd w:val="0"/>
              <w:snapToGrid w:val="0"/>
              <w:jc w:val="center"/>
              <w:rPr>
                <w:rFonts w:ascii="仿宋_GB2312" w:hAnsi="仿宋_GB2312" w:eastAsia="仿宋_GB2312" w:cs="仿宋_GB2312"/>
                <w:color w:val="000000"/>
                <w:sz w:val="21"/>
                <w:szCs w:val="21"/>
              </w:rPr>
            </w:pPr>
          </w:p>
        </w:tc>
        <w:tc>
          <w:tcPr>
            <w:tcW w:w="1098"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3531"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730"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较重</w:t>
            </w:r>
          </w:p>
        </w:tc>
        <w:tc>
          <w:tcPr>
            <w:tcW w:w="2378"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货值金额一万元以上五万元以下的</w:t>
            </w:r>
          </w:p>
        </w:tc>
        <w:tc>
          <w:tcPr>
            <w:tcW w:w="2105"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3737"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并处货值金额十倍以上十五倍以下罚款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421" w:type="dxa"/>
            <w:vMerge w:val="continue"/>
            <w:tcBorders>
              <w:tl2br w:val="nil"/>
              <w:tr2bl w:val="nil"/>
            </w:tcBorders>
            <w:tcMar>
              <w:top w:w="57" w:type="dxa"/>
              <w:left w:w="57" w:type="dxa"/>
              <w:bottom w:w="57" w:type="dxa"/>
              <w:right w:w="57" w:type="dxa"/>
            </w:tcMar>
            <w:vAlign w:val="center"/>
          </w:tcPr>
          <w:p>
            <w:pPr>
              <w:adjustRightInd w:val="0"/>
              <w:snapToGrid w:val="0"/>
              <w:jc w:val="center"/>
              <w:rPr>
                <w:rFonts w:ascii="仿宋_GB2312" w:hAnsi="仿宋_GB2312" w:eastAsia="仿宋_GB2312" w:cs="仿宋_GB2312"/>
                <w:color w:val="000000"/>
                <w:sz w:val="21"/>
                <w:szCs w:val="21"/>
              </w:rPr>
            </w:pPr>
          </w:p>
        </w:tc>
        <w:tc>
          <w:tcPr>
            <w:tcW w:w="1098"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3531"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730"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严重</w:t>
            </w:r>
          </w:p>
        </w:tc>
        <w:tc>
          <w:tcPr>
            <w:tcW w:w="2378"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货值金额五万元以上的</w:t>
            </w:r>
          </w:p>
        </w:tc>
        <w:tc>
          <w:tcPr>
            <w:tcW w:w="2105"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3737"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并处货值金额十五倍以上二十倍以下罚款,抄告发证机关吊销农药生产许可证和相应的农药登记证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421" w:type="dxa"/>
            <w:vMerge w:val="restart"/>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3</w:t>
            </w:r>
          </w:p>
        </w:tc>
        <w:tc>
          <w:tcPr>
            <w:tcW w:w="1098" w:type="dxa"/>
            <w:vMerge w:val="restart"/>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取得农药生产许可证的农药生产企业不再符合规定条件继续生产农药</w:t>
            </w:r>
          </w:p>
        </w:tc>
        <w:tc>
          <w:tcPr>
            <w:tcW w:w="3531" w:type="dxa"/>
            <w:vMerge w:val="restart"/>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农药管理条例》第五十二条第二款，取得农药生产许可证的农药生产企业不再符合规定条件继续生产农药的，由县级以上地方人民政府农业主管部门责令限期整改；逾期拒不整改或者整改后仍不符合规定条件的，由发证机关吊销农药生产许可证。</w:t>
            </w:r>
          </w:p>
        </w:tc>
        <w:tc>
          <w:tcPr>
            <w:tcW w:w="730"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一般</w:t>
            </w:r>
          </w:p>
        </w:tc>
        <w:tc>
          <w:tcPr>
            <w:tcW w:w="2378"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取得农药生产许可证的农药生产企业不再符合规定条件继续生产农药查证属实的</w:t>
            </w:r>
          </w:p>
        </w:tc>
        <w:tc>
          <w:tcPr>
            <w:tcW w:w="5842" w:type="dxa"/>
            <w:gridSpan w:val="2"/>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责令限期整改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421" w:type="dxa"/>
            <w:vMerge w:val="continue"/>
            <w:tcBorders>
              <w:tl2br w:val="nil"/>
              <w:tr2bl w:val="nil"/>
            </w:tcBorders>
            <w:tcMar>
              <w:top w:w="57" w:type="dxa"/>
              <w:left w:w="57" w:type="dxa"/>
              <w:bottom w:w="57" w:type="dxa"/>
              <w:right w:w="57" w:type="dxa"/>
            </w:tcMar>
            <w:vAlign w:val="center"/>
          </w:tcPr>
          <w:p>
            <w:pPr>
              <w:adjustRightInd w:val="0"/>
              <w:snapToGrid w:val="0"/>
              <w:jc w:val="center"/>
              <w:rPr>
                <w:rFonts w:ascii="仿宋_GB2312" w:hAnsi="仿宋_GB2312" w:eastAsia="仿宋_GB2312" w:cs="仿宋_GB2312"/>
                <w:color w:val="000000"/>
                <w:sz w:val="21"/>
                <w:szCs w:val="21"/>
              </w:rPr>
            </w:pPr>
          </w:p>
        </w:tc>
        <w:tc>
          <w:tcPr>
            <w:tcW w:w="1098"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3531"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730"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严重</w:t>
            </w:r>
          </w:p>
        </w:tc>
        <w:tc>
          <w:tcPr>
            <w:tcW w:w="2378"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拒不整改或者整改后仍不符合规定条件的</w:t>
            </w:r>
          </w:p>
        </w:tc>
        <w:tc>
          <w:tcPr>
            <w:tcW w:w="5842" w:type="dxa"/>
            <w:gridSpan w:val="2"/>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由发证机关吊销农药生产许可证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62" w:hRule="atLeast"/>
          <w:jc w:val="center"/>
        </w:trPr>
        <w:tc>
          <w:tcPr>
            <w:tcW w:w="421" w:type="dxa"/>
            <w:vMerge w:val="restart"/>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4</w:t>
            </w:r>
          </w:p>
        </w:tc>
        <w:tc>
          <w:tcPr>
            <w:tcW w:w="1098" w:type="dxa"/>
            <w:vMerge w:val="restart"/>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农药生产企业生产劣质农药或委托加工、分装劣质农药的</w:t>
            </w:r>
          </w:p>
        </w:tc>
        <w:tc>
          <w:tcPr>
            <w:tcW w:w="3531" w:type="dxa"/>
            <w:vMerge w:val="restart"/>
            <w:tcBorders>
              <w:tl2br w:val="nil"/>
              <w:tr2bl w:val="nil"/>
            </w:tcBorders>
            <w:tcMar>
              <w:top w:w="57" w:type="dxa"/>
              <w:left w:w="57" w:type="dxa"/>
              <w:bottom w:w="57" w:type="dxa"/>
              <w:right w:w="57" w:type="dxa"/>
            </w:tcMar>
            <w:vAlign w:val="center"/>
          </w:tcPr>
          <w:p>
            <w:pPr>
              <w:widowControl/>
              <w:adjustRightInd w:val="0"/>
              <w:snapToGrid w:val="0"/>
              <w:spacing w:line="310" w:lineRule="exact"/>
              <w:textAlignment w:val="center"/>
              <w:rPr>
                <w:rFonts w:ascii="仿宋_GB2312" w:hAnsi="仿宋_GB2312" w:eastAsia="仿宋_GB2312" w:cs="仿宋_GB2312"/>
                <w:color w:val="000000"/>
                <w:spacing w:val="-4"/>
                <w:sz w:val="21"/>
                <w:szCs w:val="21"/>
              </w:rPr>
            </w:pPr>
            <w:r>
              <w:rPr>
                <w:rFonts w:hint="eastAsia" w:ascii="仿宋_GB2312" w:hAnsi="仿宋_GB2312" w:eastAsia="仿宋_GB2312" w:cs="仿宋_GB2312"/>
                <w:color w:val="000000"/>
                <w:spacing w:val="-4"/>
                <w:kern w:val="0"/>
                <w:sz w:val="21"/>
                <w:szCs w:val="21"/>
              </w:rPr>
              <w:t>《农药管理条例》第五十二条第三款，农药生产企业生产劣质农药的，由县级以上地方人民政府农业主管部门责令停止生产，没收违法所得、违法生产的产品和用于违法生产的工具、设备、原材料等，违法生产的产品货值金额不足1万元的，并处1万元以上5万元以下罚款，货值金额1万元以上的，并处货值金额5倍以上10倍以下罚款；情节严重的，由发证机关吊销农药生产许可证和相应的农药登记证；构成犯罪的，依法追究刑事责任。第四款，委托未取得农药生产许可证的受托人加工、分装农药，或者委托加工、分装假农药、劣质农药的，对委托人和受托人均依照本条第一款、第三款的规定处罚。</w:t>
            </w:r>
          </w:p>
        </w:tc>
        <w:tc>
          <w:tcPr>
            <w:tcW w:w="730"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较轻</w:t>
            </w:r>
          </w:p>
        </w:tc>
        <w:tc>
          <w:tcPr>
            <w:tcW w:w="2378"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货值金额五千元以下的</w:t>
            </w:r>
          </w:p>
        </w:tc>
        <w:tc>
          <w:tcPr>
            <w:tcW w:w="2105" w:type="dxa"/>
            <w:vMerge w:val="restart"/>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责令停止生产，没收违法所得、没收违法生产的产品和用于违法生产的工具、设备、原材料等</w:t>
            </w:r>
          </w:p>
        </w:tc>
        <w:tc>
          <w:tcPr>
            <w:tcW w:w="3737"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并处一万元以上二万元以下罚款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12" w:hRule="atLeast"/>
          <w:jc w:val="center"/>
        </w:trPr>
        <w:tc>
          <w:tcPr>
            <w:tcW w:w="421" w:type="dxa"/>
            <w:vMerge w:val="continue"/>
            <w:tcBorders>
              <w:tl2br w:val="nil"/>
              <w:tr2bl w:val="nil"/>
            </w:tcBorders>
            <w:tcMar>
              <w:top w:w="57" w:type="dxa"/>
              <w:left w:w="57" w:type="dxa"/>
              <w:bottom w:w="57" w:type="dxa"/>
              <w:right w:w="57" w:type="dxa"/>
            </w:tcMar>
            <w:vAlign w:val="center"/>
          </w:tcPr>
          <w:p>
            <w:pPr>
              <w:adjustRightInd w:val="0"/>
              <w:snapToGrid w:val="0"/>
              <w:jc w:val="center"/>
              <w:rPr>
                <w:rFonts w:ascii="仿宋_GB2312" w:hAnsi="仿宋_GB2312" w:eastAsia="仿宋_GB2312" w:cs="仿宋_GB2312"/>
                <w:color w:val="000000"/>
                <w:sz w:val="21"/>
                <w:szCs w:val="21"/>
              </w:rPr>
            </w:pPr>
          </w:p>
        </w:tc>
        <w:tc>
          <w:tcPr>
            <w:tcW w:w="1098"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3531"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730"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一般</w:t>
            </w:r>
          </w:p>
        </w:tc>
        <w:tc>
          <w:tcPr>
            <w:tcW w:w="2378"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货值金额五千元以上一万元以下的</w:t>
            </w:r>
          </w:p>
        </w:tc>
        <w:tc>
          <w:tcPr>
            <w:tcW w:w="2105"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3737"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并处二万元以上五万元以下罚款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30" w:hRule="atLeast"/>
          <w:jc w:val="center"/>
        </w:trPr>
        <w:tc>
          <w:tcPr>
            <w:tcW w:w="421" w:type="dxa"/>
            <w:vMerge w:val="continue"/>
            <w:tcBorders>
              <w:tl2br w:val="nil"/>
              <w:tr2bl w:val="nil"/>
            </w:tcBorders>
            <w:tcMar>
              <w:top w:w="57" w:type="dxa"/>
              <w:left w:w="57" w:type="dxa"/>
              <w:bottom w:w="57" w:type="dxa"/>
              <w:right w:w="57" w:type="dxa"/>
            </w:tcMar>
            <w:vAlign w:val="center"/>
          </w:tcPr>
          <w:p>
            <w:pPr>
              <w:adjustRightInd w:val="0"/>
              <w:snapToGrid w:val="0"/>
              <w:jc w:val="center"/>
              <w:rPr>
                <w:rFonts w:ascii="仿宋_GB2312" w:hAnsi="仿宋_GB2312" w:eastAsia="仿宋_GB2312" w:cs="仿宋_GB2312"/>
                <w:color w:val="000000"/>
                <w:sz w:val="21"/>
                <w:szCs w:val="21"/>
              </w:rPr>
            </w:pPr>
          </w:p>
        </w:tc>
        <w:tc>
          <w:tcPr>
            <w:tcW w:w="1098"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3531"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730"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较重</w:t>
            </w:r>
          </w:p>
        </w:tc>
        <w:tc>
          <w:tcPr>
            <w:tcW w:w="2378"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货值金额一万元以上五万元以下的</w:t>
            </w:r>
          </w:p>
        </w:tc>
        <w:tc>
          <w:tcPr>
            <w:tcW w:w="2105"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3737"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并处货值金额五倍以上七倍以下罚款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1" w:hRule="atLeast"/>
          <w:jc w:val="center"/>
        </w:trPr>
        <w:tc>
          <w:tcPr>
            <w:tcW w:w="421" w:type="dxa"/>
            <w:vMerge w:val="continue"/>
            <w:tcBorders>
              <w:tl2br w:val="nil"/>
              <w:tr2bl w:val="nil"/>
            </w:tcBorders>
            <w:tcMar>
              <w:top w:w="57" w:type="dxa"/>
              <w:left w:w="57" w:type="dxa"/>
              <w:bottom w:w="57" w:type="dxa"/>
              <w:right w:w="57" w:type="dxa"/>
            </w:tcMar>
            <w:vAlign w:val="center"/>
          </w:tcPr>
          <w:p>
            <w:pPr>
              <w:adjustRightInd w:val="0"/>
              <w:snapToGrid w:val="0"/>
              <w:jc w:val="center"/>
              <w:rPr>
                <w:rFonts w:ascii="仿宋_GB2312" w:hAnsi="仿宋_GB2312" w:eastAsia="仿宋_GB2312" w:cs="仿宋_GB2312"/>
                <w:color w:val="000000"/>
                <w:sz w:val="21"/>
                <w:szCs w:val="21"/>
              </w:rPr>
            </w:pPr>
          </w:p>
        </w:tc>
        <w:tc>
          <w:tcPr>
            <w:tcW w:w="1098"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3531"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730"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严重</w:t>
            </w:r>
          </w:p>
        </w:tc>
        <w:tc>
          <w:tcPr>
            <w:tcW w:w="2378"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货值金额五万元以上的</w:t>
            </w:r>
          </w:p>
        </w:tc>
        <w:tc>
          <w:tcPr>
            <w:tcW w:w="2105"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3737"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并处货值金额七倍以上十倍以下罚款,抄告发证机关吊销农药生产许可证和相应的农药登记证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93" w:hRule="atLeast"/>
          <w:jc w:val="center"/>
        </w:trPr>
        <w:tc>
          <w:tcPr>
            <w:tcW w:w="421" w:type="dxa"/>
            <w:vMerge w:val="restart"/>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5</w:t>
            </w:r>
          </w:p>
        </w:tc>
        <w:tc>
          <w:tcPr>
            <w:tcW w:w="1098" w:type="dxa"/>
            <w:vMerge w:val="restart"/>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农药生产企业采购、使用未依法附具产品质量检验合格证、未依法取得有关许可证明文件的原材料的</w:t>
            </w:r>
          </w:p>
        </w:tc>
        <w:tc>
          <w:tcPr>
            <w:tcW w:w="3531" w:type="dxa"/>
            <w:vMerge w:val="restart"/>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农药管理条例》第五十三条第一项，农药生产企业有下列行为之一的，由县级以上地方人民政府农业主管部门责令改正，没收违法所得、违法生产的产品和用于违法生产的原材料等，违法生产的产品货值金额不足1万元的，并处1万元以上2万元以下罚款，货值金额1万元以上的，并处货值金额2倍以上5倍以下罚款；拒不改正或者情节严重的，由发证机关吊销农药生产许可证和相应的农药登记证：</w:t>
            </w:r>
          </w:p>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（一）采购、使用未依法附具产品质量检验合格证、未依法取得有关许可证明文件的原材料。</w:t>
            </w:r>
          </w:p>
        </w:tc>
        <w:tc>
          <w:tcPr>
            <w:tcW w:w="730"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较轻</w:t>
            </w:r>
          </w:p>
        </w:tc>
        <w:tc>
          <w:tcPr>
            <w:tcW w:w="2378"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货值金额不足一万元的</w:t>
            </w:r>
          </w:p>
        </w:tc>
        <w:tc>
          <w:tcPr>
            <w:tcW w:w="2105" w:type="dxa"/>
            <w:vMerge w:val="restart"/>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责令改正，没收违法所得、没收违法生产的产品和用于违法生产的原材料等</w:t>
            </w:r>
          </w:p>
        </w:tc>
        <w:tc>
          <w:tcPr>
            <w:tcW w:w="3737"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并处一万元以上二万元以下罚款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421" w:type="dxa"/>
            <w:vMerge w:val="continue"/>
            <w:tcBorders>
              <w:tl2br w:val="nil"/>
              <w:tr2bl w:val="nil"/>
            </w:tcBorders>
            <w:tcMar>
              <w:top w:w="57" w:type="dxa"/>
              <w:left w:w="57" w:type="dxa"/>
              <w:bottom w:w="57" w:type="dxa"/>
              <w:right w:w="57" w:type="dxa"/>
            </w:tcMar>
            <w:vAlign w:val="center"/>
          </w:tcPr>
          <w:p>
            <w:pPr>
              <w:adjustRightInd w:val="0"/>
              <w:snapToGrid w:val="0"/>
              <w:jc w:val="center"/>
              <w:rPr>
                <w:rFonts w:ascii="仿宋_GB2312" w:hAnsi="仿宋_GB2312" w:eastAsia="仿宋_GB2312" w:cs="仿宋_GB2312"/>
                <w:color w:val="000000"/>
                <w:sz w:val="21"/>
                <w:szCs w:val="21"/>
              </w:rPr>
            </w:pPr>
          </w:p>
        </w:tc>
        <w:tc>
          <w:tcPr>
            <w:tcW w:w="1098"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3531"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730"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一般</w:t>
            </w:r>
          </w:p>
        </w:tc>
        <w:tc>
          <w:tcPr>
            <w:tcW w:w="2378"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货值金额一万元以上五万元以下的</w:t>
            </w:r>
          </w:p>
        </w:tc>
        <w:tc>
          <w:tcPr>
            <w:tcW w:w="2105"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3737"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并处货值金额二倍以上三倍以下罚款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1" w:hRule="atLeast"/>
          <w:jc w:val="center"/>
        </w:trPr>
        <w:tc>
          <w:tcPr>
            <w:tcW w:w="421" w:type="dxa"/>
            <w:vMerge w:val="continue"/>
            <w:tcBorders>
              <w:tl2br w:val="nil"/>
              <w:tr2bl w:val="nil"/>
            </w:tcBorders>
            <w:tcMar>
              <w:top w:w="57" w:type="dxa"/>
              <w:left w:w="57" w:type="dxa"/>
              <w:bottom w:w="57" w:type="dxa"/>
              <w:right w:w="57" w:type="dxa"/>
            </w:tcMar>
            <w:vAlign w:val="center"/>
          </w:tcPr>
          <w:p>
            <w:pPr>
              <w:adjustRightInd w:val="0"/>
              <w:snapToGrid w:val="0"/>
              <w:jc w:val="center"/>
              <w:rPr>
                <w:rFonts w:ascii="仿宋_GB2312" w:hAnsi="仿宋_GB2312" w:eastAsia="仿宋_GB2312" w:cs="仿宋_GB2312"/>
                <w:color w:val="000000"/>
                <w:sz w:val="21"/>
                <w:szCs w:val="21"/>
              </w:rPr>
            </w:pPr>
          </w:p>
        </w:tc>
        <w:tc>
          <w:tcPr>
            <w:tcW w:w="1098"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3531"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730"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严重</w:t>
            </w:r>
          </w:p>
        </w:tc>
        <w:tc>
          <w:tcPr>
            <w:tcW w:w="2378"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货值金额五万元以上或者拒不改正的</w:t>
            </w:r>
          </w:p>
        </w:tc>
        <w:tc>
          <w:tcPr>
            <w:tcW w:w="2105"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3737"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并处货值金额三倍以上五倍以下罚款；拒不改正或者情节严重的，抄告发证机关吊销农药生产许可证和相应的农药登记证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8" w:hRule="atLeast"/>
          <w:jc w:val="center"/>
        </w:trPr>
        <w:tc>
          <w:tcPr>
            <w:tcW w:w="421" w:type="dxa"/>
            <w:vMerge w:val="restart"/>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6</w:t>
            </w:r>
          </w:p>
        </w:tc>
        <w:tc>
          <w:tcPr>
            <w:tcW w:w="1098" w:type="dxa"/>
            <w:vMerge w:val="restart"/>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农药生产企业出厂销售未经质量检验合格并附具产品质量检验合格证的农药的</w:t>
            </w:r>
          </w:p>
        </w:tc>
        <w:tc>
          <w:tcPr>
            <w:tcW w:w="3531" w:type="dxa"/>
            <w:vMerge w:val="restart"/>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农药管理条例》第五十三条第二项，农药生产企业有下列行为之一的，由县级以上地方人民政府农业主管部门责令改正，没收违法所得、违法生产的产品和用于违法生产的原材料等，违法生产的产品货值金额不足1万元的，并处1万元以上2万元以下罚款，货值金额1万元以上的，并处货值金额2倍以上5倍以下罚款；拒不改正或者情节严重的，由发证机关吊销农药生产许可证和相应的农药登记证：</w:t>
            </w:r>
          </w:p>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（二）出厂销售未经质量检验合格并附具产品质量检验合格证的农药。</w:t>
            </w:r>
          </w:p>
        </w:tc>
        <w:tc>
          <w:tcPr>
            <w:tcW w:w="730"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较轻</w:t>
            </w:r>
          </w:p>
        </w:tc>
        <w:tc>
          <w:tcPr>
            <w:tcW w:w="2378"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货值金额一万元以下的</w:t>
            </w:r>
          </w:p>
        </w:tc>
        <w:tc>
          <w:tcPr>
            <w:tcW w:w="2105" w:type="dxa"/>
            <w:vMerge w:val="restart"/>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责令改正，没收违法所得、没收违法生产的产品和用于违法生产的原材料等</w:t>
            </w:r>
          </w:p>
        </w:tc>
        <w:tc>
          <w:tcPr>
            <w:tcW w:w="3737"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并处一万元以上二万元以下罚款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87" w:hRule="atLeast"/>
          <w:jc w:val="center"/>
        </w:trPr>
        <w:tc>
          <w:tcPr>
            <w:tcW w:w="421" w:type="dxa"/>
            <w:vMerge w:val="continue"/>
            <w:tcBorders>
              <w:tl2br w:val="nil"/>
              <w:tr2bl w:val="nil"/>
            </w:tcBorders>
            <w:tcMar>
              <w:top w:w="57" w:type="dxa"/>
              <w:left w:w="57" w:type="dxa"/>
              <w:bottom w:w="57" w:type="dxa"/>
              <w:right w:w="57" w:type="dxa"/>
            </w:tcMar>
            <w:vAlign w:val="center"/>
          </w:tcPr>
          <w:p>
            <w:pPr>
              <w:adjustRightInd w:val="0"/>
              <w:snapToGrid w:val="0"/>
              <w:jc w:val="center"/>
              <w:rPr>
                <w:rFonts w:ascii="仿宋_GB2312" w:hAnsi="仿宋_GB2312" w:eastAsia="仿宋_GB2312" w:cs="仿宋_GB2312"/>
                <w:color w:val="000000"/>
                <w:sz w:val="21"/>
                <w:szCs w:val="21"/>
              </w:rPr>
            </w:pPr>
          </w:p>
        </w:tc>
        <w:tc>
          <w:tcPr>
            <w:tcW w:w="1098"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3531"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730"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一般</w:t>
            </w:r>
          </w:p>
        </w:tc>
        <w:tc>
          <w:tcPr>
            <w:tcW w:w="2378"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货值金额一万元以上五万元以下的</w:t>
            </w:r>
          </w:p>
        </w:tc>
        <w:tc>
          <w:tcPr>
            <w:tcW w:w="2105"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3737"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并处货值金额二倍以上三倍以下罚款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8" w:hRule="atLeast"/>
          <w:jc w:val="center"/>
        </w:trPr>
        <w:tc>
          <w:tcPr>
            <w:tcW w:w="421" w:type="dxa"/>
            <w:vMerge w:val="continue"/>
            <w:tcBorders>
              <w:tl2br w:val="nil"/>
              <w:tr2bl w:val="nil"/>
            </w:tcBorders>
            <w:tcMar>
              <w:top w:w="57" w:type="dxa"/>
              <w:left w:w="57" w:type="dxa"/>
              <w:bottom w:w="57" w:type="dxa"/>
              <w:right w:w="57" w:type="dxa"/>
            </w:tcMar>
            <w:vAlign w:val="center"/>
          </w:tcPr>
          <w:p>
            <w:pPr>
              <w:adjustRightInd w:val="0"/>
              <w:snapToGrid w:val="0"/>
              <w:jc w:val="center"/>
              <w:rPr>
                <w:rFonts w:ascii="仿宋_GB2312" w:hAnsi="仿宋_GB2312" w:eastAsia="仿宋_GB2312" w:cs="仿宋_GB2312"/>
                <w:color w:val="000000"/>
                <w:sz w:val="21"/>
                <w:szCs w:val="21"/>
              </w:rPr>
            </w:pPr>
          </w:p>
        </w:tc>
        <w:tc>
          <w:tcPr>
            <w:tcW w:w="1098"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3531"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730"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严重</w:t>
            </w:r>
          </w:p>
        </w:tc>
        <w:tc>
          <w:tcPr>
            <w:tcW w:w="2378"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货值金额五万元以上或者拒不改正的</w:t>
            </w:r>
          </w:p>
        </w:tc>
        <w:tc>
          <w:tcPr>
            <w:tcW w:w="2105"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3737"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并处货值金额三倍以上五倍以下罚款，拒不改正或者情节严重的，抄告发证机关吊销农药生产许可证和相应的农药登记证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9" w:hRule="atLeast"/>
          <w:jc w:val="center"/>
        </w:trPr>
        <w:tc>
          <w:tcPr>
            <w:tcW w:w="421" w:type="dxa"/>
            <w:vMerge w:val="restart"/>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7</w:t>
            </w:r>
          </w:p>
        </w:tc>
        <w:tc>
          <w:tcPr>
            <w:tcW w:w="1098" w:type="dxa"/>
            <w:vMerge w:val="restart"/>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农药生产企业生产的农药包装、标签、说明书不符合规定的</w:t>
            </w:r>
          </w:p>
        </w:tc>
        <w:tc>
          <w:tcPr>
            <w:tcW w:w="3531" w:type="dxa"/>
            <w:vMerge w:val="restart"/>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农药管理条例》第五十三条第三项，农药生产企业有下列行为之一的，由县级以上地方人民政府农业主管部门责令改正，没收违法所得、违法生产的产品和用于违法生产的原材料等，违法生产的产品货值金额不足1万元的，并处1万元以上2万元以下罚款，货值金额1万元以上的，并处货值金额2倍以上5倍以下罚款；拒不改正或者情节严重的，由发证机关吊销农药生产许可证和相应的农药登记证：</w:t>
            </w:r>
          </w:p>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（三）生产的农药包装、标签、说明书不符合规定。</w:t>
            </w:r>
          </w:p>
        </w:tc>
        <w:tc>
          <w:tcPr>
            <w:tcW w:w="730"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较轻</w:t>
            </w:r>
          </w:p>
        </w:tc>
        <w:tc>
          <w:tcPr>
            <w:tcW w:w="2378"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货值金额一万元以下的</w:t>
            </w:r>
          </w:p>
        </w:tc>
        <w:tc>
          <w:tcPr>
            <w:tcW w:w="2105" w:type="dxa"/>
            <w:vMerge w:val="restart"/>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责令改正，没收违法所得、没收违法生产的产品和用于违法生产的原材料等</w:t>
            </w:r>
          </w:p>
        </w:tc>
        <w:tc>
          <w:tcPr>
            <w:tcW w:w="3737"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并处一万元以上二万元以下罚款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7" w:hRule="atLeast"/>
          <w:jc w:val="center"/>
        </w:trPr>
        <w:tc>
          <w:tcPr>
            <w:tcW w:w="421" w:type="dxa"/>
            <w:vMerge w:val="continue"/>
            <w:tcBorders>
              <w:tl2br w:val="nil"/>
              <w:tr2bl w:val="nil"/>
            </w:tcBorders>
            <w:tcMar>
              <w:top w:w="57" w:type="dxa"/>
              <w:left w:w="57" w:type="dxa"/>
              <w:bottom w:w="57" w:type="dxa"/>
              <w:right w:w="57" w:type="dxa"/>
            </w:tcMar>
            <w:vAlign w:val="center"/>
          </w:tcPr>
          <w:p>
            <w:pPr>
              <w:adjustRightInd w:val="0"/>
              <w:snapToGrid w:val="0"/>
              <w:jc w:val="center"/>
              <w:rPr>
                <w:rFonts w:ascii="仿宋_GB2312" w:hAnsi="仿宋_GB2312" w:eastAsia="仿宋_GB2312" w:cs="仿宋_GB2312"/>
                <w:color w:val="000000"/>
                <w:sz w:val="21"/>
                <w:szCs w:val="21"/>
              </w:rPr>
            </w:pPr>
          </w:p>
        </w:tc>
        <w:tc>
          <w:tcPr>
            <w:tcW w:w="1098"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3531"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730"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一般</w:t>
            </w:r>
          </w:p>
        </w:tc>
        <w:tc>
          <w:tcPr>
            <w:tcW w:w="2378"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货值金额一万元以上五万元以下的</w:t>
            </w:r>
          </w:p>
        </w:tc>
        <w:tc>
          <w:tcPr>
            <w:tcW w:w="2105"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3737"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并处货值金额二倍以上三倍以下罚款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421" w:type="dxa"/>
            <w:vMerge w:val="continue"/>
            <w:tcBorders>
              <w:tl2br w:val="nil"/>
              <w:tr2bl w:val="nil"/>
            </w:tcBorders>
            <w:tcMar>
              <w:top w:w="57" w:type="dxa"/>
              <w:left w:w="57" w:type="dxa"/>
              <w:bottom w:w="57" w:type="dxa"/>
              <w:right w:w="57" w:type="dxa"/>
            </w:tcMar>
            <w:vAlign w:val="center"/>
          </w:tcPr>
          <w:p>
            <w:pPr>
              <w:adjustRightInd w:val="0"/>
              <w:snapToGrid w:val="0"/>
              <w:jc w:val="center"/>
              <w:rPr>
                <w:rFonts w:ascii="仿宋_GB2312" w:hAnsi="仿宋_GB2312" w:eastAsia="仿宋_GB2312" w:cs="仿宋_GB2312"/>
                <w:color w:val="000000"/>
                <w:sz w:val="21"/>
                <w:szCs w:val="21"/>
              </w:rPr>
            </w:pPr>
          </w:p>
        </w:tc>
        <w:tc>
          <w:tcPr>
            <w:tcW w:w="1098"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3531"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730"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严重</w:t>
            </w:r>
          </w:p>
        </w:tc>
        <w:tc>
          <w:tcPr>
            <w:tcW w:w="2378"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货值金额五万元以上或者拒不改正的</w:t>
            </w:r>
          </w:p>
        </w:tc>
        <w:tc>
          <w:tcPr>
            <w:tcW w:w="2105"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3737"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并处货值金额三倍以上五倍以下罚款；拒不改正或者情节严重的，抄告发证机关吊销农药生产许可证和相应的农药登记证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18" w:hRule="atLeast"/>
          <w:jc w:val="center"/>
        </w:trPr>
        <w:tc>
          <w:tcPr>
            <w:tcW w:w="421" w:type="dxa"/>
            <w:vMerge w:val="restart"/>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8</w:t>
            </w:r>
          </w:p>
        </w:tc>
        <w:tc>
          <w:tcPr>
            <w:tcW w:w="1098" w:type="dxa"/>
            <w:vMerge w:val="restart"/>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农药生产企业不召回依法应当召回的农药的</w:t>
            </w:r>
          </w:p>
        </w:tc>
        <w:tc>
          <w:tcPr>
            <w:tcW w:w="3531" w:type="dxa"/>
            <w:vMerge w:val="restart"/>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pacing w:val="-4"/>
                <w:kern w:val="0"/>
                <w:sz w:val="21"/>
                <w:szCs w:val="21"/>
              </w:rPr>
            </w:pPr>
            <w:r>
              <w:rPr>
                <w:rFonts w:hint="eastAsia" w:ascii="仿宋_GB2312" w:hAnsi="仿宋_GB2312" w:eastAsia="仿宋_GB2312" w:cs="仿宋_GB2312"/>
                <w:color w:val="000000"/>
                <w:spacing w:val="-4"/>
                <w:kern w:val="0"/>
                <w:sz w:val="21"/>
                <w:szCs w:val="21"/>
              </w:rPr>
              <w:t>《农药管理条例》第五十三条第四项，农药生产企业有下列行为之一的，由县级以上地方人民政府农业主管部门责令改正，没收违法所得、违法生产的产品和用于违法生产的原材料等，违法生产的产品货值金额不足1万元的，并处1万元以上2万元以下罚款，货值金额1万元以上的，并处货值金额2倍以上5倍以下罚款；拒不改正或者情节严重的，由发证机关吊销农药生产许可证和相应的农药登记证：</w:t>
            </w:r>
          </w:p>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spacing w:val="-4"/>
                <w:kern w:val="0"/>
                <w:sz w:val="21"/>
                <w:szCs w:val="21"/>
              </w:rPr>
              <w:t>（四）不召回依法应当召回的农药。</w:t>
            </w:r>
          </w:p>
        </w:tc>
        <w:tc>
          <w:tcPr>
            <w:tcW w:w="730"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较轻</w:t>
            </w:r>
          </w:p>
        </w:tc>
        <w:tc>
          <w:tcPr>
            <w:tcW w:w="2378"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货值金额不足一万元的</w:t>
            </w:r>
          </w:p>
        </w:tc>
        <w:tc>
          <w:tcPr>
            <w:tcW w:w="2105" w:type="dxa"/>
            <w:vMerge w:val="restart"/>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责令改正，没收违法所得、没收违法生产的产品和用于违法生产的原材料等</w:t>
            </w:r>
          </w:p>
        </w:tc>
        <w:tc>
          <w:tcPr>
            <w:tcW w:w="3737"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并处一万元以上二万元以下罚款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84" w:hRule="atLeast"/>
          <w:jc w:val="center"/>
        </w:trPr>
        <w:tc>
          <w:tcPr>
            <w:tcW w:w="421" w:type="dxa"/>
            <w:vMerge w:val="continue"/>
            <w:tcBorders>
              <w:tl2br w:val="nil"/>
              <w:tr2bl w:val="nil"/>
            </w:tcBorders>
            <w:tcMar>
              <w:top w:w="57" w:type="dxa"/>
              <w:left w:w="57" w:type="dxa"/>
              <w:bottom w:w="57" w:type="dxa"/>
              <w:right w:w="57" w:type="dxa"/>
            </w:tcMar>
            <w:vAlign w:val="center"/>
          </w:tcPr>
          <w:p>
            <w:pPr>
              <w:adjustRightInd w:val="0"/>
              <w:snapToGrid w:val="0"/>
              <w:jc w:val="center"/>
              <w:rPr>
                <w:rFonts w:ascii="仿宋_GB2312" w:hAnsi="仿宋_GB2312" w:eastAsia="仿宋_GB2312" w:cs="仿宋_GB2312"/>
                <w:color w:val="000000"/>
                <w:sz w:val="21"/>
                <w:szCs w:val="21"/>
              </w:rPr>
            </w:pPr>
          </w:p>
        </w:tc>
        <w:tc>
          <w:tcPr>
            <w:tcW w:w="1098"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3531"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730"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一般</w:t>
            </w:r>
          </w:p>
        </w:tc>
        <w:tc>
          <w:tcPr>
            <w:tcW w:w="2378"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货值金额一万元以上五万元以下的</w:t>
            </w:r>
          </w:p>
        </w:tc>
        <w:tc>
          <w:tcPr>
            <w:tcW w:w="2105"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3737"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并处货值金额二倍以上三倍以下罚款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421" w:type="dxa"/>
            <w:vMerge w:val="continue"/>
            <w:tcBorders>
              <w:tl2br w:val="nil"/>
              <w:tr2bl w:val="nil"/>
            </w:tcBorders>
            <w:tcMar>
              <w:top w:w="57" w:type="dxa"/>
              <w:left w:w="57" w:type="dxa"/>
              <w:bottom w:w="57" w:type="dxa"/>
              <w:right w:w="57" w:type="dxa"/>
            </w:tcMar>
            <w:vAlign w:val="center"/>
          </w:tcPr>
          <w:p>
            <w:pPr>
              <w:adjustRightInd w:val="0"/>
              <w:snapToGrid w:val="0"/>
              <w:jc w:val="center"/>
              <w:rPr>
                <w:rFonts w:ascii="仿宋_GB2312" w:hAnsi="仿宋_GB2312" w:eastAsia="仿宋_GB2312" w:cs="仿宋_GB2312"/>
                <w:color w:val="000000"/>
                <w:sz w:val="21"/>
                <w:szCs w:val="21"/>
              </w:rPr>
            </w:pPr>
          </w:p>
        </w:tc>
        <w:tc>
          <w:tcPr>
            <w:tcW w:w="1098"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3531"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730"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严重</w:t>
            </w:r>
          </w:p>
        </w:tc>
        <w:tc>
          <w:tcPr>
            <w:tcW w:w="2378"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货值金额五万元以上或者拒不改正的</w:t>
            </w:r>
          </w:p>
        </w:tc>
        <w:tc>
          <w:tcPr>
            <w:tcW w:w="2105"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3737"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并处货值金额三倍以上五倍以下罚款；拒不改正或者情节严重的，抄告发证机关吊销农药生产许可证和相应的农药登记证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421" w:type="dxa"/>
            <w:vMerge w:val="restart"/>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9</w:t>
            </w:r>
          </w:p>
        </w:tc>
        <w:tc>
          <w:tcPr>
            <w:tcW w:w="1098" w:type="dxa"/>
            <w:vMerge w:val="restart"/>
            <w:tcBorders>
              <w:tl2br w:val="nil"/>
              <w:tr2bl w:val="nil"/>
            </w:tcBorders>
            <w:tcMar>
              <w:top w:w="57" w:type="dxa"/>
              <w:left w:w="57" w:type="dxa"/>
              <w:bottom w:w="57" w:type="dxa"/>
              <w:right w:w="57" w:type="dxa"/>
            </w:tcMar>
            <w:vAlign w:val="center"/>
          </w:tcPr>
          <w:p>
            <w:pPr>
              <w:widowControl/>
              <w:adjustRightInd w:val="0"/>
              <w:snapToGrid w:val="0"/>
              <w:spacing w:line="292" w:lineRule="exact"/>
              <w:textAlignment w:val="center"/>
              <w:rPr>
                <w:rFonts w:ascii="仿宋_GB2312" w:hAnsi="仿宋_GB2312" w:eastAsia="仿宋_GB2312" w:cs="仿宋_GB2312"/>
                <w:color w:val="000000"/>
                <w:spacing w:val="-6"/>
                <w:w w:val="96"/>
                <w:sz w:val="21"/>
                <w:szCs w:val="21"/>
              </w:rPr>
            </w:pPr>
            <w:r>
              <w:rPr>
                <w:rFonts w:hint="eastAsia" w:ascii="仿宋_GB2312" w:hAnsi="仿宋_GB2312" w:eastAsia="仿宋_GB2312" w:cs="仿宋_GB2312"/>
                <w:color w:val="000000"/>
                <w:spacing w:val="-6"/>
                <w:w w:val="96"/>
                <w:kern w:val="0"/>
                <w:sz w:val="21"/>
                <w:szCs w:val="21"/>
              </w:rPr>
              <w:t>农药生产企业不执行原材料进货、农药出厂销售记录制度，或者不履行农药废弃物回收义务的</w:t>
            </w:r>
          </w:p>
        </w:tc>
        <w:tc>
          <w:tcPr>
            <w:tcW w:w="3531" w:type="dxa"/>
            <w:vMerge w:val="restart"/>
            <w:tcBorders>
              <w:tl2br w:val="nil"/>
              <w:tr2bl w:val="nil"/>
            </w:tcBorders>
            <w:tcMar>
              <w:top w:w="57" w:type="dxa"/>
              <w:left w:w="57" w:type="dxa"/>
              <w:bottom w:w="57" w:type="dxa"/>
              <w:right w:w="57" w:type="dxa"/>
            </w:tcMar>
            <w:vAlign w:val="center"/>
          </w:tcPr>
          <w:p>
            <w:pPr>
              <w:widowControl/>
              <w:adjustRightInd w:val="0"/>
              <w:snapToGrid w:val="0"/>
              <w:spacing w:line="292" w:lineRule="exact"/>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农药管理条例》第五十四条，农药生产企业不执行原材料进货、农药出厂销售记录制度，或者不履行农药废弃物回收义务的，由县级以上地方人民政府农业主管部门责令改正，处1万元以上5万元以下罚款；拒不改正或者情节严重的，由发证机关吊销农药生产许可证和相应的农药登记证。</w:t>
            </w:r>
          </w:p>
        </w:tc>
        <w:tc>
          <w:tcPr>
            <w:tcW w:w="730"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较轻</w:t>
            </w:r>
          </w:p>
        </w:tc>
        <w:tc>
          <w:tcPr>
            <w:tcW w:w="2378"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初次违法</w:t>
            </w:r>
          </w:p>
        </w:tc>
        <w:tc>
          <w:tcPr>
            <w:tcW w:w="2105" w:type="dxa"/>
            <w:vMerge w:val="restart"/>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责令改正</w:t>
            </w:r>
          </w:p>
        </w:tc>
        <w:tc>
          <w:tcPr>
            <w:tcW w:w="3737"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处一万元以上二万元以下罚款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421" w:type="dxa"/>
            <w:vMerge w:val="continue"/>
            <w:tcBorders>
              <w:tl2br w:val="nil"/>
              <w:tr2bl w:val="nil"/>
            </w:tcBorders>
            <w:tcMar>
              <w:top w:w="57" w:type="dxa"/>
              <w:left w:w="57" w:type="dxa"/>
              <w:bottom w:w="57" w:type="dxa"/>
              <w:right w:w="57" w:type="dxa"/>
            </w:tcMar>
            <w:vAlign w:val="center"/>
          </w:tcPr>
          <w:p>
            <w:pPr>
              <w:adjustRightInd w:val="0"/>
              <w:snapToGrid w:val="0"/>
              <w:jc w:val="center"/>
              <w:rPr>
                <w:rFonts w:ascii="仿宋_GB2312" w:hAnsi="仿宋_GB2312" w:eastAsia="仿宋_GB2312" w:cs="仿宋_GB2312"/>
                <w:color w:val="000000"/>
                <w:sz w:val="21"/>
                <w:szCs w:val="21"/>
              </w:rPr>
            </w:pPr>
          </w:p>
        </w:tc>
        <w:tc>
          <w:tcPr>
            <w:tcW w:w="1098" w:type="dxa"/>
            <w:vMerge w:val="continue"/>
            <w:tcBorders>
              <w:tl2br w:val="nil"/>
              <w:tr2bl w:val="nil"/>
            </w:tcBorders>
            <w:tcMar>
              <w:top w:w="57" w:type="dxa"/>
              <w:left w:w="57" w:type="dxa"/>
              <w:bottom w:w="57" w:type="dxa"/>
              <w:right w:w="57" w:type="dxa"/>
            </w:tcMar>
            <w:vAlign w:val="center"/>
          </w:tcPr>
          <w:p>
            <w:pPr>
              <w:adjustRightInd w:val="0"/>
              <w:snapToGrid w:val="0"/>
              <w:spacing w:line="292" w:lineRule="exact"/>
              <w:rPr>
                <w:rFonts w:ascii="仿宋_GB2312" w:hAnsi="仿宋_GB2312" w:eastAsia="仿宋_GB2312" w:cs="仿宋_GB2312"/>
                <w:color w:val="000000"/>
                <w:sz w:val="21"/>
                <w:szCs w:val="21"/>
              </w:rPr>
            </w:pPr>
          </w:p>
        </w:tc>
        <w:tc>
          <w:tcPr>
            <w:tcW w:w="3531" w:type="dxa"/>
            <w:vMerge w:val="continue"/>
            <w:tcBorders>
              <w:tl2br w:val="nil"/>
              <w:tr2bl w:val="nil"/>
            </w:tcBorders>
            <w:tcMar>
              <w:top w:w="57" w:type="dxa"/>
              <w:left w:w="57" w:type="dxa"/>
              <w:bottom w:w="57" w:type="dxa"/>
              <w:right w:w="57" w:type="dxa"/>
            </w:tcMar>
            <w:vAlign w:val="center"/>
          </w:tcPr>
          <w:p>
            <w:pPr>
              <w:adjustRightInd w:val="0"/>
              <w:snapToGrid w:val="0"/>
              <w:spacing w:line="292" w:lineRule="exact"/>
              <w:rPr>
                <w:rFonts w:ascii="仿宋_GB2312" w:hAnsi="仿宋_GB2312" w:eastAsia="仿宋_GB2312" w:cs="仿宋_GB2312"/>
                <w:color w:val="000000"/>
                <w:sz w:val="21"/>
                <w:szCs w:val="21"/>
              </w:rPr>
            </w:pPr>
          </w:p>
        </w:tc>
        <w:tc>
          <w:tcPr>
            <w:tcW w:w="730"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一般</w:t>
            </w:r>
          </w:p>
        </w:tc>
        <w:tc>
          <w:tcPr>
            <w:tcW w:w="2378"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再次违法</w:t>
            </w:r>
          </w:p>
        </w:tc>
        <w:tc>
          <w:tcPr>
            <w:tcW w:w="2105"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3737"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处二万元以上三万元以下罚款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421" w:type="dxa"/>
            <w:vMerge w:val="continue"/>
            <w:tcBorders>
              <w:tl2br w:val="nil"/>
              <w:tr2bl w:val="nil"/>
            </w:tcBorders>
            <w:tcMar>
              <w:top w:w="57" w:type="dxa"/>
              <w:left w:w="57" w:type="dxa"/>
              <w:bottom w:w="57" w:type="dxa"/>
              <w:right w:w="57" w:type="dxa"/>
            </w:tcMar>
            <w:vAlign w:val="center"/>
          </w:tcPr>
          <w:p>
            <w:pPr>
              <w:adjustRightInd w:val="0"/>
              <w:snapToGrid w:val="0"/>
              <w:jc w:val="center"/>
              <w:rPr>
                <w:rFonts w:ascii="仿宋_GB2312" w:hAnsi="仿宋_GB2312" w:eastAsia="仿宋_GB2312" w:cs="仿宋_GB2312"/>
                <w:color w:val="000000"/>
                <w:sz w:val="21"/>
                <w:szCs w:val="21"/>
              </w:rPr>
            </w:pPr>
          </w:p>
        </w:tc>
        <w:tc>
          <w:tcPr>
            <w:tcW w:w="1098" w:type="dxa"/>
            <w:vMerge w:val="continue"/>
            <w:tcBorders>
              <w:tl2br w:val="nil"/>
              <w:tr2bl w:val="nil"/>
            </w:tcBorders>
            <w:tcMar>
              <w:top w:w="57" w:type="dxa"/>
              <w:left w:w="57" w:type="dxa"/>
              <w:bottom w:w="57" w:type="dxa"/>
              <w:right w:w="57" w:type="dxa"/>
            </w:tcMar>
            <w:vAlign w:val="center"/>
          </w:tcPr>
          <w:p>
            <w:pPr>
              <w:adjustRightInd w:val="0"/>
              <w:snapToGrid w:val="0"/>
              <w:spacing w:line="292" w:lineRule="exact"/>
              <w:rPr>
                <w:rFonts w:ascii="仿宋_GB2312" w:hAnsi="仿宋_GB2312" w:eastAsia="仿宋_GB2312" w:cs="仿宋_GB2312"/>
                <w:color w:val="000000"/>
                <w:sz w:val="21"/>
                <w:szCs w:val="21"/>
              </w:rPr>
            </w:pPr>
          </w:p>
        </w:tc>
        <w:tc>
          <w:tcPr>
            <w:tcW w:w="3531" w:type="dxa"/>
            <w:vMerge w:val="continue"/>
            <w:tcBorders>
              <w:tl2br w:val="nil"/>
              <w:tr2bl w:val="nil"/>
            </w:tcBorders>
            <w:tcMar>
              <w:top w:w="57" w:type="dxa"/>
              <w:left w:w="57" w:type="dxa"/>
              <w:bottom w:w="57" w:type="dxa"/>
              <w:right w:w="57" w:type="dxa"/>
            </w:tcMar>
            <w:vAlign w:val="center"/>
          </w:tcPr>
          <w:p>
            <w:pPr>
              <w:adjustRightInd w:val="0"/>
              <w:snapToGrid w:val="0"/>
              <w:spacing w:line="292" w:lineRule="exact"/>
              <w:rPr>
                <w:rFonts w:ascii="仿宋_GB2312" w:hAnsi="仿宋_GB2312" w:eastAsia="仿宋_GB2312" w:cs="仿宋_GB2312"/>
                <w:color w:val="000000"/>
                <w:sz w:val="21"/>
                <w:szCs w:val="21"/>
              </w:rPr>
            </w:pPr>
          </w:p>
        </w:tc>
        <w:tc>
          <w:tcPr>
            <w:tcW w:w="730"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严重</w:t>
            </w:r>
          </w:p>
        </w:tc>
        <w:tc>
          <w:tcPr>
            <w:tcW w:w="2378"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三次以上违法或者拒不改正的</w:t>
            </w:r>
          </w:p>
        </w:tc>
        <w:tc>
          <w:tcPr>
            <w:tcW w:w="2105"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3737"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处三万元以上五万元以下罚款，抄告发证机关吊销农药生产许可证和相应的农药登记证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421" w:type="dxa"/>
            <w:vMerge w:val="restart"/>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10</w:t>
            </w:r>
          </w:p>
        </w:tc>
        <w:tc>
          <w:tcPr>
            <w:tcW w:w="1098" w:type="dxa"/>
            <w:vMerge w:val="restart"/>
            <w:tcBorders>
              <w:tl2br w:val="nil"/>
              <w:tr2bl w:val="nil"/>
            </w:tcBorders>
            <w:tcMar>
              <w:top w:w="57" w:type="dxa"/>
              <w:left w:w="57" w:type="dxa"/>
              <w:bottom w:w="57" w:type="dxa"/>
              <w:right w:w="57" w:type="dxa"/>
            </w:tcMar>
            <w:vAlign w:val="center"/>
          </w:tcPr>
          <w:p>
            <w:pPr>
              <w:widowControl/>
              <w:adjustRightInd w:val="0"/>
              <w:snapToGrid w:val="0"/>
              <w:spacing w:line="292" w:lineRule="exact"/>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农药经营者未取得农药经营许可证经营农药的</w:t>
            </w:r>
          </w:p>
        </w:tc>
        <w:tc>
          <w:tcPr>
            <w:tcW w:w="3531" w:type="dxa"/>
            <w:vMerge w:val="restart"/>
            <w:tcBorders>
              <w:tl2br w:val="nil"/>
              <w:tr2bl w:val="nil"/>
            </w:tcBorders>
            <w:tcMar>
              <w:top w:w="57" w:type="dxa"/>
              <w:left w:w="57" w:type="dxa"/>
              <w:bottom w:w="57" w:type="dxa"/>
              <w:right w:w="57" w:type="dxa"/>
            </w:tcMar>
            <w:vAlign w:val="center"/>
          </w:tcPr>
          <w:p>
            <w:pPr>
              <w:widowControl/>
              <w:adjustRightInd w:val="0"/>
              <w:snapToGrid w:val="0"/>
              <w:spacing w:line="292" w:lineRule="exact"/>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农药管理条例》第五十五条第一款第一项，农药经营者有下列行为之一的，由县级以上地方人民政府农业主管部门责令停止经营，没收违法所得、违法经营的农药和用于违法经营的工具、设备等，违法经营的农药货值金额不足1万元的，并处5000元以上5万元以下罚款，货值金额1万元以上的，并处货值金额5倍以上10倍以下罚款；构成犯罪的，依法追究刑事责任：（一）违反本条例规定，未取得农药经营许可证经营农药。</w:t>
            </w:r>
            <w:r>
              <w:rPr>
                <w:rFonts w:hint="eastAsia" w:ascii="仿宋_GB2312" w:hAnsi="仿宋_GB2312" w:eastAsia="仿宋_GB2312" w:cs="仿宋_GB2312"/>
                <w:color w:val="000000"/>
                <w:kern w:val="0"/>
                <w:sz w:val="21"/>
                <w:szCs w:val="21"/>
              </w:rPr>
              <w:br w:type="textWrapping"/>
            </w:r>
            <w:r>
              <w:rPr>
                <w:rFonts w:hint="eastAsia" w:ascii="仿宋_GB2312" w:hAnsi="仿宋_GB2312" w:eastAsia="仿宋_GB2312" w:cs="仿宋_GB2312"/>
                <w:color w:val="000000"/>
                <w:kern w:val="0"/>
                <w:sz w:val="21"/>
                <w:szCs w:val="21"/>
              </w:rPr>
              <w:t>《农药经营许可管理办法》第二十一条第二款 超出经营范围经营限制使用农药，或者利用互联网经营限制使用农药的，按照未取得农药经营许可证处理。</w:t>
            </w:r>
          </w:p>
        </w:tc>
        <w:tc>
          <w:tcPr>
            <w:tcW w:w="730"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较轻</w:t>
            </w:r>
          </w:p>
        </w:tc>
        <w:tc>
          <w:tcPr>
            <w:tcW w:w="2378"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货值金额不足五千元</w:t>
            </w:r>
          </w:p>
        </w:tc>
        <w:tc>
          <w:tcPr>
            <w:tcW w:w="2105" w:type="dxa"/>
            <w:vMerge w:val="restart"/>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责令停止经营，没收违法经营的农药和用于违法经营的工具、设备等</w:t>
            </w:r>
          </w:p>
        </w:tc>
        <w:tc>
          <w:tcPr>
            <w:tcW w:w="3737"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处五千元以上二万元以下罚款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421" w:type="dxa"/>
            <w:vMerge w:val="continue"/>
            <w:tcBorders>
              <w:tl2br w:val="nil"/>
              <w:tr2bl w:val="nil"/>
            </w:tcBorders>
            <w:tcMar>
              <w:top w:w="57" w:type="dxa"/>
              <w:left w:w="57" w:type="dxa"/>
              <w:bottom w:w="57" w:type="dxa"/>
              <w:right w:w="57" w:type="dxa"/>
            </w:tcMar>
            <w:vAlign w:val="center"/>
          </w:tcPr>
          <w:p>
            <w:pPr>
              <w:adjustRightInd w:val="0"/>
              <w:snapToGrid w:val="0"/>
              <w:jc w:val="center"/>
              <w:rPr>
                <w:rFonts w:ascii="仿宋_GB2312" w:hAnsi="仿宋_GB2312" w:eastAsia="仿宋_GB2312" w:cs="仿宋_GB2312"/>
                <w:color w:val="000000"/>
                <w:sz w:val="21"/>
                <w:szCs w:val="21"/>
              </w:rPr>
            </w:pPr>
          </w:p>
        </w:tc>
        <w:tc>
          <w:tcPr>
            <w:tcW w:w="1098"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3531"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730"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一般</w:t>
            </w:r>
          </w:p>
        </w:tc>
        <w:tc>
          <w:tcPr>
            <w:tcW w:w="2378"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货值金额五千元以上一万元以下</w:t>
            </w:r>
          </w:p>
        </w:tc>
        <w:tc>
          <w:tcPr>
            <w:tcW w:w="2105"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3737"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处二万元以上五万元以下罚款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421" w:type="dxa"/>
            <w:vMerge w:val="continue"/>
            <w:tcBorders>
              <w:tl2br w:val="nil"/>
              <w:tr2bl w:val="nil"/>
            </w:tcBorders>
            <w:tcMar>
              <w:top w:w="57" w:type="dxa"/>
              <w:left w:w="57" w:type="dxa"/>
              <w:bottom w:w="57" w:type="dxa"/>
              <w:right w:w="57" w:type="dxa"/>
            </w:tcMar>
            <w:vAlign w:val="center"/>
          </w:tcPr>
          <w:p>
            <w:pPr>
              <w:adjustRightInd w:val="0"/>
              <w:snapToGrid w:val="0"/>
              <w:jc w:val="center"/>
              <w:rPr>
                <w:rFonts w:ascii="仿宋_GB2312" w:hAnsi="仿宋_GB2312" w:eastAsia="仿宋_GB2312" w:cs="仿宋_GB2312"/>
                <w:color w:val="000000"/>
                <w:sz w:val="21"/>
                <w:szCs w:val="21"/>
              </w:rPr>
            </w:pPr>
          </w:p>
        </w:tc>
        <w:tc>
          <w:tcPr>
            <w:tcW w:w="1098"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3531"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730"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较重</w:t>
            </w:r>
          </w:p>
        </w:tc>
        <w:tc>
          <w:tcPr>
            <w:tcW w:w="2378"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货值金额一万元以上五万元以下的</w:t>
            </w:r>
          </w:p>
        </w:tc>
        <w:tc>
          <w:tcPr>
            <w:tcW w:w="2105"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3737"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处货值金额五倍以上七倍以下罚款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421" w:type="dxa"/>
            <w:vMerge w:val="continue"/>
            <w:tcBorders>
              <w:tl2br w:val="nil"/>
              <w:tr2bl w:val="nil"/>
            </w:tcBorders>
            <w:tcMar>
              <w:top w:w="57" w:type="dxa"/>
              <w:left w:w="57" w:type="dxa"/>
              <w:bottom w:w="57" w:type="dxa"/>
              <w:right w:w="57" w:type="dxa"/>
            </w:tcMar>
            <w:vAlign w:val="center"/>
          </w:tcPr>
          <w:p>
            <w:pPr>
              <w:adjustRightInd w:val="0"/>
              <w:snapToGrid w:val="0"/>
              <w:jc w:val="center"/>
              <w:rPr>
                <w:rFonts w:ascii="仿宋_GB2312" w:hAnsi="仿宋_GB2312" w:eastAsia="仿宋_GB2312" w:cs="仿宋_GB2312"/>
                <w:color w:val="000000"/>
                <w:sz w:val="21"/>
                <w:szCs w:val="21"/>
              </w:rPr>
            </w:pPr>
          </w:p>
        </w:tc>
        <w:tc>
          <w:tcPr>
            <w:tcW w:w="1098"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3531"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730"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严重</w:t>
            </w:r>
          </w:p>
        </w:tc>
        <w:tc>
          <w:tcPr>
            <w:tcW w:w="2378"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货值金额五万元以上的</w:t>
            </w:r>
          </w:p>
        </w:tc>
        <w:tc>
          <w:tcPr>
            <w:tcW w:w="2105"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3737"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处货值金额七倍以上十倍以下罚款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62" w:hRule="atLeast"/>
          <w:jc w:val="center"/>
        </w:trPr>
        <w:tc>
          <w:tcPr>
            <w:tcW w:w="421" w:type="dxa"/>
            <w:vMerge w:val="restart"/>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11</w:t>
            </w:r>
          </w:p>
        </w:tc>
        <w:tc>
          <w:tcPr>
            <w:tcW w:w="1098" w:type="dxa"/>
            <w:vMerge w:val="restart"/>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农药经营者经营假农药的</w:t>
            </w:r>
          </w:p>
        </w:tc>
        <w:tc>
          <w:tcPr>
            <w:tcW w:w="3531" w:type="dxa"/>
            <w:vMerge w:val="restart"/>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农药管理条例》第五十五条第一款第二项，农药经营者有下列行为之一的，由县级以上地方人民政府农业主管部门责令停止经营，没收违法所得、违法经营的农药和用于违法经营的工具、设备等，违法经营的农药货值金额不足1万元的，并处5000元以上5万元以下罚款，货值金额1万元以上的，并处货值金额5倍以上10倍以下罚款；构成犯罪的，依法追究刑事责任：</w:t>
            </w:r>
          </w:p>
          <w:p>
            <w:pPr>
              <w:widowControl/>
              <w:adjustRightInd w:val="0"/>
              <w:snapToGrid w:val="0"/>
              <w:textAlignment w:val="center"/>
              <w:rPr>
                <w:rFonts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（二）经营假农药。</w:t>
            </w:r>
          </w:p>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第二款：有前款第二项、第三项规定的行为，情节严重的，还应当由发证机关吊销农药经营许可证。</w:t>
            </w:r>
          </w:p>
        </w:tc>
        <w:tc>
          <w:tcPr>
            <w:tcW w:w="730"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较轻</w:t>
            </w:r>
          </w:p>
        </w:tc>
        <w:tc>
          <w:tcPr>
            <w:tcW w:w="2378"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货值金额不足五千元</w:t>
            </w:r>
          </w:p>
        </w:tc>
        <w:tc>
          <w:tcPr>
            <w:tcW w:w="2105" w:type="dxa"/>
            <w:vMerge w:val="restart"/>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责令停止经营，没收违法所得、没收违法经营的农药和用于违法经营的工具、设备等</w:t>
            </w:r>
          </w:p>
        </w:tc>
        <w:tc>
          <w:tcPr>
            <w:tcW w:w="3737"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处五千元以上二万元以下罚款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2" w:hRule="atLeast"/>
          <w:jc w:val="center"/>
        </w:trPr>
        <w:tc>
          <w:tcPr>
            <w:tcW w:w="421" w:type="dxa"/>
            <w:vMerge w:val="continue"/>
            <w:tcBorders>
              <w:tl2br w:val="nil"/>
              <w:tr2bl w:val="nil"/>
            </w:tcBorders>
            <w:tcMar>
              <w:top w:w="57" w:type="dxa"/>
              <w:left w:w="57" w:type="dxa"/>
              <w:bottom w:w="57" w:type="dxa"/>
              <w:right w:w="57" w:type="dxa"/>
            </w:tcMar>
            <w:vAlign w:val="center"/>
          </w:tcPr>
          <w:p>
            <w:pPr>
              <w:adjustRightInd w:val="0"/>
              <w:snapToGrid w:val="0"/>
              <w:jc w:val="center"/>
              <w:rPr>
                <w:rFonts w:ascii="仿宋_GB2312" w:hAnsi="仿宋_GB2312" w:eastAsia="仿宋_GB2312" w:cs="仿宋_GB2312"/>
                <w:color w:val="000000"/>
                <w:sz w:val="21"/>
                <w:szCs w:val="21"/>
              </w:rPr>
            </w:pPr>
          </w:p>
        </w:tc>
        <w:tc>
          <w:tcPr>
            <w:tcW w:w="1098"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3531"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730"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一般</w:t>
            </w:r>
          </w:p>
        </w:tc>
        <w:tc>
          <w:tcPr>
            <w:tcW w:w="2378"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货值金额五千元以上一万元以下</w:t>
            </w:r>
          </w:p>
        </w:tc>
        <w:tc>
          <w:tcPr>
            <w:tcW w:w="2105"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3737"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处二万元以上五万元以下罚款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2" w:hRule="atLeast"/>
          <w:jc w:val="center"/>
        </w:trPr>
        <w:tc>
          <w:tcPr>
            <w:tcW w:w="421" w:type="dxa"/>
            <w:vMerge w:val="continue"/>
            <w:tcBorders>
              <w:tl2br w:val="nil"/>
              <w:tr2bl w:val="nil"/>
            </w:tcBorders>
            <w:tcMar>
              <w:top w:w="57" w:type="dxa"/>
              <w:left w:w="57" w:type="dxa"/>
              <w:bottom w:w="57" w:type="dxa"/>
              <w:right w:w="57" w:type="dxa"/>
            </w:tcMar>
            <w:vAlign w:val="center"/>
          </w:tcPr>
          <w:p>
            <w:pPr>
              <w:adjustRightInd w:val="0"/>
              <w:snapToGrid w:val="0"/>
              <w:jc w:val="center"/>
              <w:rPr>
                <w:rFonts w:ascii="仿宋_GB2312" w:hAnsi="仿宋_GB2312" w:eastAsia="仿宋_GB2312" w:cs="仿宋_GB2312"/>
                <w:color w:val="000000"/>
                <w:sz w:val="21"/>
                <w:szCs w:val="21"/>
              </w:rPr>
            </w:pPr>
          </w:p>
        </w:tc>
        <w:tc>
          <w:tcPr>
            <w:tcW w:w="1098"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3531"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730"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较重</w:t>
            </w:r>
          </w:p>
        </w:tc>
        <w:tc>
          <w:tcPr>
            <w:tcW w:w="2378"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货值金额一万元以上五万元以下的</w:t>
            </w:r>
          </w:p>
        </w:tc>
        <w:tc>
          <w:tcPr>
            <w:tcW w:w="2105"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3737"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处货值金额五倍以上七倍以下罚款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0" w:hRule="atLeast"/>
          <w:jc w:val="center"/>
        </w:trPr>
        <w:tc>
          <w:tcPr>
            <w:tcW w:w="421" w:type="dxa"/>
            <w:vMerge w:val="continue"/>
            <w:tcBorders>
              <w:tl2br w:val="nil"/>
              <w:tr2bl w:val="nil"/>
            </w:tcBorders>
            <w:tcMar>
              <w:top w:w="57" w:type="dxa"/>
              <w:left w:w="57" w:type="dxa"/>
              <w:bottom w:w="57" w:type="dxa"/>
              <w:right w:w="57" w:type="dxa"/>
            </w:tcMar>
            <w:vAlign w:val="center"/>
          </w:tcPr>
          <w:p>
            <w:pPr>
              <w:adjustRightInd w:val="0"/>
              <w:snapToGrid w:val="0"/>
              <w:jc w:val="center"/>
              <w:rPr>
                <w:rFonts w:ascii="仿宋_GB2312" w:hAnsi="仿宋_GB2312" w:eastAsia="仿宋_GB2312" w:cs="仿宋_GB2312"/>
                <w:color w:val="000000"/>
                <w:sz w:val="21"/>
                <w:szCs w:val="21"/>
              </w:rPr>
            </w:pPr>
          </w:p>
        </w:tc>
        <w:tc>
          <w:tcPr>
            <w:tcW w:w="1098"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3531"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730"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严重</w:t>
            </w:r>
          </w:p>
        </w:tc>
        <w:tc>
          <w:tcPr>
            <w:tcW w:w="2378"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货值金额五万元以上的</w:t>
            </w:r>
          </w:p>
        </w:tc>
        <w:tc>
          <w:tcPr>
            <w:tcW w:w="2105"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3737"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处货值金额七倍以上十倍以下罚款，抄告发证机关吊销农药经营许可证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3" w:hRule="atLeast"/>
          <w:jc w:val="center"/>
        </w:trPr>
        <w:tc>
          <w:tcPr>
            <w:tcW w:w="421" w:type="dxa"/>
            <w:vMerge w:val="restart"/>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12</w:t>
            </w:r>
          </w:p>
        </w:tc>
        <w:tc>
          <w:tcPr>
            <w:tcW w:w="1098" w:type="dxa"/>
            <w:vMerge w:val="restart"/>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农药经营者在农药中添加物质的</w:t>
            </w:r>
          </w:p>
        </w:tc>
        <w:tc>
          <w:tcPr>
            <w:tcW w:w="3531" w:type="dxa"/>
            <w:vMerge w:val="restart"/>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农药管理条例》第五十五条第一款第三项，农药经营者有下列行为之一的，由县级以上地方人民政府农业主管部门责令停止经营，没收违法所得、违法经营的农药和用于违法经营的工具、设备等，违法经营的农药货值金额不足1万元的，并处5000元以上5万元以下罚款，货值金额1万元以上的，并处货值金额5倍以上10倍以下罚款；构成犯罪的，依法追究刑事责任：</w:t>
            </w:r>
          </w:p>
          <w:p>
            <w:pPr>
              <w:widowControl/>
              <w:adjustRightInd w:val="0"/>
              <w:snapToGrid w:val="0"/>
              <w:textAlignment w:val="center"/>
              <w:rPr>
                <w:rFonts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（三）在农药中添加物质。</w:t>
            </w:r>
          </w:p>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第二款：有前款第二项、第三项规定的行为，情节严重的，还应当由发证机关吊销农药经营许可证。</w:t>
            </w:r>
          </w:p>
        </w:tc>
        <w:tc>
          <w:tcPr>
            <w:tcW w:w="730"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较轻</w:t>
            </w:r>
          </w:p>
        </w:tc>
        <w:tc>
          <w:tcPr>
            <w:tcW w:w="2378"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货值金额不足五千元</w:t>
            </w:r>
          </w:p>
        </w:tc>
        <w:tc>
          <w:tcPr>
            <w:tcW w:w="2105" w:type="dxa"/>
            <w:vMerge w:val="restart"/>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责令停止经营，没收违法所得、没收违法经营的农药和用于违法经营的工具、设备等</w:t>
            </w:r>
          </w:p>
        </w:tc>
        <w:tc>
          <w:tcPr>
            <w:tcW w:w="3737"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处五千元以上二万元以下罚款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6" w:hRule="atLeast"/>
          <w:jc w:val="center"/>
        </w:trPr>
        <w:tc>
          <w:tcPr>
            <w:tcW w:w="421" w:type="dxa"/>
            <w:vMerge w:val="continue"/>
            <w:tcBorders>
              <w:tl2br w:val="nil"/>
              <w:tr2bl w:val="nil"/>
            </w:tcBorders>
            <w:tcMar>
              <w:top w:w="57" w:type="dxa"/>
              <w:left w:w="57" w:type="dxa"/>
              <w:bottom w:w="57" w:type="dxa"/>
              <w:right w:w="57" w:type="dxa"/>
            </w:tcMar>
            <w:vAlign w:val="center"/>
          </w:tcPr>
          <w:p>
            <w:pPr>
              <w:adjustRightInd w:val="0"/>
              <w:snapToGrid w:val="0"/>
              <w:jc w:val="center"/>
              <w:rPr>
                <w:rFonts w:ascii="仿宋_GB2312" w:hAnsi="仿宋_GB2312" w:eastAsia="仿宋_GB2312" w:cs="仿宋_GB2312"/>
                <w:color w:val="000000"/>
                <w:sz w:val="21"/>
                <w:szCs w:val="21"/>
              </w:rPr>
            </w:pPr>
          </w:p>
        </w:tc>
        <w:tc>
          <w:tcPr>
            <w:tcW w:w="1098"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3531"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730"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一般</w:t>
            </w:r>
          </w:p>
        </w:tc>
        <w:tc>
          <w:tcPr>
            <w:tcW w:w="2378"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货值金额五千元以上一万元以下</w:t>
            </w:r>
          </w:p>
        </w:tc>
        <w:tc>
          <w:tcPr>
            <w:tcW w:w="2105"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3737"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处二万元以上五万元以下罚款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6" w:hRule="atLeast"/>
          <w:jc w:val="center"/>
        </w:trPr>
        <w:tc>
          <w:tcPr>
            <w:tcW w:w="421" w:type="dxa"/>
            <w:vMerge w:val="continue"/>
            <w:tcBorders>
              <w:tl2br w:val="nil"/>
              <w:tr2bl w:val="nil"/>
            </w:tcBorders>
            <w:tcMar>
              <w:top w:w="57" w:type="dxa"/>
              <w:left w:w="57" w:type="dxa"/>
              <w:bottom w:w="57" w:type="dxa"/>
              <w:right w:w="57" w:type="dxa"/>
            </w:tcMar>
            <w:vAlign w:val="center"/>
          </w:tcPr>
          <w:p>
            <w:pPr>
              <w:adjustRightInd w:val="0"/>
              <w:snapToGrid w:val="0"/>
              <w:jc w:val="center"/>
              <w:rPr>
                <w:rFonts w:ascii="仿宋_GB2312" w:hAnsi="仿宋_GB2312" w:eastAsia="仿宋_GB2312" w:cs="仿宋_GB2312"/>
                <w:color w:val="000000"/>
                <w:sz w:val="21"/>
                <w:szCs w:val="21"/>
              </w:rPr>
            </w:pPr>
          </w:p>
        </w:tc>
        <w:tc>
          <w:tcPr>
            <w:tcW w:w="1098"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3531"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730"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较重</w:t>
            </w:r>
          </w:p>
        </w:tc>
        <w:tc>
          <w:tcPr>
            <w:tcW w:w="2378"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货值金额一万元以上五万元以下的</w:t>
            </w:r>
          </w:p>
        </w:tc>
        <w:tc>
          <w:tcPr>
            <w:tcW w:w="2105"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3737"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处货值金额五倍以上七倍以下罚款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3" w:hRule="atLeast"/>
          <w:jc w:val="center"/>
        </w:trPr>
        <w:tc>
          <w:tcPr>
            <w:tcW w:w="421" w:type="dxa"/>
            <w:vMerge w:val="continue"/>
            <w:tcBorders>
              <w:tl2br w:val="nil"/>
              <w:tr2bl w:val="nil"/>
            </w:tcBorders>
            <w:tcMar>
              <w:top w:w="57" w:type="dxa"/>
              <w:left w:w="57" w:type="dxa"/>
              <w:bottom w:w="57" w:type="dxa"/>
              <w:right w:w="57" w:type="dxa"/>
            </w:tcMar>
            <w:vAlign w:val="center"/>
          </w:tcPr>
          <w:p>
            <w:pPr>
              <w:adjustRightInd w:val="0"/>
              <w:snapToGrid w:val="0"/>
              <w:jc w:val="center"/>
              <w:rPr>
                <w:rFonts w:ascii="仿宋_GB2312" w:hAnsi="仿宋_GB2312" w:eastAsia="仿宋_GB2312" w:cs="仿宋_GB2312"/>
                <w:color w:val="000000"/>
                <w:sz w:val="21"/>
                <w:szCs w:val="21"/>
              </w:rPr>
            </w:pPr>
          </w:p>
        </w:tc>
        <w:tc>
          <w:tcPr>
            <w:tcW w:w="1098"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3531"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730"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严重</w:t>
            </w:r>
          </w:p>
        </w:tc>
        <w:tc>
          <w:tcPr>
            <w:tcW w:w="2378"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货值金额五万元以上的</w:t>
            </w:r>
          </w:p>
        </w:tc>
        <w:tc>
          <w:tcPr>
            <w:tcW w:w="2105"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3737"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处货值金额七倍以上十倍以下罚款，抄告发证机关吊销农药经营许可证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78" w:hRule="atLeast"/>
          <w:jc w:val="center"/>
        </w:trPr>
        <w:tc>
          <w:tcPr>
            <w:tcW w:w="421" w:type="dxa"/>
            <w:vMerge w:val="restart"/>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13</w:t>
            </w:r>
          </w:p>
        </w:tc>
        <w:tc>
          <w:tcPr>
            <w:tcW w:w="1098" w:type="dxa"/>
            <w:vMerge w:val="restart"/>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取得农药经营许可证的农药经营者不再符合规定条件继续经营农药的</w:t>
            </w:r>
          </w:p>
        </w:tc>
        <w:tc>
          <w:tcPr>
            <w:tcW w:w="3531" w:type="dxa"/>
            <w:vMerge w:val="restart"/>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农药管理条例》第五十五条第三款，取得农药经营许可证的农药经营者不再符合规定条件继续经营农药的，由县级以上地方人民政府农业主管部门责令限期整改；逾期拒不整改或者整改后仍不符合规定条件的，由发证机关吊销农药经营许可证。</w:t>
            </w:r>
          </w:p>
        </w:tc>
        <w:tc>
          <w:tcPr>
            <w:tcW w:w="730"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一般</w:t>
            </w:r>
          </w:p>
        </w:tc>
        <w:tc>
          <w:tcPr>
            <w:tcW w:w="2378"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取得农药经营许可证的农药经营者不再符合规定条件继续经营农药查证属实</w:t>
            </w:r>
          </w:p>
        </w:tc>
        <w:tc>
          <w:tcPr>
            <w:tcW w:w="5842" w:type="dxa"/>
            <w:gridSpan w:val="2"/>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责令限期整改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1" w:hRule="atLeast"/>
          <w:jc w:val="center"/>
        </w:trPr>
        <w:tc>
          <w:tcPr>
            <w:tcW w:w="421" w:type="dxa"/>
            <w:vMerge w:val="continue"/>
            <w:tcBorders>
              <w:tl2br w:val="nil"/>
              <w:tr2bl w:val="nil"/>
            </w:tcBorders>
            <w:tcMar>
              <w:top w:w="57" w:type="dxa"/>
              <w:left w:w="57" w:type="dxa"/>
              <w:bottom w:w="57" w:type="dxa"/>
              <w:right w:w="57" w:type="dxa"/>
            </w:tcMar>
            <w:vAlign w:val="center"/>
          </w:tcPr>
          <w:p>
            <w:pPr>
              <w:adjustRightInd w:val="0"/>
              <w:snapToGrid w:val="0"/>
              <w:jc w:val="center"/>
              <w:rPr>
                <w:rFonts w:ascii="仿宋_GB2312" w:hAnsi="仿宋_GB2312" w:eastAsia="仿宋_GB2312" w:cs="仿宋_GB2312"/>
                <w:color w:val="000000"/>
                <w:sz w:val="21"/>
                <w:szCs w:val="21"/>
              </w:rPr>
            </w:pPr>
          </w:p>
        </w:tc>
        <w:tc>
          <w:tcPr>
            <w:tcW w:w="1098" w:type="dxa"/>
            <w:vMerge w:val="continue"/>
            <w:tcBorders>
              <w:tl2br w:val="nil"/>
              <w:tr2bl w:val="nil"/>
            </w:tcBorders>
            <w:tcMar>
              <w:top w:w="57" w:type="dxa"/>
              <w:left w:w="57" w:type="dxa"/>
              <w:bottom w:w="57" w:type="dxa"/>
              <w:right w:w="57" w:type="dxa"/>
            </w:tcMar>
            <w:vAlign w:val="center"/>
          </w:tcPr>
          <w:p>
            <w:pPr>
              <w:adjustRightInd w:val="0"/>
              <w:snapToGrid w:val="0"/>
              <w:jc w:val="left"/>
              <w:rPr>
                <w:rFonts w:ascii="仿宋_GB2312" w:hAnsi="仿宋_GB2312" w:eastAsia="仿宋_GB2312" w:cs="仿宋_GB2312"/>
                <w:color w:val="000000"/>
                <w:sz w:val="21"/>
                <w:szCs w:val="21"/>
              </w:rPr>
            </w:pPr>
          </w:p>
        </w:tc>
        <w:tc>
          <w:tcPr>
            <w:tcW w:w="3531" w:type="dxa"/>
            <w:vMerge w:val="continue"/>
            <w:tcBorders>
              <w:tl2br w:val="nil"/>
              <w:tr2bl w:val="nil"/>
            </w:tcBorders>
            <w:tcMar>
              <w:top w:w="57" w:type="dxa"/>
              <w:left w:w="57" w:type="dxa"/>
              <w:bottom w:w="57" w:type="dxa"/>
              <w:right w:w="57" w:type="dxa"/>
            </w:tcMar>
            <w:vAlign w:val="center"/>
          </w:tcPr>
          <w:p>
            <w:pPr>
              <w:adjustRightInd w:val="0"/>
              <w:snapToGrid w:val="0"/>
              <w:jc w:val="left"/>
              <w:rPr>
                <w:rFonts w:ascii="仿宋_GB2312" w:hAnsi="仿宋_GB2312" w:eastAsia="仿宋_GB2312" w:cs="仿宋_GB2312"/>
                <w:color w:val="000000"/>
                <w:sz w:val="21"/>
                <w:szCs w:val="21"/>
              </w:rPr>
            </w:pPr>
          </w:p>
        </w:tc>
        <w:tc>
          <w:tcPr>
            <w:tcW w:w="730"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较重</w:t>
            </w:r>
          </w:p>
        </w:tc>
        <w:tc>
          <w:tcPr>
            <w:tcW w:w="2378"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逾期拒不整改的或者整改后仍不符合规定条件的</w:t>
            </w:r>
          </w:p>
        </w:tc>
        <w:tc>
          <w:tcPr>
            <w:tcW w:w="5842" w:type="dxa"/>
            <w:gridSpan w:val="2"/>
            <w:tcBorders>
              <w:tl2br w:val="nil"/>
              <w:tr2bl w:val="nil"/>
            </w:tcBorders>
            <w:tcMar>
              <w:top w:w="57" w:type="dxa"/>
              <w:left w:w="57" w:type="dxa"/>
              <w:bottom w:w="57" w:type="dxa"/>
              <w:right w:w="57" w:type="dxa"/>
            </w:tcMar>
            <w:vAlign w:val="center"/>
          </w:tcPr>
          <w:p>
            <w:pPr>
              <w:widowControl/>
              <w:adjustRightInd w:val="0"/>
              <w:snapToGrid w:val="0"/>
              <w:jc w:val="left"/>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由发证机关吊销农药经营许可证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421" w:type="dxa"/>
            <w:vMerge w:val="restart"/>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14</w:t>
            </w:r>
          </w:p>
        </w:tc>
        <w:tc>
          <w:tcPr>
            <w:tcW w:w="1098" w:type="dxa"/>
            <w:vMerge w:val="restart"/>
            <w:tcBorders>
              <w:tl2br w:val="nil"/>
              <w:tr2bl w:val="nil"/>
            </w:tcBorders>
            <w:tcMar>
              <w:top w:w="57" w:type="dxa"/>
              <w:left w:w="57" w:type="dxa"/>
              <w:bottom w:w="57" w:type="dxa"/>
              <w:right w:w="57" w:type="dxa"/>
            </w:tcMar>
            <w:vAlign w:val="center"/>
          </w:tcPr>
          <w:p>
            <w:pPr>
              <w:widowControl/>
              <w:adjustRightInd w:val="0"/>
              <w:snapToGrid w:val="0"/>
              <w:jc w:val="left"/>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农药经营者经营劣质农药的</w:t>
            </w:r>
          </w:p>
        </w:tc>
        <w:tc>
          <w:tcPr>
            <w:tcW w:w="3531" w:type="dxa"/>
            <w:vMerge w:val="restart"/>
            <w:tcBorders>
              <w:tl2br w:val="nil"/>
              <w:tr2bl w:val="nil"/>
            </w:tcBorders>
            <w:tcMar>
              <w:top w:w="57" w:type="dxa"/>
              <w:left w:w="57" w:type="dxa"/>
              <w:bottom w:w="57" w:type="dxa"/>
              <w:right w:w="57" w:type="dxa"/>
            </w:tcMar>
            <w:vAlign w:val="center"/>
          </w:tcPr>
          <w:p>
            <w:pPr>
              <w:widowControl/>
              <w:adjustRightInd w:val="0"/>
              <w:snapToGrid w:val="0"/>
              <w:spacing w:line="296" w:lineRule="exact"/>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农药管理条例》第五十六条，农药经营者经营劣质农药的，由县级以上地方人民政府农业主管部门责令停止经营，没收违法所得、违法经营的农药和用于违法经营的工具、设备等，违法经营的农药货值金额不足1万元的，并处2000元以上2万元以下罚款，货值金额1万元以上的，并处货值金额2倍以上5倍以下罚款；情节严重的，由发证机关吊销农药经营许可证；构成犯罪的，依法追究刑事责任。</w:t>
            </w:r>
          </w:p>
        </w:tc>
        <w:tc>
          <w:tcPr>
            <w:tcW w:w="730"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较轻</w:t>
            </w:r>
          </w:p>
        </w:tc>
        <w:tc>
          <w:tcPr>
            <w:tcW w:w="2378"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货值金额不足五千元</w:t>
            </w:r>
          </w:p>
        </w:tc>
        <w:tc>
          <w:tcPr>
            <w:tcW w:w="2105" w:type="dxa"/>
            <w:vMerge w:val="restart"/>
            <w:tcBorders>
              <w:tl2br w:val="nil"/>
              <w:tr2bl w:val="nil"/>
            </w:tcBorders>
            <w:tcMar>
              <w:top w:w="57" w:type="dxa"/>
              <w:left w:w="57" w:type="dxa"/>
              <w:bottom w:w="57" w:type="dxa"/>
              <w:right w:w="57" w:type="dxa"/>
            </w:tcMar>
            <w:vAlign w:val="center"/>
          </w:tcPr>
          <w:p>
            <w:pPr>
              <w:widowControl/>
              <w:adjustRightInd w:val="0"/>
              <w:snapToGrid w:val="0"/>
              <w:jc w:val="left"/>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责令停止经营，没收违法经营的农药和用于违法经营的工具、设备等</w:t>
            </w:r>
          </w:p>
        </w:tc>
        <w:tc>
          <w:tcPr>
            <w:tcW w:w="3737" w:type="dxa"/>
            <w:tcBorders>
              <w:tl2br w:val="nil"/>
              <w:tr2bl w:val="nil"/>
            </w:tcBorders>
            <w:tcMar>
              <w:top w:w="57" w:type="dxa"/>
              <w:left w:w="57" w:type="dxa"/>
              <w:bottom w:w="57" w:type="dxa"/>
              <w:right w:w="57" w:type="dxa"/>
            </w:tcMar>
            <w:vAlign w:val="center"/>
          </w:tcPr>
          <w:p>
            <w:pPr>
              <w:widowControl/>
              <w:adjustRightInd w:val="0"/>
              <w:snapToGrid w:val="0"/>
              <w:jc w:val="left"/>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处二千元以上一万元以下罚款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421" w:type="dxa"/>
            <w:vMerge w:val="continue"/>
            <w:tcBorders>
              <w:tl2br w:val="nil"/>
              <w:tr2bl w:val="nil"/>
            </w:tcBorders>
            <w:tcMar>
              <w:top w:w="57" w:type="dxa"/>
              <w:left w:w="57" w:type="dxa"/>
              <w:bottom w:w="57" w:type="dxa"/>
              <w:right w:w="57" w:type="dxa"/>
            </w:tcMar>
            <w:vAlign w:val="center"/>
          </w:tcPr>
          <w:p>
            <w:pPr>
              <w:adjustRightInd w:val="0"/>
              <w:snapToGrid w:val="0"/>
              <w:jc w:val="center"/>
              <w:rPr>
                <w:rFonts w:ascii="仿宋_GB2312" w:hAnsi="仿宋_GB2312" w:eastAsia="仿宋_GB2312" w:cs="仿宋_GB2312"/>
                <w:color w:val="000000"/>
                <w:sz w:val="21"/>
                <w:szCs w:val="21"/>
              </w:rPr>
            </w:pPr>
          </w:p>
        </w:tc>
        <w:tc>
          <w:tcPr>
            <w:tcW w:w="1098" w:type="dxa"/>
            <w:vMerge w:val="continue"/>
            <w:tcBorders>
              <w:tl2br w:val="nil"/>
              <w:tr2bl w:val="nil"/>
            </w:tcBorders>
            <w:tcMar>
              <w:top w:w="57" w:type="dxa"/>
              <w:left w:w="57" w:type="dxa"/>
              <w:bottom w:w="57" w:type="dxa"/>
              <w:right w:w="57" w:type="dxa"/>
            </w:tcMar>
            <w:vAlign w:val="center"/>
          </w:tcPr>
          <w:p>
            <w:pPr>
              <w:adjustRightInd w:val="0"/>
              <w:snapToGrid w:val="0"/>
              <w:jc w:val="left"/>
              <w:rPr>
                <w:rFonts w:ascii="仿宋_GB2312" w:hAnsi="仿宋_GB2312" w:eastAsia="仿宋_GB2312" w:cs="仿宋_GB2312"/>
                <w:color w:val="000000"/>
                <w:sz w:val="21"/>
                <w:szCs w:val="21"/>
              </w:rPr>
            </w:pPr>
          </w:p>
        </w:tc>
        <w:tc>
          <w:tcPr>
            <w:tcW w:w="3531" w:type="dxa"/>
            <w:vMerge w:val="continue"/>
            <w:tcBorders>
              <w:tl2br w:val="nil"/>
              <w:tr2bl w:val="nil"/>
            </w:tcBorders>
            <w:tcMar>
              <w:top w:w="57" w:type="dxa"/>
              <w:left w:w="57" w:type="dxa"/>
              <w:bottom w:w="57" w:type="dxa"/>
              <w:right w:w="57" w:type="dxa"/>
            </w:tcMar>
            <w:vAlign w:val="center"/>
          </w:tcPr>
          <w:p>
            <w:pPr>
              <w:adjustRightInd w:val="0"/>
              <w:snapToGrid w:val="0"/>
              <w:jc w:val="left"/>
              <w:rPr>
                <w:rFonts w:ascii="仿宋_GB2312" w:hAnsi="仿宋_GB2312" w:eastAsia="仿宋_GB2312" w:cs="仿宋_GB2312"/>
                <w:color w:val="000000"/>
                <w:sz w:val="21"/>
                <w:szCs w:val="21"/>
              </w:rPr>
            </w:pPr>
          </w:p>
        </w:tc>
        <w:tc>
          <w:tcPr>
            <w:tcW w:w="730"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一般</w:t>
            </w:r>
          </w:p>
        </w:tc>
        <w:tc>
          <w:tcPr>
            <w:tcW w:w="2378"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货值金额五千元以上一万元以下</w:t>
            </w:r>
          </w:p>
        </w:tc>
        <w:tc>
          <w:tcPr>
            <w:tcW w:w="2105" w:type="dxa"/>
            <w:vMerge w:val="continue"/>
            <w:tcBorders>
              <w:tl2br w:val="nil"/>
              <w:tr2bl w:val="nil"/>
            </w:tcBorders>
            <w:tcMar>
              <w:top w:w="57" w:type="dxa"/>
              <w:left w:w="57" w:type="dxa"/>
              <w:bottom w:w="57" w:type="dxa"/>
              <w:right w:w="57" w:type="dxa"/>
            </w:tcMar>
            <w:vAlign w:val="center"/>
          </w:tcPr>
          <w:p>
            <w:pPr>
              <w:adjustRightInd w:val="0"/>
              <w:snapToGrid w:val="0"/>
              <w:jc w:val="left"/>
              <w:rPr>
                <w:rFonts w:ascii="仿宋_GB2312" w:hAnsi="仿宋_GB2312" w:eastAsia="仿宋_GB2312" w:cs="仿宋_GB2312"/>
                <w:color w:val="000000"/>
                <w:sz w:val="21"/>
                <w:szCs w:val="21"/>
              </w:rPr>
            </w:pPr>
          </w:p>
        </w:tc>
        <w:tc>
          <w:tcPr>
            <w:tcW w:w="3737" w:type="dxa"/>
            <w:tcBorders>
              <w:tl2br w:val="nil"/>
              <w:tr2bl w:val="nil"/>
            </w:tcBorders>
            <w:tcMar>
              <w:top w:w="57" w:type="dxa"/>
              <w:left w:w="57" w:type="dxa"/>
              <w:bottom w:w="57" w:type="dxa"/>
              <w:right w:w="57" w:type="dxa"/>
            </w:tcMar>
            <w:vAlign w:val="center"/>
          </w:tcPr>
          <w:p>
            <w:pPr>
              <w:widowControl/>
              <w:adjustRightInd w:val="0"/>
              <w:snapToGrid w:val="0"/>
              <w:jc w:val="left"/>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处一万元以上二万元以下罚款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421" w:type="dxa"/>
            <w:vMerge w:val="continue"/>
            <w:tcBorders>
              <w:tl2br w:val="nil"/>
              <w:tr2bl w:val="nil"/>
            </w:tcBorders>
            <w:tcMar>
              <w:top w:w="57" w:type="dxa"/>
              <w:left w:w="57" w:type="dxa"/>
              <w:bottom w:w="57" w:type="dxa"/>
              <w:right w:w="57" w:type="dxa"/>
            </w:tcMar>
            <w:vAlign w:val="center"/>
          </w:tcPr>
          <w:p>
            <w:pPr>
              <w:adjustRightInd w:val="0"/>
              <w:snapToGrid w:val="0"/>
              <w:jc w:val="center"/>
              <w:rPr>
                <w:rFonts w:ascii="仿宋_GB2312" w:hAnsi="仿宋_GB2312" w:eastAsia="仿宋_GB2312" w:cs="仿宋_GB2312"/>
                <w:color w:val="000000"/>
                <w:sz w:val="21"/>
                <w:szCs w:val="21"/>
              </w:rPr>
            </w:pPr>
          </w:p>
        </w:tc>
        <w:tc>
          <w:tcPr>
            <w:tcW w:w="1098" w:type="dxa"/>
            <w:vMerge w:val="continue"/>
            <w:tcBorders>
              <w:tl2br w:val="nil"/>
              <w:tr2bl w:val="nil"/>
            </w:tcBorders>
            <w:tcMar>
              <w:top w:w="57" w:type="dxa"/>
              <w:left w:w="57" w:type="dxa"/>
              <w:bottom w:w="57" w:type="dxa"/>
              <w:right w:w="57" w:type="dxa"/>
            </w:tcMar>
            <w:vAlign w:val="center"/>
          </w:tcPr>
          <w:p>
            <w:pPr>
              <w:adjustRightInd w:val="0"/>
              <w:snapToGrid w:val="0"/>
              <w:jc w:val="left"/>
              <w:rPr>
                <w:rFonts w:ascii="仿宋_GB2312" w:hAnsi="仿宋_GB2312" w:eastAsia="仿宋_GB2312" w:cs="仿宋_GB2312"/>
                <w:color w:val="000000"/>
                <w:sz w:val="21"/>
                <w:szCs w:val="21"/>
              </w:rPr>
            </w:pPr>
          </w:p>
        </w:tc>
        <w:tc>
          <w:tcPr>
            <w:tcW w:w="3531" w:type="dxa"/>
            <w:vMerge w:val="continue"/>
            <w:tcBorders>
              <w:tl2br w:val="nil"/>
              <w:tr2bl w:val="nil"/>
            </w:tcBorders>
            <w:tcMar>
              <w:top w:w="57" w:type="dxa"/>
              <w:left w:w="57" w:type="dxa"/>
              <w:bottom w:w="57" w:type="dxa"/>
              <w:right w:w="57" w:type="dxa"/>
            </w:tcMar>
            <w:vAlign w:val="center"/>
          </w:tcPr>
          <w:p>
            <w:pPr>
              <w:adjustRightInd w:val="0"/>
              <w:snapToGrid w:val="0"/>
              <w:jc w:val="left"/>
              <w:rPr>
                <w:rFonts w:ascii="仿宋_GB2312" w:hAnsi="仿宋_GB2312" w:eastAsia="仿宋_GB2312" w:cs="仿宋_GB2312"/>
                <w:color w:val="000000"/>
                <w:sz w:val="21"/>
                <w:szCs w:val="21"/>
              </w:rPr>
            </w:pPr>
          </w:p>
        </w:tc>
        <w:tc>
          <w:tcPr>
            <w:tcW w:w="730"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较重</w:t>
            </w:r>
          </w:p>
        </w:tc>
        <w:tc>
          <w:tcPr>
            <w:tcW w:w="2378"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货值金额一万元以上五万元以下</w:t>
            </w:r>
          </w:p>
        </w:tc>
        <w:tc>
          <w:tcPr>
            <w:tcW w:w="2105" w:type="dxa"/>
            <w:vMerge w:val="continue"/>
            <w:tcBorders>
              <w:tl2br w:val="nil"/>
              <w:tr2bl w:val="nil"/>
            </w:tcBorders>
            <w:tcMar>
              <w:top w:w="57" w:type="dxa"/>
              <w:left w:w="57" w:type="dxa"/>
              <w:bottom w:w="57" w:type="dxa"/>
              <w:right w:w="57" w:type="dxa"/>
            </w:tcMar>
            <w:vAlign w:val="center"/>
          </w:tcPr>
          <w:p>
            <w:pPr>
              <w:adjustRightInd w:val="0"/>
              <w:snapToGrid w:val="0"/>
              <w:jc w:val="left"/>
              <w:rPr>
                <w:rFonts w:ascii="仿宋_GB2312" w:hAnsi="仿宋_GB2312" w:eastAsia="仿宋_GB2312" w:cs="仿宋_GB2312"/>
                <w:color w:val="000000"/>
                <w:sz w:val="21"/>
                <w:szCs w:val="21"/>
              </w:rPr>
            </w:pPr>
          </w:p>
        </w:tc>
        <w:tc>
          <w:tcPr>
            <w:tcW w:w="3737" w:type="dxa"/>
            <w:tcBorders>
              <w:tl2br w:val="nil"/>
              <w:tr2bl w:val="nil"/>
            </w:tcBorders>
            <w:tcMar>
              <w:top w:w="57" w:type="dxa"/>
              <w:left w:w="57" w:type="dxa"/>
              <w:bottom w:w="57" w:type="dxa"/>
              <w:right w:w="57" w:type="dxa"/>
            </w:tcMar>
            <w:vAlign w:val="center"/>
          </w:tcPr>
          <w:p>
            <w:pPr>
              <w:widowControl/>
              <w:adjustRightInd w:val="0"/>
              <w:snapToGrid w:val="0"/>
              <w:jc w:val="left"/>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处货值金额二倍以上三倍以下罚款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421" w:type="dxa"/>
            <w:vMerge w:val="continue"/>
            <w:tcBorders>
              <w:tl2br w:val="nil"/>
              <w:tr2bl w:val="nil"/>
            </w:tcBorders>
            <w:tcMar>
              <w:top w:w="57" w:type="dxa"/>
              <w:left w:w="57" w:type="dxa"/>
              <w:bottom w:w="57" w:type="dxa"/>
              <w:right w:w="57" w:type="dxa"/>
            </w:tcMar>
            <w:vAlign w:val="center"/>
          </w:tcPr>
          <w:p>
            <w:pPr>
              <w:adjustRightInd w:val="0"/>
              <w:snapToGrid w:val="0"/>
              <w:jc w:val="center"/>
              <w:rPr>
                <w:rFonts w:ascii="仿宋_GB2312" w:hAnsi="仿宋_GB2312" w:eastAsia="仿宋_GB2312" w:cs="仿宋_GB2312"/>
                <w:color w:val="000000"/>
                <w:sz w:val="21"/>
                <w:szCs w:val="21"/>
              </w:rPr>
            </w:pPr>
          </w:p>
        </w:tc>
        <w:tc>
          <w:tcPr>
            <w:tcW w:w="1098" w:type="dxa"/>
            <w:vMerge w:val="continue"/>
            <w:tcBorders>
              <w:tl2br w:val="nil"/>
              <w:tr2bl w:val="nil"/>
            </w:tcBorders>
            <w:tcMar>
              <w:top w:w="57" w:type="dxa"/>
              <w:left w:w="57" w:type="dxa"/>
              <w:bottom w:w="57" w:type="dxa"/>
              <w:right w:w="57" w:type="dxa"/>
            </w:tcMar>
            <w:vAlign w:val="center"/>
          </w:tcPr>
          <w:p>
            <w:pPr>
              <w:adjustRightInd w:val="0"/>
              <w:snapToGrid w:val="0"/>
              <w:jc w:val="left"/>
              <w:rPr>
                <w:rFonts w:ascii="仿宋_GB2312" w:hAnsi="仿宋_GB2312" w:eastAsia="仿宋_GB2312" w:cs="仿宋_GB2312"/>
                <w:color w:val="000000"/>
                <w:sz w:val="21"/>
                <w:szCs w:val="21"/>
              </w:rPr>
            </w:pPr>
          </w:p>
        </w:tc>
        <w:tc>
          <w:tcPr>
            <w:tcW w:w="3531" w:type="dxa"/>
            <w:vMerge w:val="continue"/>
            <w:tcBorders>
              <w:tl2br w:val="nil"/>
              <w:tr2bl w:val="nil"/>
            </w:tcBorders>
            <w:tcMar>
              <w:top w:w="57" w:type="dxa"/>
              <w:left w:w="57" w:type="dxa"/>
              <w:bottom w:w="57" w:type="dxa"/>
              <w:right w:w="57" w:type="dxa"/>
            </w:tcMar>
            <w:vAlign w:val="center"/>
          </w:tcPr>
          <w:p>
            <w:pPr>
              <w:adjustRightInd w:val="0"/>
              <w:snapToGrid w:val="0"/>
              <w:jc w:val="left"/>
              <w:rPr>
                <w:rFonts w:ascii="仿宋_GB2312" w:hAnsi="仿宋_GB2312" w:eastAsia="仿宋_GB2312" w:cs="仿宋_GB2312"/>
                <w:color w:val="000000"/>
                <w:sz w:val="21"/>
                <w:szCs w:val="21"/>
              </w:rPr>
            </w:pPr>
          </w:p>
        </w:tc>
        <w:tc>
          <w:tcPr>
            <w:tcW w:w="730"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严重</w:t>
            </w:r>
          </w:p>
        </w:tc>
        <w:tc>
          <w:tcPr>
            <w:tcW w:w="2378"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货值金额五万元以上</w:t>
            </w:r>
          </w:p>
        </w:tc>
        <w:tc>
          <w:tcPr>
            <w:tcW w:w="2105" w:type="dxa"/>
            <w:vMerge w:val="continue"/>
            <w:tcBorders>
              <w:tl2br w:val="nil"/>
              <w:tr2bl w:val="nil"/>
            </w:tcBorders>
            <w:tcMar>
              <w:top w:w="57" w:type="dxa"/>
              <w:left w:w="57" w:type="dxa"/>
              <w:bottom w:w="57" w:type="dxa"/>
              <w:right w:w="57" w:type="dxa"/>
            </w:tcMar>
            <w:vAlign w:val="center"/>
          </w:tcPr>
          <w:p>
            <w:pPr>
              <w:adjustRightInd w:val="0"/>
              <w:snapToGrid w:val="0"/>
              <w:jc w:val="left"/>
              <w:rPr>
                <w:rFonts w:ascii="仿宋_GB2312" w:hAnsi="仿宋_GB2312" w:eastAsia="仿宋_GB2312" w:cs="仿宋_GB2312"/>
                <w:color w:val="000000"/>
                <w:sz w:val="21"/>
                <w:szCs w:val="21"/>
              </w:rPr>
            </w:pPr>
          </w:p>
        </w:tc>
        <w:tc>
          <w:tcPr>
            <w:tcW w:w="3737" w:type="dxa"/>
            <w:tcBorders>
              <w:tl2br w:val="nil"/>
              <w:tr2bl w:val="nil"/>
            </w:tcBorders>
            <w:tcMar>
              <w:top w:w="57" w:type="dxa"/>
              <w:left w:w="57" w:type="dxa"/>
              <w:bottom w:w="57" w:type="dxa"/>
              <w:right w:w="57" w:type="dxa"/>
            </w:tcMar>
            <w:vAlign w:val="center"/>
          </w:tcPr>
          <w:p>
            <w:pPr>
              <w:widowControl/>
              <w:adjustRightInd w:val="0"/>
              <w:snapToGrid w:val="0"/>
              <w:jc w:val="left"/>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处货值金额三倍以上五倍以下罚款，抄告发证机关吊销农药经营许可证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421" w:type="dxa"/>
            <w:vMerge w:val="restart"/>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15</w:t>
            </w:r>
          </w:p>
        </w:tc>
        <w:tc>
          <w:tcPr>
            <w:tcW w:w="1098" w:type="dxa"/>
            <w:vMerge w:val="restart"/>
            <w:tcBorders>
              <w:tl2br w:val="nil"/>
              <w:tr2bl w:val="nil"/>
            </w:tcBorders>
            <w:tcMar>
              <w:top w:w="57" w:type="dxa"/>
              <w:left w:w="57" w:type="dxa"/>
              <w:bottom w:w="57" w:type="dxa"/>
              <w:right w:w="57" w:type="dxa"/>
            </w:tcMar>
            <w:vAlign w:val="center"/>
          </w:tcPr>
          <w:p>
            <w:pPr>
              <w:widowControl/>
              <w:adjustRightInd w:val="0"/>
              <w:snapToGrid w:val="0"/>
              <w:jc w:val="left"/>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农药经营者设立分支机构未依法变更农药经营许可证，或者未向分支机构所在地县级以上地方人民政府农业主管部门备案的</w:t>
            </w:r>
          </w:p>
        </w:tc>
        <w:tc>
          <w:tcPr>
            <w:tcW w:w="3531" w:type="dxa"/>
            <w:vMerge w:val="restart"/>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农药管理条例》第五十七条第一项，农药经营者有下列行为之一的，由县级以上地方人民政府农业主管部门责令改正，没收违法所得和违法经营的农药，并处5000元以上5万元以下罚款；拒不改正或者情节严重的，由发证机关吊销农药经营许可证：</w:t>
            </w:r>
            <w:r>
              <w:rPr>
                <w:rFonts w:hint="eastAsia" w:ascii="仿宋_GB2312" w:hAnsi="仿宋_GB2312" w:eastAsia="仿宋_GB2312" w:cs="仿宋_GB2312"/>
                <w:color w:val="000000"/>
                <w:kern w:val="0"/>
                <w:sz w:val="21"/>
                <w:szCs w:val="21"/>
              </w:rPr>
              <w:br w:type="textWrapping"/>
            </w:r>
            <w:r>
              <w:rPr>
                <w:rFonts w:hint="eastAsia" w:ascii="仿宋_GB2312" w:hAnsi="仿宋_GB2312" w:eastAsia="仿宋_GB2312" w:cs="仿宋_GB2312"/>
                <w:color w:val="000000"/>
                <w:kern w:val="0"/>
                <w:sz w:val="21"/>
                <w:szCs w:val="21"/>
              </w:rPr>
              <w:t>（一）设立分支机构未依法变更农药经营许可证，或者未向分支机构所在地县级以上地方人民政府农业主管部门备案;</w:t>
            </w:r>
          </w:p>
        </w:tc>
        <w:tc>
          <w:tcPr>
            <w:tcW w:w="730"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较轻</w:t>
            </w:r>
          </w:p>
        </w:tc>
        <w:tc>
          <w:tcPr>
            <w:tcW w:w="2378"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货值金额不足五千元</w:t>
            </w:r>
          </w:p>
        </w:tc>
        <w:tc>
          <w:tcPr>
            <w:tcW w:w="2105" w:type="dxa"/>
            <w:vMerge w:val="restart"/>
            <w:tcBorders>
              <w:tl2br w:val="nil"/>
              <w:tr2bl w:val="nil"/>
            </w:tcBorders>
            <w:tcMar>
              <w:top w:w="57" w:type="dxa"/>
              <w:left w:w="57" w:type="dxa"/>
              <w:bottom w:w="57" w:type="dxa"/>
              <w:right w:w="57" w:type="dxa"/>
            </w:tcMar>
            <w:vAlign w:val="center"/>
          </w:tcPr>
          <w:p>
            <w:pPr>
              <w:widowControl/>
              <w:adjustRightInd w:val="0"/>
              <w:snapToGrid w:val="0"/>
              <w:jc w:val="left"/>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责令改正，没收违法所得和经营的农药</w:t>
            </w:r>
          </w:p>
        </w:tc>
        <w:tc>
          <w:tcPr>
            <w:tcW w:w="3737" w:type="dxa"/>
            <w:tcBorders>
              <w:tl2br w:val="nil"/>
              <w:tr2bl w:val="nil"/>
            </w:tcBorders>
            <w:tcMar>
              <w:top w:w="57" w:type="dxa"/>
              <w:left w:w="57" w:type="dxa"/>
              <w:bottom w:w="57" w:type="dxa"/>
              <w:right w:w="57" w:type="dxa"/>
            </w:tcMar>
            <w:vAlign w:val="center"/>
          </w:tcPr>
          <w:p>
            <w:pPr>
              <w:widowControl/>
              <w:adjustRightInd w:val="0"/>
              <w:snapToGrid w:val="0"/>
              <w:jc w:val="left"/>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处五千元以上一万元以下罚款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421" w:type="dxa"/>
            <w:vMerge w:val="continue"/>
            <w:tcBorders>
              <w:tl2br w:val="nil"/>
              <w:tr2bl w:val="nil"/>
            </w:tcBorders>
            <w:tcMar>
              <w:top w:w="57" w:type="dxa"/>
              <w:left w:w="57" w:type="dxa"/>
              <w:bottom w:w="57" w:type="dxa"/>
              <w:right w:w="57" w:type="dxa"/>
            </w:tcMar>
            <w:vAlign w:val="center"/>
          </w:tcPr>
          <w:p>
            <w:pPr>
              <w:adjustRightInd w:val="0"/>
              <w:snapToGrid w:val="0"/>
              <w:jc w:val="center"/>
              <w:rPr>
                <w:rFonts w:ascii="仿宋_GB2312" w:hAnsi="仿宋_GB2312" w:eastAsia="仿宋_GB2312" w:cs="仿宋_GB2312"/>
                <w:color w:val="000000"/>
                <w:sz w:val="21"/>
                <w:szCs w:val="21"/>
              </w:rPr>
            </w:pPr>
          </w:p>
        </w:tc>
        <w:tc>
          <w:tcPr>
            <w:tcW w:w="1098" w:type="dxa"/>
            <w:vMerge w:val="continue"/>
            <w:tcBorders>
              <w:tl2br w:val="nil"/>
              <w:tr2bl w:val="nil"/>
            </w:tcBorders>
            <w:tcMar>
              <w:top w:w="57" w:type="dxa"/>
              <w:left w:w="57" w:type="dxa"/>
              <w:bottom w:w="57" w:type="dxa"/>
              <w:right w:w="57" w:type="dxa"/>
            </w:tcMar>
            <w:vAlign w:val="center"/>
          </w:tcPr>
          <w:p>
            <w:pPr>
              <w:adjustRightInd w:val="0"/>
              <w:snapToGrid w:val="0"/>
              <w:jc w:val="left"/>
              <w:rPr>
                <w:rFonts w:ascii="仿宋_GB2312" w:hAnsi="仿宋_GB2312" w:eastAsia="仿宋_GB2312" w:cs="仿宋_GB2312"/>
                <w:color w:val="000000"/>
                <w:sz w:val="21"/>
                <w:szCs w:val="21"/>
              </w:rPr>
            </w:pPr>
          </w:p>
        </w:tc>
        <w:tc>
          <w:tcPr>
            <w:tcW w:w="3531" w:type="dxa"/>
            <w:vMerge w:val="continue"/>
            <w:tcBorders>
              <w:tl2br w:val="nil"/>
              <w:tr2bl w:val="nil"/>
            </w:tcBorders>
            <w:tcMar>
              <w:top w:w="57" w:type="dxa"/>
              <w:left w:w="57" w:type="dxa"/>
              <w:bottom w:w="57" w:type="dxa"/>
              <w:right w:w="57" w:type="dxa"/>
            </w:tcMar>
            <w:vAlign w:val="center"/>
          </w:tcPr>
          <w:p>
            <w:pPr>
              <w:adjustRightInd w:val="0"/>
              <w:snapToGrid w:val="0"/>
              <w:jc w:val="left"/>
              <w:rPr>
                <w:rFonts w:ascii="仿宋_GB2312" w:hAnsi="仿宋_GB2312" w:eastAsia="仿宋_GB2312" w:cs="仿宋_GB2312"/>
                <w:color w:val="000000"/>
                <w:sz w:val="21"/>
                <w:szCs w:val="21"/>
              </w:rPr>
            </w:pPr>
          </w:p>
        </w:tc>
        <w:tc>
          <w:tcPr>
            <w:tcW w:w="730"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一般</w:t>
            </w:r>
          </w:p>
        </w:tc>
        <w:tc>
          <w:tcPr>
            <w:tcW w:w="2378"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货值金额五千元以上一万元以下</w:t>
            </w:r>
          </w:p>
        </w:tc>
        <w:tc>
          <w:tcPr>
            <w:tcW w:w="2105" w:type="dxa"/>
            <w:vMerge w:val="continue"/>
            <w:tcBorders>
              <w:tl2br w:val="nil"/>
              <w:tr2bl w:val="nil"/>
            </w:tcBorders>
            <w:tcMar>
              <w:top w:w="57" w:type="dxa"/>
              <w:left w:w="57" w:type="dxa"/>
              <w:bottom w:w="57" w:type="dxa"/>
              <w:right w:w="57" w:type="dxa"/>
            </w:tcMar>
            <w:vAlign w:val="center"/>
          </w:tcPr>
          <w:p>
            <w:pPr>
              <w:adjustRightInd w:val="0"/>
              <w:snapToGrid w:val="0"/>
              <w:jc w:val="left"/>
              <w:rPr>
                <w:rFonts w:ascii="仿宋_GB2312" w:hAnsi="仿宋_GB2312" w:eastAsia="仿宋_GB2312" w:cs="仿宋_GB2312"/>
                <w:color w:val="000000"/>
                <w:sz w:val="21"/>
                <w:szCs w:val="21"/>
              </w:rPr>
            </w:pPr>
          </w:p>
        </w:tc>
        <w:tc>
          <w:tcPr>
            <w:tcW w:w="3737" w:type="dxa"/>
            <w:tcBorders>
              <w:tl2br w:val="nil"/>
              <w:tr2bl w:val="nil"/>
            </w:tcBorders>
            <w:tcMar>
              <w:top w:w="57" w:type="dxa"/>
              <w:left w:w="57" w:type="dxa"/>
              <w:bottom w:w="57" w:type="dxa"/>
              <w:right w:w="57" w:type="dxa"/>
            </w:tcMar>
            <w:vAlign w:val="center"/>
          </w:tcPr>
          <w:p>
            <w:pPr>
              <w:widowControl/>
              <w:adjustRightInd w:val="0"/>
              <w:snapToGrid w:val="0"/>
              <w:jc w:val="left"/>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处一万元以上二万元以下罚款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421" w:type="dxa"/>
            <w:vMerge w:val="continue"/>
            <w:tcBorders>
              <w:tl2br w:val="nil"/>
              <w:tr2bl w:val="nil"/>
            </w:tcBorders>
            <w:tcMar>
              <w:top w:w="57" w:type="dxa"/>
              <w:left w:w="57" w:type="dxa"/>
              <w:bottom w:w="57" w:type="dxa"/>
              <w:right w:w="57" w:type="dxa"/>
            </w:tcMar>
            <w:vAlign w:val="center"/>
          </w:tcPr>
          <w:p>
            <w:pPr>
              <w:adjustRightInd w:val="0"/>
              <w:snapToGrid w:val="0"/>
              <w:jc w:val="center"/>
              <w:rPr>
                <w:rFonts w:ascii="仿宋_GB2312" w:hAnsi="仿宋_GB2312" w:eastAsia="仿宋_GB2312" w:cs="仿宋_GB2312"/>
                <w:color w:val="000000"/>
                <w:sz w:val="21"/>
                <w:szCs w:val="21"/>
              </w:rPr>
            </w:pPr>
          </w:p>
        </w:tc>
        <w:tc>
          <w:tcPr>
            <w:tcW w:w="1098" w:type="dxa"/>
            <w:vMerge w:val="continue"/>
            <w:tcBorders>
              <w:tl2br w:val="nil"/>
              <w:tr2bl w:val="nil"/>
            </w:tcBorders>
            <w:tcMar>
              <w:top w:w="57" w:type="dxa"/>
              <w:left w:w="57" w:type="dxa"/>
              <w:bottom w:w="57" w:type="dxa"/>
              <w:right w:w="57" w:type="dxa"/>
            </w:tcMar>
            <w:vAlign w:val="center"/>
          </w:tcPr>
          <w:p>
            <w:pPr>
              <w:adjustRightInd w:val="0"/>
              <w:snapToGrid w:val="0"/>
              <w:jc w:val="left"/>
              <w:rPr>
                <w:rFonts w:ascii="仿宋_GB2312" w:hAnsi="仿宋_GB2312" w:eastAsia="仿宋_GB2312" w:cs="仿宋_GB2312"/>
                <w:color w:val="000000"/>
                <w:sz w:val="21"/>
                <w:szCs w:val="21"/>
              </w:rPr>
            </w:pPr>
          </w:p>
        </w:tc>
        <w:tc>
          <w:tcPr>
            <w:tcW w:w="3531" w:type="dxa"/>
            <w:vMerge w:val="continue"/>
            <w:tcBorders>
              <w:tl2br w:val="nil"/>
              <w:tr2bl w:val="nil"/>
            </w:tcBorders>
            <w:tcMar>
              <w:top w:w="57" w:type="dxa"/>
              <w:left w:w="57" w:type="dxa"/>
              <w:bottom w:w="57" w:type="dxa"/>
              <w:right w:w="57" w:type="dxa"/>
            </w:tcMar>
            <w:vAlign w:val="center"/>
          </w:tcPr>
          <w:p>
            <w:pPr>
              <w:adjustRightInd w:val="0"/>
              <w:snapToGrid w:val="0"/>
              <w:jc w:val="left"/>
              <w:rPr>
                <w:rFonts w:ascii="仿宋_GB2312" w:hAnsi="仿宋_GB2312" w:eastAsia="仿宋_GB2312" w:cs="仿宋_GB2312"/>
                <w:color w:val="000000"/>
                <w:sz w:val="21"/>
                <w:szCs w:val="21"/>
              </w:rPr>
            </w:pPr>
          </w:p>
        </w:tc>
        <w:tc>
          <w:tcPr>
            <w:tcW w:w="730"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较重</w:t>
            </w:r>
          </w:p>
        </w:tc>
        <w:tc>
          <w:tcPr>
            <w:tcW w:w="2378"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货值金额一万元以上五万元以下</w:t>
            </w:r>
          </w:p>
        </w:tc>
        <w:tc>
          <w:tcPr>
            <w:tcW w:w="2105" w:type="dxa"/>
            <w:vMerge w:val="continue"/>
            <w:tcBorders>
              <w:tl2br w:val="nil"/>
              <w:tr2bl w:val="nil"/>
            </w:tcBorders>
            <w:tcMar>
              <w:top w:w="57" w:type="dxa"/>
              <w:left w:w="57" w:type="dxa"/>
              <w:bottom w:w="57" w:type="dxa"/>
              <w:right w:w="57" w:type="dxa"/>
            </w:tcMar>
            <w:vAlign w:val="center"/>
          </w:tcPr>
          <w:p>
            <w:pPr>
              <w:adjustRightInd w:val="0"/>
              <w:snapToGrid w:val="0"/>
              <w:jc w:val="left"/>
              <w:rPr>
                <w:rFonts w:ascii="仿宋_GB2312" w:hAnsi="仿宋_GB2312" w:eastAsia="仿宋_GB2312" w:cs="仿宋_GB2312"/>
                <w:color w:val="000000"/>
                <w:sz w:val="21"/>
                <w:szCs w:val="21"/>
              </w:rPr>
            </w:pPr>
          </w:p>
        </w:tc>
        <w:tc>
          <w:tcPr>
            <w:tcW w:w="3737" w:type="dxa"/>
            <w:tcBorders>
              <w:tl2br w:val="nil"/>
              <w:tr2bl w:val="nil"/>
            </w:tcBorders>
            <w:tcMar>
              <w:top w:w="57" w:type="dxa"/>
              <w:left w:w="57" w:type="dxa"/>
              <w:bottom w:w="57" w:type="dxa"/>
              <w:right w:w="57" w:type="dxa"/>
            </w:tcMar>
            <w:vAlign w:val="center"/>
          </w:tcPr>
          <w:p>
            <w:pPr>
              <w:widowControl/>
              <w:adjustRightInd w:val="0"/>
              <w:snapToGrid w:val="0"/>
              <w:jc w:val="left"/>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处二万元以上三万元以下罚款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421" w:type="dxa"/>
            <w:vMerge w:val="continue"/>
            <w:tcBorders>
              <w:tl2br w:val="nil"/>
              <w:tr2bl w:val="nil"/>
            </w:tcBorders>
            <w:tcMar>
              <w:top w:w="57" w:type="dxa"/>
              <w:left w:w="57" w:type="dxa"/>
              <w:bottom w:w="57" w:type="dxa"/>
              <w:right w:w="57" w:type="dxa"/>
            </w:tcMar>
            <w:vAlign w:val="center"/>
          </w:tcPr>
          <w:p>
            <w:pPr>
              <w:adjustRightInd w:val="0"/>
              <w:snapToGrid w:val="0"/>
              <w:jc w:val="center"/>
              <w:rPr>
                <w:rFonts w:ascii="仿宋_GB2312" w:hAnsi="仿宋_GB2312" w:eastAsia="仿宋_GB2312" w:cs="仿宋_GB2312"/>
                <w:color w:val="000000"/>
                <w:sz w:val="21"/>
                <w:szCs w:val="21"/>
              </w:rPr>
            </w:pPr>
          </w:p>
        </w:tc>
        <w:tc>
          <w:tcPr>
            <w:tcW w:w="1098" w:type="dxa"/>
            <w:vMerge w:val="continue"/>
            <w:tcBorders>
              <w:tl2br w:val="nil"/>
              <w:tr2bl w:val="nil"/>
            </w:tcBorders>
            <w:tcMar>
              <w:top w:w="57" w:type="dxa"/>
              <w:left w:w="57" w:type="dxa"/>
              <w:bottom w:w="57" w:type="dxa"/>
              <w:right w:w="57" w:type="dxa"/>
            </w:tcMar>
            <w:vAlign w:val="center"/>
          </w:tcPr>
          <w:p>
            <w:pPr>
              <w:adjustRightInd w:val="0"/>
              <w:snapToGrid w:val="0"/>
              <w:jc w:val="left"/>
              <w:rPr>
                <w:rFonts w:ascii="仿宋_GB2312" w:hAnsi="仿宋_GB2312" w:eastAsia="仿宋_GB2312" w:cs="仿宋_GB2312"/>
                <w:color w:val="000000"/>
                <w:sz w:val="21"/>
                <w:szCs w:val="21"/>
              </w:rPr>
            </w:pPr>
          </w:p>
        </w:tc>
        <w:tc>
          <w:tcPr>
            <w:tcW w:w="3531" w:type="dxa"/>
            <w:vMerge w:val="continue"/>
            <w:tcBorders>
              <w:tl2br w:val="nil"/>
              <w:tr2bl w:val="nil"/>
            </w:tcBorders>
            <w:tcMar>
              <w:top w:w="57" w:type="dxa"/>
              <w:left w:w="57" w:type="dxa"/>
              <w:bottom w:w="57" w:type="dxa"/>
              <w:right w:w="57" w:type="dxa"/>
            </w:tcMar>
            <w:vAlign w:val="center"/>
          </w:tcPr>
          <w:p>
            <w:pPr>
              <w:adjustRightInd w:val="0"/>
              <w:snapToGrid w:val="0"/>
              <w:jc w:val="left"/>
              <w:rPr>
                <w:rFonts w:ascii="仿宋_GB2312" w:hAnsi="仿宋_GB2312" w:eastAsia="仿宋_GB2312" w:cs="仿宋_GB2312"/>
                <w:color w:val="000000"/>
                <w:sz w:val="21"/>
                <w:szCs w:val="21"/>
              </w:rPr>
            </w:pPr>
          </w:p>
        </w:tc>
        <w:tc>
          <w:tcPr>
            <w:tcW w:w="730"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严重</w:t>
            </w:r>
          </w:p>
        </w:tc>
        <w:tc>
          <w:tcPr>
            <w:tcW w:w="2378"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货值金额五万元以上或者拒不改正的</w:t>
            </w:r>
          </w:p>
        </w:tc>
        <w:tc>
          <w:tcPr>
            <w:tcW w:w="2105" w:type="dxa"/>
            <w:vMerge w:val="continue"/>
            <w:tcBorders>
              <w:tl2br w:val="nil"/>
              <w:tr2bl w:val="nil"/>
            </w:tcBorders>
            <w:tcMar>
              <w:top w:w="57" w:type="dxa"/>
              <w:left w:w="57" w:type="dxa"/>
              <w:bottom w:w="57" w:type="dxa"/>
              <w:right w:w="57" w:type="dxa"/>
            </w:tcMar>
            <w:vAlign w:val="center"/>
          </w:tcPr>
          <w:p>
            <w:pPr>
              <w:adjustRightInd w:val="0"/>
              <w:snapToGrid w:val="0"/>
              <w:jc w:val="left"/>
              <w:rPr>
                <w:rFonts w:ascii="仿宋_GB2312" w:hAnsi="仿宋_GB2312" w:eastAsia="仿宋_GB2312" w:cs="仿宋_GB2312"/>
                <w:color w:val="000000"/>
                <w:sz w:val="21"/>
                <w:szCs w:val="21"/>
              </w:rPr>
            </w:pPr>
          </w:p>
        </w:tc>
        <w:tc>
          <w:tcPr>
            <w:tcW w:w="3737" w:type="dxa"/>
            <w:tcBorders>
              <w:tl2br w:val="nil"/>
              <w:tr2bl w:val="nil"/>
            </w:tcBorders>
            <w:tcMar>
              <w:top w:w="57" w:type="dxa"/>
              <w:left w:w="57" w:type="dxa"/>
              <w:bottom w:w="57" w:type="dxa"/>
              <w:right w:w="57" w:type="dxa"/>
            </w:tcMar>
            <w:vAlign w:val="center"/>
          </w:tcPr>
          <w:p>
            <w:pPr>
              <w:widowControl/>
              <w:adjustRightInd w:val="0"/>
              <w:snapToGrid w:val="0"/>
              <w:jc w:val="left"/>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处三万元以上五万元以下罚款，抄告发证机关吊销农药生产许可证和相应的农药登记证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8" w:hRule="atLeast"/>
          <w:jc w:val="center"/>
        </w:trPr>
        <w:tc>
          <w:tcPr>
            <w:tcW w:w="421" w:type="dxa"/>
            <w:vMerge w:val="restart"/>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16</w:t>
            </w:r>
          </w:p>
        </w:tc>
        <w:tc>
          <w:tcPr>
            <w:tcW w:w="1098" w:type="dxa"/>
            <w:vMerge w:val="restart"/>
            <w:tcBorders>
              <w:tl2br w:val="nil"/>
              <w:tr2bl w:val="nil"/>
            </w:tcBorders>
            <w:tcMar>
              <w:top w:w="57" w:type="dxa"/>
              <w:left w:w="57" w:type="dxa"/>
              <w:bottom w:w="57" w:type="dxa"/>
              <w:right w:w="57" w:type="dxa"/>
            </w:tcMar>
            <w:vAlign w:val="center"/>
          </w:tcPr>
          <w:p>
            <w:pPr>
              <w:widowControl/>
              <w:adjustRightInd w:val="0"/>
              <w:snapToGrid w:val="0"/>
              <w:jc w:val="left"/>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农药经营者向未取得农药生产许可证的农药生产企业或者未取得农药经营许可证的其他农药经营者采购农药的</w:t>
            </w:r>
          </w:p>
        </w:tc>
        <w:tc>
          <w:tcPr>
            <w:tcW w:w="3531" w:type="dxa"/>
            <w:vMerge w:val="restart"/>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农药管理条例》第五十七条第二项，农药经营者有下列行为之一的，由县级以上地方人民政府农业主管部门责令改正，没收违法所得和违法经营的农药，并处5000元以上5万元以下罚款；拒不改正或者情节严重的，由发证机关吊销农药经营许可证：</w:t>
            </w:r>
            <w:r>
              <w:rPr>
                <w:rFonts w:hint="eastAsia" w:ascii="仿宋_GB2312" w:hAnsi="仿宋_GB2312" w:eastAsia="仿宋_GB2312" w:cs="仿宋_GB2312"/>
                <w:color w:val="000000"/>
                <w:kern w:val="0"/>
                <w:sz w:val="21"/>
                <w:szCs w:val="21"/>
              </w:rPr>
              <w:br w:type="textWrapping"/>
            </w:r>
            <w:r>
              <w:rPr>
                <w:rFonts w:hint="eastAsia" w:ascii="仿宋_GB2312" w:hAnsi="仿宋_GB2312" w:eastAsia="仿宋_GB2312" w:cs="仿宋_GB2312"/>
                <w:color w:val="000000"/>
                <w:kern w:val="0"/>
                <w:sz w:val="21"/>
                <w:szCs w:val="21"/>
              </w:rPr>
              <w:t xml:space="preserve">    （二）向未取得农药生产许可证的农药生产企业或者未取得农药经营许可证的其他农药经营者采购农药。</w:t>
            </w:r>
          </w:p>
        </w:tc>
        <w:tc>
          <w:tcPr>
            <w:tcW w:w="730"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较轻</w:t>
            </w:r>
          </w:p>
        </w:tc>
        <w:tc>
          <w:tcPr>
            <w:tcW w:w="2378"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货值金额五千元以下的</w:t>
            </w:r>
          </w:p>
        </w:tc>
        <w:tc>
          <w:tcPr>
            <w:tcW w:w="2105" w:type="dxa"/>
            <w:vMerge w:val="restart"/>
            <w:tcBorders>
              <w:tl2br w:val="nil"/>
              <w:tr2bl w:val="nil"/>
            </w:tcBorders>
            <w:tcMar>
              <w:top w:w="57" w:type="dxa"/>
              <w:left w:w="57" w:type="dxa"/>
              <w:bottom w:w="57" w:type="dxa"/>
              <w:right w:w="57" w:type="dxa"/>
            </w:tcMar>
            <w:vAlign w:val="center"/>
          </w:tcPr>
          <w:p>
            <w:pPr>
              <w:widowControl/>
              <w:adjustRightInd w:val="0"/>
              <w:snapToGrid w:val="0"/>
              <w:jc w:val="left"/>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责令改正，没收违法所得和经营的农药</w:t>
            </w:r>
          </w:p>
        </w:tc>
        <w:tc>
          <w:tcPr>
            <w:tcW w:w="3737" w:type="dxa"/>
            <w:tcBorders>
              <w:tl2br w:val="nil"/>
              <w:tr2bl w:val="nil"/>
            </w:tcBorders>
            <w:tcMar>
              <w:top w:w="57" w:type="dxa"/>
              <w:left w:w="57" w:type="dxa"/>
              <w:bottom w:w="57" w:type="dxa"/>
              <w:right w:w="57" w:type="dxa"/>
            </w:tcMar>
            <w:vAlign w:val="center"/>
          </w:tcPr>
          <w:p>
            <w:pPr>
              <w:widowControl/>
              <w:adjustRightInd w:val="0"/>
              <w:snapToGrid w:val="0"/>
              <w:jc w:val="left"/>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处五千元以上一万元以下罚款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9" w:hRule="atLeast"/>
          <w:jc w:val="center"/>
        </w:trPr>
        <w:tc>
          <w:tcPr>
            <w:tcW w:w="421" w:type="dxa"/>
            <w:vMerge w:val="continue"/>
            <w:tcBorders>
              <w:tl2br w:val="nil"/>
              <w:tr2bl w:val="nil"/>
            </w:tcBorders>
            <w:tcMar>
              <w:top w:w="57" w:type="dxa"/>
              <w:left w:w="57" w:type="dxa"/>
              <w:bottom w:w="57" w:type="dxa"/>
              <w:right w:w="57" w:type="dxa"/>
            </w:tcMar>
            <w:vAlign w:val="center"/>
          </w:tcPr>
          <w:p>
            <w:pPr>
              <w:adjustRightInd w:val="0"/>
              <w:snapToGrid w:val="0"/>
              <w:jc w:val="center"/>
              <w:rPr>
                <w:rFonts w:ascii="仿宋_GB2312" w:hAnsi="仿宋_GB2312" w:eastAsia="仿宋_GB2312" w:cs="仿宋_GB2312"/>
                <w:color w:val="000000"/>
                <w:sz w:val="21"/>
                <w:szCs w:val="21"/>
              </w:rPr>
            </w:pPr>
          </w:p>
        </w:tc>
        <w:tc>
          <w:tcPr>
            <w:tcW w:w="1098" w:type="dxa"/>
            <w:vMerge w:val="continue"/>
            <w:tcBorders>
              <w:tl2br w:val="nil"/>
              <w:tr2bl w:val="nil"/>
            </w:tcBorders>
            <w:tcMar>
              <w:top w:w="57" w:type="dxa"/>
              <w:left w:w="57" w:type="dxa"/>
              <w:bottom w:w="57" w:type="dxa"/>
              <w:right w:w="57" w:type="dxa"/>
            </w:tcMar>
            <w:vAlign w:val="center"/>
          </w:tcPr>
          <w:p>
            <w:pPr>
              <w:adjustRightInd w:val="0"/>
              <w:snapToGrid w:val="0"/>
              <w:jc w:val="left"/>
              <w:rPr>
                <w:rFonts w:ascii="仿宋_GB2312" w:hAnsi="仿宋_GB2312" w:eastAsia="仿宋_GB2312" w:cs="仿宋_GB2312"/>
                <w:color w:val="000000"/>
                <w:sz w:val="21"/>
                <w:szCs w:val="21"/>
              </w:rPr>
            </w:pPr>
          </w:p>
        </w:tc>
        <w:tc>
          <w:tcPr>
            <w:tcW w:w="3531"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730"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一般</w:t>
            </w:r>
          </w:p>
        </w:tc>
        <w:tc>
          <w:tcPr>
            <w:tcW w:w="2378"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货值金额五千元以上一万元以下</w:t>
            </w:r>
          </w:p>
        </w:tc>
        <w:tc>
          <w:tcPr>
            <w:tcW w:w="2105" w:type="dxa"/>
            <w:vMerge w:val="continue"/>
            <w:tcBorders>
              <w:tl2br w:val="nil"/>
              <w:tr2bl w:val="nil"/>
            </w:tcBorders>
            <w:tcMar>
              <w:top w:w="57" w:type="dxa"/>
              <w:left w:w="57" w:type="dxa"/>
              <w:bottom w:w="57" w:type="dxa"/>
              <w:right w:w="57" w:type="dxa"/>
            </w:tcMar>
            <w:vAlign w:val="center"/>
          </w:tcPr>
          <w:p>
            <w:pPr>
              <w:adjustRightInd w:val="0"/>
              <w:snapToGrid w:val="0"/>
              <w:jc w:val="left"/>
              <w:rPr>
                <w:rFonts w:ascii="仿宋_GB2312" w:hAnsi="仿宋_GB2312" w:eastAsia="仿宋_GB2312" w:cs="仿宋_GB2312"/>
                <w:color w:val="000000"/>
                <w:sz w:val="21"/>
                <w:szCs w:val="21"/>
              </w:rPr>
            </w:pPr>
          </w:p>
        </w:tc>
        <w:tc>
          <w:tcPr>
            <w:tcW w:w="3737" w:type="dxa"/>
            <w:tcBorders>
              <w:tl2br w:val="nil"/>
              <w:tr2bl w:val="nil"/>
            </w:tcBorders>
            <w:tcMar>
              <w:top w:w="57" w:type="dxa"/>
              <w:left w:w="57" w:type="dxa"/>
              <w:bottom w:w="57" w:type="dxa"/>
              <w:right w:w="57" w:type="dxa"/>
            </w:tcMar>
            <w:vAlign w:val="center"/>
          </w:tcPr>
          <w:p>
            <w:pPr>
              <w:widowControl/>
              <w:adjustRightInd w:val="0"/>
              <w:snapToGrid w:val="0"/>
              <w:jc w:val="left"/>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处一万元以上二万元以下罚款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8" w:hRule="atLeast"/>
          <w:jc w:val="center"/>
        </w:trPr>
        <w:tc>
          <w:tcPr>
            <w:tcW w:w="421" w:type="dxa"/>
            <w:vMerge w:val="continue"/>
            <w:tcBorders>
              <w:tl2br w:val="nil"/>
              <w:tr2bl w:val="nil"/>
            </w:tcBorders>
            <w:tcMar>
              <w:top w:w="57" w:type="dxa"/>
              <w:left w:w="57" w:type="dxa"/>
              <w:bottom w:w="57" w:type="dxa"/>
              <w:right w:w="57" w:type="dxa"/>
            </w:tcMar>
            <w:vAlign w:val="center"/>
          </w:tcPr>
          <w:p>
            <w:pPr>
              <w:adjustRightInd w:val="0"/>
              <w:snapToGrid w:val="0"/>
              <w:jc w:val="center"/>
              <w:rPr>
                <w:rFonts w:ascii="仿宋_GB2312" w:hAnsi="仿宋_GB2312" w:eastAsia="仿宋_GB2312" w:cs="仿宋_GB2312"/>
                <w:color w:val="000000"/>
                <w:sz w:val="21"/>
                <w:szCs w:val="21"/>
              </w:rPr>
            </w:pPr>
          </w:p>
        </w:tc>
        <w:tc>
          <w:tcPr>
            <w:tcW w:w="1098" w:type="dxa"/>
            <w:vMerge w:val="continue"/>
            <w:tcBorders>
              <w:tl2br w:val="nil"/>
              <w:tr2bl w:val="nil"/>
            </w:tcBorders>
            <w:tcMar>
              <w:top w:w="57" w:type="dxa"/>
              <w:left w:w="57" w:type="dxa"/>
              <w:bottom w:w="57" w:type="dxa"/>
              <w:right w:w="57" w:type="dxa"/>
            </w:tcMar>
            <w:vAlign w:val="center"/>
          </w:tcPr>
          <w:p>
            <w:pPr>
              <w:adjustRightInd w:val="0"/>
              <w:snapToGrid w:val="0"/>
              <w:jc w:val="left"/>
              <w:rPr>
                <w:rFonts w:ascii="仿宋_GB2312" w:hAnsi="仿宋_GB2312" w:eastAsia="仿宋_GB2312" w:cs="仿宋_GB2312"/>
                <w:color w:val="000000"/>
                <w:sz w:val="21"/>
                <w:szCs w:val="21"/>
              </w:rPr>
            </w:pPr>
          </w:p>
        </w:tc>
        <w:tc>
          <w:tcPr>
            <w:tcW w:w="3531"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730"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较重</w:t>
            </w:r>
          </w:p>
        </w:tc>
        <w:tc>
          <w:tcPr>
            <w:tcW w:w="2378"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货值金额一万元以上五万元以下</w:t>
            </w:r>
          </w:p>
        </w:tc>
        <w:tc>
          <w:tcPr>
            <w:tcW w:w="2105" w:type="dxa"/>
            <w:vMerge w:val="continue"/>
            <w:tcBorders>
              <w:tl2br w:val="nil"/>
              <w:tr2bl w:val="nil"/>
            </w:tcBorders>
            <w:tcMar>
              <w:top w:w="57" w:type="dxa"/>
              <w:left w:w="57" w:type="dxa"/>
              <w:bottom w:w="57" w:type="dxa"/>
              <w:right w:w="57" w:type="dxa"/>
            </w:tcMar>
            <w:vAlign w:val="center"/>
          </w:tcPr>
          <w:p>
            <w:pPr>
              <w:adjustRightInd w:val="0"/>
              <w:snapToGrid w:val="0"/>
              <w:jc w:val="left"/>
              <w:rPr>
                <w:rFonts w:ascii="仿宋_GB2312" w:hAnsi="仿宋_GB2312" w:eastAsia="仿宋_GB2312" w:cs="仿宋_GB2312"/>
                <w:color w:val="000000"/>
                <w:sz w:val="21"/>
                <w:szCs w:val="21"/>
              </w:rPr>
            </w:pPr>
          </w:p>
        </w:tc>
        <w:tc>
          <w:tcPr>
            <w:tcW w:w="3737" w:type="dxa"/>
            <w:tcBorders>
              <w:tl2br w:val="nil"/>
              <w:tr2bl w:val="nil"/>
            </w:tcBorders>
            <w:tcMar>
              <w:top w:w="57" w:type="dxa"/>
              <w:left w:w="57" w:type="dxa"/>
              <w:bottom w:w="57" w:type="dxa"/>
              <w:right w:w="57" w:type="dxa"/>
            </w:tcMar>
            <w:vAlign w:val="center"/>
          </w:tcPr>
          <w:p>
            <w:pPr>
              <w:widowControl/>
              <w:adjustRightInd w:val="0"/>
              <w:snapToGrid w:val="0"/>
              <w:jc w:val="left"/>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处二万元以上三万元以下罚款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43" w:hRule="atLeast"/>
          <w:jc w:val="center"/>
        </w:trPr>
        <w:tc>
          <w:tcPr>
            <w:tcW w:w="421" w:type="dxa"/>
            <w:vMerge w:val="continue"/>
            <w:tcBorders>
              <w:tl2br w:val="nil"/>
              <w:tr2bl w:val="nil"/>
            </w:tcBorders>
            <w:tcMar>
              <w:top w:w="57" w:type="dxa"/>
              <w:left w:w="57" w:type="dxa"/>
              <w:bottom w:w="57" w:type="dxa"/>
              <w:right w:w="57" w:type="dxa"/>
            </w:tcMar>
            <w:vAlign w:val="center"/>
          </w:tcPr>
          <w:p>
            <w:pPr>
              <w:adjustRightInd w:val="0"/>
              <w:snapToGrid w:val="0"/>
              <w:jc w:val="center"/>
              <w:rPr>
                <w:rFonts w:ascii="仿宋_GB2312" w:hAnsi="仿宋_GB2312" w:eastAsia="仿宋_GB2312" w:cs="仿宋_GB2312"/>
                <w:color w:val="000000"/>
                <w:sz w:val="21"/>
                <w:szCs w:val="21"/>
              </w:rPr>
            </w:pPr>
          </w:p>
        </w:tc>
        <w:tc>
          <w:tcPr>
            <w:tcW w:w="1098" w:type="dxa"/>
            <w:vMerge w:val="continue"/>
            <w:tcBorders>
              <w:tl2br w:val="nil"/>
              <w:tr2bl w:val="nil"/>
            </w:tcBorders>
            <w:tcMar>
              <w:top w:w="57" w:type="dxa"/>
              <w:left w:w="57" w:type="dxa"/>
              <w:bottom w:w="57" w:type="dxa"/>
              <w:right w:w="57" w:type="dxa"/>
            </w:tcMar>
            <w:vAlign w:val="center"/>
          </w:tcPr>
          <w:p>
            <w:pPr>
              <w:adjustRightInd w:val="0"/>
              <w:snapToGrid w:val="0"/>
              <w:jc w:val="left"/>
              <w:rPr>
                <w:rFonts w:ascii="仿宋_GB2312" w:hAnsi="仿宋_GB2312" w:eastAsia="仿宋_GB2312" w:cs="仿宋_GB2312"/>
                <w:color w:val="000000"/>
                <w:sz w:val="21"/>
                <w:szCs w:val="21"/>
              </w:rPr>
            </w:pPr>
          </w:p>
        </w:tc>
        <w:tc>
          <w:tcPr>
            <w:tcW w:w="3531"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730"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严重</w:t>
            </w:r>
          </w:p>
        </w:tc>
        <w:tc>
          <w:tcPr>
            <w:tcW w:w="2378"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货值金额五万元以上或者拒不改正的</w:t>
            </w:r>
          </w:p>
        </w:tc>
        <w:tc>
          <w:tcPr>
            <w:tcW w:w="2105" w:type="dxa"/>
            <w:vMerge w:val="continue"/>
            <w:tcBorders>
              <w:tl2br w:val="nil"/>
              <w:tr2bl w:val="nil"/>
            </w:tcBorders>
            <w:tcMar>
              <w:top w:w="57" w:type="dxa"/>
              <w:left w:w="57" w:type="dxa"/>
              <w:bottom w:w="57" w:type="dxa"/>
              <w:right w:w="57" w:type="dxa"/>
            </w:tcMar>
            <w:vAlign w:val="center"/>
          </w:tcPr>
          <w:p>
            <w:pPr>
              <w:adjustRightInd w:val="0"/>
              <w:snapToGrid w:val="0"/>
              <w:jc w:val="left"/>
              <w:rPr>
                <w:rFonts w:ascii="仿宋_GB2312" w:hAnsi="仿宋_GB2312" w:eastAsia="仿宋_GB2312" w:cs="仿宋_GB2312"/>
                <w:color w:val="000000"/>
                <w:sz w:val="21"/>
                <w:szCs w:val="21"/>
              </w:rPr>
            </w:pPr>
          </w:p>
        </w:tc>
        <w:tc>
          <w:tcPr>
            <w:tcW w:w="3737" w:type="dxa"/>
            <w:tcBorders>
              <w:tl2br w:val="nil"/>
              <w:tr2bl w:val="nil"/>
            </w:tcBorders>
            <w:tcMar>
              <w:top w:w="57" w:type="dxa"/>
              <w:left w:w="57" w:type="dxa"/>
              <w:bottom w:w="57" w:type="dxa"/>
              <w:right w:w="57" w:type="dxa"/>
            </w:tcMar>
            <w:vAlign w:val="center"/>
          </w:tcPr>
          <w:p>
            <w:pPr>
              <w:widowControl/>
              <w:adjustRightInd w:val="0"/>
              <w:snapToGrid w:val="0"/>
              <w:jc w:val="left"/>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处三万元以上五万元以下罚款，抄告发证机关吊销农药生产许可证和相应的农药登记证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7" w:hRule="atLeast"/>
          <w:jc w:val="center"/>
        </w:trPr>
        <w:tc>
          <w:tcPr>
            <w:tcW w:w="421" w:type="dxa"/>
            <w:vMerge w:val="restart"/>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17</w:t>
            </w:r>
          </w:p>
        </w:tc>
        <w:tc>
          <w:tcPr>
            <w:tcW w:w="1098" w:type="dxa"/>
            <w:vMerge w:val="restart"/>
            <w:tcBorders>
              <w:tl2br w:val="nil"/>
              <w:tr2bl w:val="nil"/>
            </w:tcBorders>
            <w:tcMar>
              <w:top w:w="57" w:type="dxa"/>
              <w:left w:w="57" w:type="dxa"/>
              <w:bottom w:w="57" w:type="dxa"/>
              <w:right w:w="57" w:type="dxa"/>
            </w:tcMar>
            <w:vAlign w:val="center"/>
          </w:tcPr>
          <w:p>
            <w:pPr>
              <w:widowControl/>
              <w:adjustRightInd w:val="0"/>
              <w:snapToGrid w:val="0"/>
              <w:jc w:val="left"/>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农药经营者采购、销售未附具产品质量检验合格证或者包装、标签不符合规定的农药的</w:t>
            </w:r>
          </w:p>
        </w:tc>
        <w:tc>
          <w:tcPr>
            <w:tcW w:w="3531" w:type="dxa"/>
            <w:vMerge w:val="restart"/>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农药管理条例》第五十七条第三项，农药经营者有下列行为之一的，由县级以上地方人民政府农业主管部门责令改正，没收违法所得和违法经营的农药，并处5000元以上5万元以下罚款；拒不改正或者情节严重的，由发证机关吊销农药经营许可证：</w:t>
            </w:r>
            <w:r>
              <w:rPr>
                <w:rFonts w:hint="eastAsia" w:ascii="仿宋_GB2312" w:hAnsi="仿宋_GB2312" w:eastAsia="仿宋_GB2312" w:cs="仿宋_GB2312"/>
                <w:color w:val="000000"/>
                <w:kern w:val="0"/>
                <w:sz w:val="21"/>
                <w:szCs w:val="21"/>
              </w:rPr>
              <w:br w:type="textWrapping"/>
            </w:r>
            <w:r>
              <w:rPr>
                <w:rFonts w:hint="eastAsia" w:ascii="仿宋_GB2312" w:hAnsi="仿宋_GB2312" w:eastAsia="仿宋_GB2312" w:cs="仿宋_GB2312"/>
                <w:color w:val="000000"/>
                <w:kern w:val="0"/>
                <w:sz w:val="21"/>
                <w:szCs w:val="21"/>
              </w:rPr>
              <w:t xml:space="preserve">    （三）采购、销售未附具产品质量检验合格证或者包装、标签不符合规定的农药。</w:t>
            </w:r>
          </w:p>
        </w:tc>
        <w:tc>
          <w:tcPr>
            <w:tcW w:w="730"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较轻</w:t>
            </w:r>
          </w:p>
        </w:tc>
        <w:tc>
          <w:tcPr>
            <w:tcW w:w="2378"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货值金额不足五千元</w:t>
            </w:r>
          </w:p>
        </w:tc>
        <w:tc>
          <w:tcPr>
            <w:tcW w:w="2105" w:type="dxa"/>
            <w:vMerge w:val="restart"/>
            <w:tcBorders>
              <w:tl2br w:val="nil"/>
              <w:tr2bl w:val="nil"/>
            </w:tcBorders>
            <w:tcMar>
              <w:top w:w="57" w:type="dxa"/>
              <w:left w:w="57" w:type="dxa"/>
              <w:bottom w:w="57" w:type="dxa"/>
              <w:right w:w="57" w:type="dxa"/>
            </w:tcMar>
            <w:vAlign w:val="center"/>
          </w:tcPr>
          <w:p>
            <w:pPr>
              <w:widowControl/>
              <w:adjustRightInd w:val="0"/>
              <w:snapToGrid w:val="0"/>
              <w:jc w:val="left"/>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责令改正，没收违法所得和经营的农药</w:t>
            </w:r>
          </w:p>
        </w:tc>
        <w:tc>
          <w:tcPr>
            <w:tcW w:w="3737" w:type="dxa"/>
            <w:tcBorders>
              <w:tl2br w:val="nil"/>
              <w:tr2bl w:val="nil"/>
            </w:tcBorders>
            <w:tcMar>
              <w:top w:w="57" w:type="dxa"/>
              <w:left w:w="57" w:type="dxa"/>
              <w:bottom w:w="57" w:type="dxa"/>
              <w:right w:w="57" w:type="dxa"/>
            </w:tcMar>
            <w:vAlign w:val="center"/>
          </w:tcPr>
          <w:p>
            <w:pPr>
              <w:widowControl/>
              <w:adjustRightInd w:val="0"/>
              <w:snapToGrid w:val="0"/>
              <w:jc w:val="left"/>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处五千元以上一万元以下罚款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7" w:hRule="atLeast"/>
          <w:jc w:val="center"/>
        </w:trPr>
        <w:tc>
          <w:tcPr>
            <w:tcW w:w="421" w:type="dxa"/>
            <w:vMerge w:val="continue"/>
            <w:tcBorders>
              <w:tl2br w:val="nil"/>
              <w:tr2bl w:val="nil"/>
            </w:tcBorders>
            <w:tcMar>
              <w:top w:w="57" w:type="dxa"/>
              <w:left w:w="57" w:type="dxa"/>
              <w:bottom w:w="57" w:type="dxa"/>
              <w:right w:w="57" w:type="dxa"/>
            </w:tcMar>
            <w:vAlign w:val="center"/>
          </w:tcPr>
          <w:p>
            <w:pPr>
              <w:adjustRightInd w:val="0"/>
              <w:snapToGrid w:val="0"/>
              <w:jc w:val="center"/>
              <w:rPr>
                <w:rFonts w:ascii="仿宋_GB2312" w:hAnsi="仿宋_GB2312" w:eastAsia="仿宋_GB2312" w:cs="仿宋_GB2312"/>
                <w:color w:val="000000"/>
                <w:sz w:val="21"/>
                <w:szCs w:val="21"/>
              </w:rPr>
            </w:pPr>
          </w:p>
        </w:tc>
        <w:tc>
          <w:tcPr>
            <w:tcW w:w="1098" w:type="dxa"/>
            <w:vMerge w:val="continue"/>
            <w:tcBorders>
              <w:tl2br w:val="nil"/>
              <w:tr2bl w:val="nil"/>
            </w:tcBorders>
            <w:tcMar>
              <w:top w:w="57" w:type="dxa"/>
              <w:left w:w="57" w:type="dxa"/>
              <w:bottom w:w="57" w:type="dxa"/>
              <w:right w:w="57" w:type="dxa"/>
            </w:tcMar>
            <w:vAlign w:val="center"/>
          </w:tcPr>
          <w:p>
            <w:pPr>
              <w:adjustRightInd w:val="0"/>
              <w:snapToGrid w:val="0"/>
              <w:jc w:val="left"/>
              <w:rPr>
                <w:rFonts w:ascii="仿宋_GB2312" w:hAnsi="仿宋_GB2312" w:eastAsia="仿宋_GB2312" w:cs="仿宋_GB2312"/>
                <w:color w:val="000000"/>
                <w:sz w:val="21"/>
                <w:szCs w:val="21"/>
              </w:rPr>
            </w:pPr>
          </w:p>
        </w:tc>
        <w:tc>
          <w:tcPr>
            <w:tcW w:w="3531"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730"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一般</w:t>
            </w:r>
          </w:p>
        </w:tc>
        <w:tc>
          <w:tcPr>
            <w:tcW w:w="2378"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货值金额五千元以上一万元以下</w:t>
            </w:r>
          </w:p>
        </w:tc>
        <w:tc>
          <w:tcPr>
            <w:tcW w:w="2105" w:type="dxa"/>
            <w:vMerge w:val="continue"/>
            <w:tcBorders>
              <w:tl2br w:val="nil"/>
              <w:tr2bl w:val="nil"/>
            </w:tcBorders>
            <w:tcMar>
              <w:top w:w="57" w:type="dxa"/>
              <w:left w:w="57" w:type="dxa"/>
              <w:bottom w:w="57" w:type="dxa"/>
              <w:right w:w="57" w:type="dxa"/>
            </w:tcMar>
            <w:vAlign w:val="center"/>
          </w:tcPr>
          <w:p>
            <w:pPr>
              <w:adjustRightInd w:val="0"/>
              <w:snapToGrid w:val="0"/>
              <w:jc w:val="left"/>
              <w:rPr>
                <w:rFonts w:ascii="仿宋_GB2312" w:hAnsi="仿宋_GB2312" w:eastAsia="仿宋_GB2312" w:cs="仿宋_GB2312"/>
                <w:color w:val="000000"/>
                <w:sz w:val="21"/>
                <w:szCs w:val="21"/>
              </w:rPr>
            </w:pPr>
          </w:p>
        </w:tc>
        <w:tc>
          <w:tcPr>
            <w:tcW w:w="3737" w:type="dxa"/>
            <w:tcBorders>
              <w:tl2br w:val="nil"/>
              <w:tr2bl w:val="nil"/>
            </w:tcBorders>
            <w:tcMar>
              <w:top w:w="57" w:type="dxa"/>
              <w:left w:w="57" w:type="dxa"/>
              <w:bottom w:w="57" w:type="dxa"/>
              <w:right w:w="57" w:type="dxa"/>
            </w:tcMar>
            <w:vAlign w:val="center"/>
          </w:tcPr>
          <w:p>
            <w:pPr>
              <w:widowControl/>
              <w:adjustRightInd w:val="0"/>
              <w:snapToGrid w:val="0"/>
              <w:jc w:val="left"/>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处一万元以上二万元以下罚款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7" w:hRule="atLeast"/>
          <w:jc w:val="center"/>
        </w:trPr>
        <w:tc>
          <w:tcPr>
            <w:tcW w:w="421" w:type="dxa"/>
            <w:vMerge w:val="continue"/>
            <w:tcBorders>
              <w:tl2br w:val="nil"/>
              <w:tr2bl w:val="nil"/>
            </w:tcBorders>
            <w:tcMar>
              <w:top w:w="57" w:type="dxa"/>
              <w:left w:w="57" w:type="dxa"/>
              <w:bottom w:w="57" w:type="dxa"/>
              <w:right w:w="57" w:type="dxa"/>
            </w:tcMar>
            <w:vAlign w:val="center"/>
          </w:tcPr>
          <w:p>
            <w:pPr>
              <w:adjustRightInd w:val="0"/>
              <w:snapToGrid w:val="0"/>
              <w:jc w:val="center"/>
              <w:rPr>
                <w:rFonts w:ascii="仿宋_GB2312" w:hAnsi="仿宋_GB2312" w:eastAsia="仿宋_GB2312" w:cs="仿宋_GB2312"/>
                <w:color w:val="000000"/>
                <w:sz w:val="21"/>
                <w:szCs w:val="21"/>
              </w:rPr>
            </w:pPr>
          </w:p>
        </w:tc>
        <w:tc>
          <w:tcPr>
            <w:tcW w:w="1098" w:type="dxa"/>
            <w:vMerge w:val="continue"/>
            <w:tcBorders>
              <w:tl2br w:val="nil"/>
              <w:tr2bl w:val="nil"/>
            </w:tcBorders>
            <w:tcMar>
              <w:top w:w="57" w:type="dxa"/>
              <w:left w:w="57" w:type="dxa"/>
              <w:bottom w:w="57" w:type="dxa"/>
              <w:right w:w="57" w:type="dxa"/>
            </w:tcMar>
            <w:vAlign w:val="center"/>
          </w:tcPr>
          <w:p>
            <w:pPr>
              <w:adjustRightInd w:val="0"/>
              <w:snapToGrid w:val="0"/>
              <w:jc w:val="left"/>
              <w:rPr>
                <w:rFonts w:ascii="仿宋_GB2312" w:hAnsi="仿宋_GB2312" w:eastAsia="仿宋_GB2312" w:cs="仿宋_GB2312"/>
                <w:color w:val="000000"/>
                <w:sz w:val="21"/>
                <w:szCs w:val="21"/>
              </w:rPr>
            </w:pPr>
          </w:p>
        </w:tc>
        <w:tc>
          <w:tcPr>
            <w:tcW w:w="3531"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730"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较重</w:t>
            </w:r>
          </w:p>
        </w:tc>
        <w:tc>
          <w:tcPr>
            <w:tcW w:w="2378"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货值金额一万元以上五万元以下</w:t>
            </w:r>
          </w:p>
        </w:tc>
        <w:tc>
          <w:tcPr>
            <w:tcW w:w="2105" w:type="dxa"/>
            <w:vMerge w:val="continue"/>
            <w:tcBorders>
              <w:tl2br w:val="nil"/>
              <w:tr2bl w:val="nil"/>
            </w:tcBorders>
            <w:tcMar>
              <w:top w:w="57" w:type="dxa"/>
              <w:left w:w="57" w:type="dxa"/>
              <w:bottom w:w="57" w:type="dxa"/>
              <w:right w:w="57" w:type="dxa"/>
            </w:tcMar>
            <w:vAlign w:val="center"/>
          </w:tcPr>
          <w:p>
            <w:pPr>
              <w:adjustRightInd w:val="0"/>
              <w:snapToGrid w:val="0"/>
              <w:jc w:val="left"/>
              <w:rPr>
                <w:rFonts w:ascii="仿宋_GB2312" w:hAnsi="仿宋_GB2312" w:eastAsia="仿宋_GB2312" w:cs="仿宋_GB2312"/>
                <w:color w:val="000000"/>
                <w:sz w:val="21"/>
                <w:szCs w:val="21"/>
              </w:rPr>
            </w:pPr>
          </w:p>
        </w:tc>
        <w:tc>
          <w:tcPr>
            <w:tcW w:w="3737" w:type="dxa"/>
            <w:tcBorders>
              <w:tl2br w:val="nil"/>
              <w:tr2bl w:val="nil"/>
            </w:tcBorders>
            <w:tcMar>
              <w:top w:w="57" w:type="dxa"/>
              <w:left w:w="57" w:type="dxa"/>
              <w:bottom w:w="57" w:type="dxa"/>
              <w:right w:w="57" w:type="dxa"/>
            </w:tcMar>
            <w:vAlign w:val="center"/>
          </w:tcPr>
          <w:p>
            <w:pPr>
              <w:widowControl/>
              <w:adjustRightInd w:val="0"/>
              <w:snapToGrid w:val="0"/>
              <w:jc w:val="left"/>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处二万元以上三万元以下罚款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7" w:hRule="atLeast"/>
          <w:jc w:val="center"/>
        </w:trPr>
        <w:tc>
          <w:tcPr>
            <w:tcW w:w="421" w:type="dxa"/>
            <w:vMerge w:val="continue"/>
            <w:tcBorders>
              <w:tl2br w:val="nil"/>
              <w:tr2bl w:val="nil"/>
            </w:tcBorders>
            <w:tcMar>
              <w:top w:w="57" w:type="dxa"/>
              <w:left w:w="57" w:type="dxa"/>
              <w:bottom w:w="57" w:type="dxa"/>
              <w:right w:w="57" w:type="dxa"/>
            </w:tcMar>
            <w:vAlign w:val="center"/>
          </w:tcPr>
          <w:p>
            <w:pPr>
              <w:adjustRightInd w:val="0"/>
              <w:snapToGrid w:val="0"/>
              <w:jc w:val="center"/>
              <w:rPr>
                <w:rFonts w:ascii="仿宋_GB2312" w:hAnsi="仿宋_GB2312" w:eastAsia="仿宋_GB2312" w:cs="仿宋_GB2312"/>
                <w:color w:val="000000"/>
                <w:sz w:val="21"/>
                <w:szCs w:val="21"/>
              </w:rPr>
            </w:pPr>
          </w:p>
        </w:tc>
        <w:tc>
          <w:tcPr>
            <w:tcW w:w="1098" w:type="dxa"/>
            <w:vMerge w:val="continue"/>
            <w:tcBorders>
              <w:tl2br w:val="nil"/>
              <w:tr2bl w:val="nil"/>
            </w:tcBorders>
            <w:tcMar>
              <w:top w:w="57" w:type="dxa"/>
              <w:left w:w="57" w:type="dxa"/>
              <w:bottom w:w="57" w:type="dxa"/>
              <w:right w:w="57" w:type="dxa"/>
            </w:tcMar>
            <w:vAlign w:val="center"/>
          </w:tcPr>
          <w:p>
            <w:pPr>
              <w:adjustRightInd w:val="0"/>
              <w:snapToGrid w:val="0"/>
              <w:jc w:val="left"/>
              <w:rPr>
                <w:rFonts w:ascii="仿宋_GB2312" w:hAnsi="仿宋_GB2312" w:eastAsia="仿宋_GB2312" w:cs="仿宋_GB2312"/>
                <w:color w:val="000000"/>
                <w:sz w:val="21"/>
                <w:szCs w:val="21"/>
              </w:rPr>
            </w:pPr>
          </w:p>
        </w:tc>
        <w:tc>
          <w:tcPr>
            <w:tcW w:w="3531"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730"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严重</w:t>
            </w:r>
          </w:p>
        </w:tc>
        <w:tc>
          <w:tcPr>
            <w:tcW w:w="2378"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货值金额五万元以上或者拒不改正的</w:t>
            </w:r>
          </w:p>
        </w:tc>
        <w:tc>
          <w:tcPr>
            <w:tcW w:w="2105" w:type="dxa"/>
            <w:vMerge w:val="continue"/>
            <w:tcBorders>
              <w:tl2br w:val="nil"/>
              <w:tr2bl w:val="nil"/>
            </w:tcBorders>
            <w:tcMar>
              <w:top w:w="57" w:type="dxa"/>
              <w:left w:w="57" w:type="dxa"/>
              <w:bottom w:w="57" w:type="dxa"/>
              <w:right w:w="57" w:type="dxa"/>
            </w:tcMar>
            <w:vAlign w:val="center"/>
          </w:tcPr>
          <w:p>
            <w:pPr>
              <w:adjustRightInd w:val="0"/>
              <w:snapToGrid w:val="0"/>
              <w:jc w:val="left"/>
              <w:rPr>
                <w:rFonts w:ascii="仿宋_GB2312" w:hAnsi="仿宋_GB2312" w:eastAsia="仿宋_GB2312" w:cs="仿宋_GB2312"/>
                <w:color w:val="000000"/>
                <w:sz w:val="21"/>
                <w:szCs w:val="21"/>
              </w:rPr>
            </w:pPr>
          </w:p>
        </w:tc>
        <w:tc>
          <w:tcPr>
            <w:tcW w:w="3737" w:type="dxa"/>
            <w:tcBorders>
              <w:tl2br w:val="nil"/>
              <w:tr2bl w:val="nil"/>
            </w:tcBorders>
            <w:tcMar>
              <w:top w:w="57" w:type="dxa"/>
              <w:left w:w="57" w:type="dxa"/>
              <w:bottom w:w="57" w:type="dxa"/>
              <w:right w:w="57" w:type="dxa"/>
            </w:tcMar>
            <w:vAlign w:val="center"/>
          </w:tcPr>
          <w:p>
            <w:pPr>
              <w:widowControl/>
              <w:adjustRightInd w:val="0"/>
              <w:snapToGrid w:val="0"/>
              <w:jc w:val="left"/>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处三万元以上五万元以下罚款，抄告发证机关吊销农药生产许可证和相应的农药登记证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4" w:hRule="atLeast"/>
          <w:jc w:val="center"/>
        </w:trPr>
        <w:tc>
          <w:tcPr>
            <w:tcW w:w="421" w:type="dxa"/>
            <w:vMerge w:val="restart"/>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18</w:t>
            </w:r>
          </w:p>
        </w:tc>
        <w:tc>
          <w:tcPr>
            <w:tcW w:w="1098" w:type="dxa"/>
            <w:vMerge w:val="restart"/>
            <w:tcBorders>
              <w:tl2br w:val="nil"/>
              <w:tr2bl w:val="nil"/>
            </w:tcBorders>
            <w:tcMar>
              <w:top w:w="57" w:type="dxa"/>
              <w:left w:w="57" w:type="dxa"/>
              <w:bottom w:w="57" w:type="dxa"/>
              <w:right w:w="57" w:type="dxa"/>
            </w:tcMar>
            <w:vAlign w:val="center"/>
          </w:tcPr>
          <w:p>
            <w:pPr>
              <w:widowControl/>
              <w:adjustRightInd w:val="0"/>
              <w:snapToGrid w:val="0"/>
              <w:jc w:val="left"/>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农药经营者不停止销售依法应当召回的农药的</w:t>
            </w:r>
          </w:p>
        </w:tc>
        <w:tc>
          <w:tcPr>
            <w:tcW w:w="3531" w:type="dxa"/>
            <w:vMerge w:val="restart"/>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农药管理条例》第五十七条第四项，农药经营者有下列行为之一的，由县级以上地方人民政府农业主管部门责令改正，没收违法所得和违法经营的农药，并处5000元以上5万元以下罚款；拒不改正或者情节严重的，由发证机关吊销农药经营许可证：</w:t>
            </w:r>
            <w:r>
              <w:rPr>
                <w:rFonts w:hint="eastAsia" w:ascii="仿宋_GB2312" w:hAnsi="仿宋_GB2312" w:eastAsia="仿宋_GB2312" w:cs="仿宋_GB2312"/>
                <w:color w:val="000000"/>
                <w:kern w:val="0"/>
                <w:sz w:val="21"/>
                <w:szCs w:val="21"/>
              </w:rPr>
              <w:br w:type="textWrapping"/>
            </w:r>
            <w:r>
              <w:rPr>
                <w:rFonts w:hint="eastAsia" w:ascii="仿宋_GB2312" w:hAnsi="仿宋_GB2312" w:eastAsia="仿宋_GB2312" w:cs="仿宋_GB2312"/>
                <w:color w:val="000000"/>
                <w:kern w:val="0"/>
                <w:sz w:val="21"/>
                <w:szCs w:val="21"/>
              </w:rPr>
              <w:t xml:space="preserve">    （四）不停止销售依法应当召回的农药。</w:t>
            </w:r>
          </w:p>
        </w:tc>
        <w:tc>
          <w:tcPr>
            <w:tcW w:w="730"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较轻</w:t>
            </w:r>
          </w:p>
        </w:tc>
        <w:tc>
          <w:tcPr>
            <w:tcW w:w="2378"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货值金额不足五千元</w:t>
            </w:r>
          </w:p>
        </w:tc>
        <w:tc>
          <w:tcPr>
            <w:tcW w:w="2105" w:type="dxa"/>
            <w:vMerge w:val="restart"/>
            <w:tcBorders>
              <w:tl2br w:val="nil"/>
              <w:tr2bl w:val="nil"/>
            </w:tcBorders>
            <w:tcMar>
              <w:top w:w="57" w:type="dxa"/>
              <w:left w:w="57" w:type="dxa"/>
              <w:bottom w:w="57" w:type="dxa"/>
              <w:right w:w="57" w:type="dxa"/>
            </w:tcMar>
            <w:vAlign w:val="center"/>
          </w:tcPr>
          <w:p>
            <w:pPr>
              <w:widowControl/>
              <w:adjustRightInd w:val="0"/>
              <w:snapToGrid w:val="0"/>
              <w:jc w:val="left"/>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责令改正，没收违法所得和经营的农药</w:t>
            </w:r>
          </w:p>
        </w:tc>
        <w:tc>
          <w:tcPr>
            <w:tcW w:w="3737" w:type="dxa"/>
            <w:tcBorders>
              <w:tl2br w:val="nil"/>
              <w:tr2bl w:val="nil"/>
            </w:tcBorders>
            <w:tcMar>
              <w:top w:w="57" w:type="dxa"/>
              <w:left w:w="57" w:type="dxa"/>
              <w:bottom w:w="57" w:type="dxa"/>
              <w:right w:w="57" w:type="dxa"/>
            </w:tcMar>
            <w:vAlign w:val="center"/>
          </w:tcPr>
          <w:p>
            <w:pPr>
              <w:widowControl/>
              <w:adjustRightInd w:val="0"/>
              <w:snapToGrid w:val="0"/>
              <w:jc w:val="left"/>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处五千元以上一万元以下罚款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jc w:val="center"/>
        </w:trPr>
        <w:tc>
          <w:tcPr>
            <w:tcW w:w="421" w:type="dxa"/>
            <w:vMerge w:val="continue"/>
            <w:tcBorders>
              <w:tl2br w:val="nil"/>
              <w:tr2bl w:val="nil"/>
            </w:tcBorders>
            <w:tcMar>
              <w:top w:w="57" w:type="dxa"/>
              <w:left w:w="57" w:type="dxa"/>
              <w:bottom w:w="57" w:type="dxa"/>
              <w:right w:w="57" w:type="dxa"/>
            </w:tcMar>
            <w:vAlign w:val="center"/>
          </w:tcPr>
          <w:p>
            <w:pPr>
              <w:adjustRightInd w:val="0"/>
              <w:snapToGrid w:val="0"/>
              <w:jc w:val="center"/>
              <w:rPr>
                <w:rFonts w:ascii="仿宋_GB2312" w:hAnsi="仿宋_GB2312" w:eastAsia="仿宋_GB2312" w:cs="仿宋_GB2312"/>
                <w:color w:val="000000"/>
                <w:sz w:val="21"/>
                <w:szCs w:val="21"/>
              </w:rPr>
            </w:pPr>
          </w:p>
        </w:tc>
        <w:tc>
          <w:tcPr>
            <w:tcW w:w="1098" w:type="dxa"/>
            <w:vMerge w:val="continue"/>
            <w:tcBorders>
              <w:tl2br w:val="nil"/>
              <w:tr2bl w:val="nil"/>
            </w:tcBorders>
            <w:tcMar>
              <w:top w:w="57" w:type="dxa"/>
              <w:left w:w="57" w:type="dxa"/>
              <w:bottom w:w="57" w:type="dxa"/>
              <w:right w:w="57" w:type="dxa"/>
            </w:tcMar>
            <w:vAlign w:val="center"/>
          </w:tcPr>
          <w:p>
            <w:pPr>
              <w:adjustRightInd w:val="0"/>
              <w:snapToGrid w:val="0"/>
              <w:jc w:val="left"/>
              <w:rPr>
                <w:rFonts w:ascii="仿宋_GB2312" w:hAnsi="仿宋_GB2312" w:eastAsia="仿宋_GB2312" w:cs="仿宋_GB2312"/>
                <w:color w:val="000000"/>
                <w:sz w:val="21"/>
                <w:szCs w:val="21"/>
              </w:rPr>
            </w:pPr>
          </w:p>
        </w:tc>
        <w:tc>
          <w:tcPr>
            <w:tcW w:w="3531"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730"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一般</w:t>
            </w:r>
          </w:p>
        </w:tc>
        <w:tc>
          <w:tcPr>
            <w:tcW w:w="2378"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货值金额五千元以上一万元以下</w:t>
            </w:r>
          </w:p>
        </w:tc>
        <w:tc>
          <w:tcPr>
            <w:tcW w:w="2105" w:type="dxa"/>
            <w:vMerge w:val="continue"/>
            <w:tcBorders>
              <w:tl2br w:val="nil"/>
              <w:tr2bl w:val="nil"/>
            </w:tcBorders>
            <w:tcMar>
              <w:top w:w="57" w:type="dxa"/>
              <w:left w:w="57" w:type="dxa"/>
              <w:bottom w:w="57" w:type="dxa"/>
              <w:right w:w="57" w:type="dxa"/>
            </w:tcMar>
            <w:vAlign w:val="center"/>
          </w:tcPr>
          <w:p>
            <w:pPr>
              <w:adjustRightInd w:val="0"/>
              <w:snapToGrid w:val="0"/>
              <w:jc w:val="left"/>
              <w:rPr>
                <w:rFonts w:ascii="仿宋_GB2312" w:hAnsi="仿宋_GB2312" w:eastAsia="仿宋_GB2312" w:cs="仿宋_GB2312"/>
                <w:color w:val="000000"/>
                <w:sz w:val="21"/>
                <w:szCs w:val="21"/>
              </w:rPr>
            </w:pPr>
          </w:p>
        </w:tc>
        <w:tc>
          <w:tcPr>
            <w:tcW w:w="3737" w:type="dxa"/>
            <w:tcBorders>
              <w:tl2br w:val="nil"/>
              <w:tr2bl w:val="nil"/>
            </w:tcBorders>
            <w:tcMar>
              <w:top w:w="57" w:type="dxa"/>
              <w:left w:w="57" w:type="dxa"/>
              <w:bottom w:w="57" w:type="dxa"/>
              <w:right w:w="57" w:type="dxa"/>
            </w:tcMar>
            <w:vAlign w:val="center"/>
          </w:tcPr>
          <w:p>
            <w:pPr>
              <w:widowControl/>
              <w:adjustRightInd w:val="0"/>
              <w:snapToGrid w:val="0"/>
              <w:jc w:val="left"/>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处一万元以上二万元以下罚款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jc w:val="center"/>
        </w:trPr>
        <w:tc>
          <w:tcPr>
            <w:tcW w:w="421" w:type="dxa"/>
            <w:vMerge w:val="continue"/>
            <w:tcBorders>
              <w:tl2br w:val="nil"/>
              <w:tr2bl w:val="nil"/>
            </w:tcBorders>
            <w:tcMar>
              <w:top w:w="57" w:type="dxa"/>
              <w:left w:w="57" w:type="dxa"/>
              <w:bottom w:w="57" w:type="dxa"/>
              <w:right w:w="57" w:type="dxa"/>
            </w:tcMar>
            <w:vAlign w:val="center"/>
          </w:tcPr>
          <w:p>
            <w:pPr>
              <w:adjustRightInd w:val="0"/>
              <w:snapToGrid w:val="0"/>
              <w:jc w:val="center"/>
              <w:rPr>
                <w:rFonts w:ascii="仿宋_GB2312" w:hAnsi="仿宋_GB2312" w:eastAsia="仿宋_GB2312" w:cs="仿宋_GB2312"/>
                <w:color w:val="000000"/>
                <w:sz w:val="21"/>
                <w:szCs w:val="21"/>
              </w:rPr>
            </w:pPr>
          </w:p>
        </w:tc>
        <w:tc>
          <w:tcPr>
            <w:tcW w:w="1098" w:type="dxa"/>
            <w:vMerge w:val="continue"/>
            <w:tcBorders>
              <w:tl2br w:val="nil"/>
              <w:tr2bl w:val="nil"/>
            </w:tcBorders>
            <w:tcMar>
              <w:top w:w="57" w:type="dxa"/>
              <w:left w:w="57" w:type="dxa"/>
              <w:bottom w:w="57" w:type="dxa"/>
              <w:right w:w="57" w:type="dxa"/>
            </w:tcMar>
            <w:vAlign w:val="center"/>
          </w:tcPr>
          <w:p>
            <w:pPr>
              <w:adjustRightInd w:val="0"/>
              <w:snapToGrid w:val="0"/>
              <w:jc w:val="left"/>
              <w:rPr>
                <w:rFonts w:ascii="仿宋_GB2312" w:hAnsi="仿宋_GB2312" w:eastAsia="仿宋_GB2312" w:cs="仿宋_GB2312"/>
                <w:color w:val="000000"/>
                <w:sz w:val="21"/>
                <w:szCs w:val="21"/>
              </w:rPr>
            </w:pPr>
          </w:p>
        </w:tc>
        <w:tc>
          <w:tcPr>
            <w:tcW w:w="3531"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730"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较重</w:t>
            </w:r>
          </w:p>
        </w:tc>
        <w:tc>
          <w:tcPr>
            <w:tcW w:w="2378"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货值金额一万元以上五万元以下</w:t>
            </w:r>
          </w:p>
        </w:tc>
        <w:tc>
          <w:tcPr>
            <w:tcW w:w="2105" w:type="dxa"/>
            <w:vMerge w:val="continue"/>
            <w:tcBorders>
              <w:tl2br w:val="nil"/>
              <w:tr2bl w:val="nil"/>
            </w:tcBorders>
            <w:tcMar>
              <w:top w:w="57" w:type="dxa"/>
              <w:left w:w="57" w:type="dxa"/>
              <w:bottom w:w="57" w:type="dxa"/>
              <w:right w:w="57" w:type="dxa"/>
            </w:tcMar>
            <w:vAlign w:val="center"/>
          </w:tcPr>
          <w:p>
            <w:pPr>
              <w:adjustRightInd w:val="0"/>
              <w:snapToGrid w:val="0"/>
              <w:jc w:val="left"/>
              <w:rPr>
                <w:rFonts w:ascii="仿宋_GB2312" w:hAnsi="仿宋_GB2312" w:eastAsia="仿宋_GB2312" w:cs="仿宋_GB2312"/>
                <w:color w:val="000000"/>
                <w:sz w:val="21"/>
                <w:szCs w:val="21"/>
              </w:rPr>
            </w:pPr>
          </w:p>
        </w:tc>
        <w:tc>
          <w:tcPr>
            <w:tcW w:w="3737" w:type="dxa"/>
            <w:tcBorders>
              <w:tl2br w:val="nil"/>
              <w:tr2bl w:val="nil"/>
            </w:tcBorders>
            <w:tcMar>
              <w:top w:w="57" w:type="dxa"/>
              <w:left w:w="57" w:type="dxa"/>
              <w:bottom w:w="57" w:type="dxa"/>
              <w:right w:w="57" w:type="dxa"/>
            </w:tcMar>
            <w:vAlign w:val="center"/>
          </w:tcPr>
          <w:p>
            <w:pPr>
              <w:widowControl/>
              <w:adjustRightInd w:val="0"/>
              <w:snapToGrid w:val="0"/>
              <w:jc w:val="left"/>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处二万元以上三万元以下罚款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4" w:hRule="atLeast"/>
          <w:jc w:val="center"/>
        </w:trPr>
        <w:tc>
          <w:tcPr>
            <w:tcW w:w="421" w:type="dxa"/>
            <w:vMerge w:val="continue"/>
            <w:tcBorders>
              <w:tl2br w:val="nil"/>
              <w:tr2bl w:val="nil"/>
            </w:tcBorders>
            <w:tcMar>
              <w:top w:w="57" w:type="dxa"/>
              <w:left w:w="57" w:type="dxa"/>
              <w:bottom w:w="57" w:type="dxa"/>
              <w:right w:w="57" w:type="dxa"/>
            </w:tcMar>
            <w:vAlign w:val="center"/>
          </w:tcPr>
          <w:p>
            <w:pPr>
              <w:adjustRightInd w:val="0"/>
              <w:snapToGrid w:val="0"/>
              <w:jc w:val="center"/>
              <w:rPr>
                <w:rFonts w:ascii="仿宋_GB2312" w:hAnsi="仿宋_GB2312" w:eastAsia="仿宋_GB2312" w:cs="仿宋_GB2312"/>
                <w:color w:val="000000"/>
                <w:sz w:val="21"/>
                <w:szCs w:val="21"/>
              </w:rPr>
            </w:pPr>
          </w:p>
        </w:tc>
        <w:tc>
          <w:tcPr>
            <w:tcW w:w="1098" w:type="dxa"/>
            <w:vMerge w:val="continue"/>
            <w:tcBorders>
              <w:tl2br w:val="nil"/>
              <w:tr2bl w:val="nil"/>
            </w:tcBorders>
            <w:tcMar>
              <w:top w:w="57" w:type="dxa"/>
              <w:left w:w="57" w:type="dxa"/>
              <w:bottom w:w="57" w:type="dxa"/>
              <w:right w:w="57" w:type="dxa"/>
            </w:tcMar>
            <w:vAlign w:val="center"/>
          </w:tcPr>
          <w:p>
            <w:pPr>
              <w:adjustRightInd w:val="0"/>
              <w:snapToGrid w:val="0"/>
              <w:jc w:val="left"/>
              <w:rPr>
                <w:rFonts w:ascii="仿宋_GB2312" w:hAnsi="仿宋_GB2312" w:eastAsia="仿宋_GB2312" w:cs="仿宋_GB2312"/>
                <w:color w:val="000000"/>
                <w:sz w:val="21"/>
                <w:szCs w:val="21"/>
              </w:rPr>
            </w:pPr>
          </w:p>
        </w:tc>
        <w:tc>
          <w:tcPr>
            <w:tcW w:w="3531"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730"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严重</w:t>
            </w:r>
          </w:p>
        </w:tc>
        <w:tc>
          <w:tcPr>
            <w:tcW w:w="2378"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货值金额五万元以上或者拒不改正的</w:t>
            </w:r>
          </w:p>
        </w:tc>
        <w:tc>
          <w:tcPr>
            <w:tcW w:w="2105" w:type="dxa"/>
            <w:vMerge w:val="continue"/>
            <w:tcBorders>
              <w:tl2br w:val="nil"/>
              <w:tr2bl w:val="nil"/>
            </w:tcBorders>
            <w:tcMar>
              <w:top w:w="57" w:type="dxa"/>
              <w:left w:w="57" w:type="dxa"/>
              <w:bottom w:w="57" w:type="dxa"/>
              <w:right w:w="57" w:type="dxa"/>
            </w:tcMar>
            <w:vAlign w:val="center"/>
          </w:tcPr>
          <w:p>
            <w:pPr>
              <w:adjustRightInd w:val="0"/>
              <w:snapToGrid w:val="0"/>
              <w:jc w:val="left"/>
              <w:rPr>
                <w:rFonts w:ascii="仿宋_GB2312" w:hAnsi="仿宋_GB2312" w:eastAsia="仿宋_GB2312" w:cs="仿宋_GB2312"/>
                <w:color w:val="000000"/>
                <w:sz w:val="21"/>
                <w:szCs w:val="21"/>
              </w:rPr>
            </w:pPr>
          </w:p>
        </w:tc>
        <w:tc>
          <w:tcPr>
            <w:tcW w:w="3737" w:type="dxa"/>
            <w:tcBorders>
              <w:tl2br w:val="nil"/>
              <w:tr2bl w:val="nil"/>
            </w:tcBorders>
            <w:tcMar>
              <w:top w:w="57" w:type="dxa"/>
              <w:left w:w="57" w:type="dxa"/>
              <w:bottom w:w="57" w:type="dxa"/>
              <w:right w:w="57" w:type="dxa"/>
            </w:tcMar>
            <w:vAlign w:val="center"/>
          </w:tcPr>
          <w:p>
            <w:pPr>
              <w:widowControl/>
              <w:adjustRightInd w:val="0"/>
              <w:snapToGrid w:val="0"/>
              <w:jc w:val="left"/>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处三万元以上五万元以下罚款，抄告发证机关吊销农药生产许可证和相应的农药登记证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421" w:type="dxa"/>
            <w:vMerge w:val="restart"/>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19</w:t>
            </w:r>
          </w:p>
        </w:tc>
        <w:tc>
          <w:tcPr>
            <w:tcW w:w="1098" w:type="dxa"/>
            <w:vMerge w:val="restart"/>
            <w:tcBorders>
              <w:tl2br w:val="nil"/>
              <w:tr2bl w:val="nil"/>
            </w:tcBorders>
            <w:tcMar>
              <w:top w:w="57" w:type="dxa"/>
              <w:left w:w="57" w:type="dxa"/>
              <w:bottom w:w="57" w:type="dxa"/>
              <w:right w:w="57" w:type="dxa"/>
            </w:tcMar>
            <w:vAlign w:val="center"/>
          </w:tcPr>
          <w:p>
            <w:pPr>
              <w:widowControl/>
              <w:adjustRightInd w:val="0"/>
              <w:snapToGrid w:val="0"/>
              <w:jc w:val="left"/>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农药经营者不执行农药采购台账、销售台账制度的</w:t>
            </w:r>
          </w:p>
        </w:tc>
        <w:tc>
          <w:tcPr>
            <w:tcW w:w="3531" w:type="dxa"/>
            <w:vMerge w:val="restart"/>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农药管理条例》第五十八条第一项，农药经营者有下列行为之一的，由县级以上地方人民政府农业主管部门责令改正；拒不改正或者情节严重的，处2000元以上2万元以下罚款，并由发证机关吊销农药经营许可证：</w:t>
            </w:r>
            <w:r>
              <w:rPr>
                <w:rFonts w:hint="eastAsia" w:ascii="仿宋_GB2312" w:hAnsi="仿宋_GB2312" w:eastAsia="仿宋_GB2312" w:cs="仿宋_GB2312"/>
                <w:color w:val="000000"/>
                <w:kern w:val="0"/>
                <w:sz w:val="21"/>
                <w:szCs w:val="21"/>
              </w:rPr>
              <w:br w:type="textWrapping"/>
            </w:r>
            <w:r>
              <w:rPr>
                <w:rFonts w:hint="eastAsia" w:ascii="仿宋_GB2312" w:hAnsi="仿宋_GB2312" w:eastAsia="仿宋_GB2312" w:cs="仿宋_GB2312"/>
                <w:color w:val="000000"/>
                <w:kern w:val="0"/>
                <w:sz w:val="21"/>
                <w:szCs w:val="21"/>
              </w:rPr>
              <w:t xml:space="preserve">    （一）不执行农药采购台账、销售台账制度。</w:t>
            </w:r>
          </w:p>
        </w:tc>
        <w:tc>
          <w:tcPr>
            <w:tcW w:w="730"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较轻</w:t>
            </w:r>
          </w:p>
        </w:tc>
        <w:tc>
          <w:tcPr>
            <w:tcW w:w="2378"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初次违法</w:t>
            </w:r>
          </w:p>
        </w:tc>
        <w:tc>
          <w:tcPr>
            <w:tcW w:w="2105" w:type="dxa"/>
            <w:vMerge w:val="restart"/>
            <w:tcBorders>
              <w:tl2br w:val="nil"/>
              <w:tr2bl w:val="nil"/>
            </w:tcBorders>
            <w:tcMar>
              <w:top w:w="57" w:type="dxa"/>
              <w:left w:w="57" w:type="dxa"/>
              <w:bottom w:w="57" w:type="dxa"/>
              <w:right w:w="57" w:type="dxa"/>
            </w:tcMar>
            <w:vAlign w:val="center"/>
          </w:tcPr>
          <w:p>
            <w:pPr>
              <w:widowControl/>
              <w:adjustRightInd w:val="0"/>
              <w:snapToGrid w:val="0"/>
              <w:jc w:val="left"/>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责令改正，拒不改正的</w:t>
            </w:r>
          </w:p>
        </w:tc>
        <w:tc>
          <w:tcPr>
            <w:tcW w:w="3737" w:type="dxa"/>
            <w:tcBorders>
              <w:tl2br w:val="nil"/>
              <w:tr2bl w:val="nil"/>
            </w:tcBorders>
            <w:tcMar>
              <w:top w:w="57" w:type="dxa"/>
              <w:left w:w="57" w:type="dxa"/>
              <w:bottom w:w="57" w:type="dxa"/>
              <w:right w:w="57" w:type="dxa"/>
            </w:tcMar>
            <w:vAlign w:val="center"/>
          </w:tcPr>
          <w:p>
            <w:pPr>
              <w:widowControl/>
              <w:adjustRightInd w:val="0"/>
              <w:snapToGrid w:val="0"/>
              <w:jc w:val="left"/>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处二千元以上六千元以下罚款，抄告由发证机关吊销农药经营许可证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jc w:val="center"/>
        </w:trPr>
        <w:tc>
          <w:tcPr>
            <w:tcW w:w="421" w:type="dxa"/>
            <w:vMerge w:val="continue"/>
            <w:tcBorders>
              <w:tl2br w:val="nil"/>
              <w:tr2bl w:val="nil"/>
            </w:tcBorders>
            <w:tcMar>
              <w:top w:w="57" w:type="dxa"/>
              <w:left w:w="57" w:type="dxa"/>
              <w:bottom w:w="57" w:type="dxa"/>
              <w:right w:w="57" w:type="dxa"/>
            </w:tcMar>
            <w:vAlign w:val="center"/>
          </w:tcPr>
          <w:p>
            <w:pPr>
              <w:adjustRightInd w:val="0"/>
              <w:snapToGrid w:val="0"/>
              <w:jc w:val="center"/>
              <w:rPr>
                <w:rFonts w:ascii="仿宋_GB2312" w:hAnsi="仿宋_GB2312" w:eastAsia="仿宋_GB2312" w:cs="仿宋_GB2312"/>
                <w:color w:val="000000"/>
                <w:sz w:val="21"/>
                <w:szCs w:val="21"/>
              </w:rPr>
            </w:pPr>
          </w:p>
        </w:tc>
        <w:tc>
          <w:tcPr>
            <w:tcW w:w="1098" w:type="dxa"/>
            <w:vMerge w:val="continue"/>
            <w:tcBorders>
              <w:tl2br w:val="nil"/>
              <w:tr2bl w:val="nil"/>
            </w:tcBorders>
            <w:tcMar>
              <w:top w:w="57" w:type="dxa"/>
              <w:left w:w="57" w:type="dxa"/>
              <w:bottom w:w="57" w:type="dxa"/>
              <w:right w:w="57" w:type="dxa"/>
            </w:tcMar>
            <w:vAlign w:val="center"/>
          </w:tcPr>
          <w:p>
            <w:pPr>
              <w:adjustRightInd w:val="0"/>
              <w:snapToGrid w:val="0"/>
              <w:jc w:val="left"/>
              <w:rPr>
                <w:rFonts w:ascii="仿宋_GB2312" w:hAnsi="仿宋_GB2312" w:eastAsia="仿宋_GB2312" w:cs="仿宋_GB2312"/>
                <w:color w:val="000000"/>
                <w:sz w:val="21"/>
                <w:szCs w:val="21"/>
              </w:rPr>
            </w:pPr>
          </w:p>
        </w:tc>
        <w:tc>
          <w:tcPr>
            <w:tcW w:w="3531"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730"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一般</w:t>
            </w:r>
          </w:p>
        </w:tc>
        <w:tc>
          <w:tcPr>
            <w:tcW w:w="2378"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再次违法</w:t>
            </w:r>
          </w:p>
        </w:tc>
        <w:tc>
          <w:tcPr>
            <w:tcW w:w="2105" w:type="dxa"/>
            <w:vMerge w:val="continue"/>
            <w:tcBorders>
              <w:tl2br w:val="nil"/>
              <w:tr2bl w:val="nil"/>
            </w:tcBorders>
            <w:tcMar>
              <w:top w:w="57" w:type="dxa"/>
              <w:left w:w="57" w:type="dxa"/>
              <w:bottom w:w="57" w:type="dxa"/>
              <w:right w:w="57" w:type="dxa"/>
            </w:tcMar>
            <w:vAlign w:val="center"/>
          </w:tcPr>
          <w:p>
            <w:pPr>
              <w:adjustRightInd w:val="0"/>
              <w:snapToGrid w:val="0"/>
              <w:jc w:val="left"/>
              <w:rPr>
                <w:rFonts w:ascii="仿宋_GB2312" w:hAnsi="仿宋_GB2312" w:eastAsia="仿宋_GB2312" w:cs="仿宋_GB2312"/>
                <w:color w:val="000000"/>
                <w:sz w:val="21"/>
                <w:szCs w:val="21"/>
              </w:rPr>
            </w:pPr>
          </w:p>
        </w:tc>
        <w:tc>
          <w:tcPr>
            <w:tcW w:w="3737" w:type="dxa"/>
            <w:tcBorders>
              <w:tl2br w:val="nil"/>
              <w:tr2bl w:val="nil"/>
            </w:tcBorders>
            <w:tcMar>
              <w:top w:w="57" w:type="dxa"/>
              <w:left w:w="57" w:type="dxa"/>
              <w:bottom w:w="57" w:type="dxa"/>
              <w:right w:w="57" w:type="dxa"/>
            </w:tcMar>
            <w:vAlign w:val="center"/>
          </w:tcPr>
          <w:p>
            <w:pPr>
              <w:widowControl/>
              <w:adjustRightInd w:val="0"/>
              <w:snapToGrid w:val="0"/>
              <w:jc w:val="left"/>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处六千元以上一万两千元以下罚款，抄告由发证机关吊销农药经营许可证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5" w:hRule="atLeast"/>
          <w:jc w:val="center"/>
        </w:trPr>
        <w:tc>
          <w:tcPr>
            <w:tcW w:w="421" w:type="dxa"/>
            <w:vMerge w:val="continue"/>
            <w:tcBorders>
              <w:tl2br w:val="nil"/>
              <w:tr2bl w:val="nil"/>
            </w:tcBorders>
            <w:tcMar>
              <w:top w:w="57" w:type="dxa"/>
              <w:left w:w="57" w:type="dxa"/>
              <w:bottom w:w="57" w:type="dxa"/>
              <w:right w:w="57" w:type="dxa"/>
            </w:tcMar>
            <w:vAlign w:val="center"/>
          </w:tcPr>
          <w:p>
            <w:pPr>
              <w:adjustRightInd w:val="0"/>
              <w:snapToGrid w:val="0"/>
              <w:jc w:val="center"/>
              <w:rPr>
                <w:rFonts w:ascii="仿宋_GB2312" w:hAnsi="仿宋_GB2312" w:eastAsia="仿宋_GB2312" w:cs="仿宋_GB2312"/>
                <w:color w:val="000000"/>
                <w:sz w:val="21"/>
                <w:szCs w:val="21"/>
              </w:rPr>
            </w:pPr>
          </w:p>
        </w:tc>
        <w:tc>
          <w:tcPr>
            <w:tcW w:w="1098" w:type="dxa"/>
            <w:vMerge w:val="continue"/>
            <w:tcBorders>
              <w:tl2br w:val="nil"/>
              <w:tr2bl w:val="nil"/>
            </w:tcBorders>
            <w:tcMar>
              <w:top w:w="57" w:type="dxa"/>
              <w:left w:w="57" w:type="dxa"/>
              <w:bottom w:w="57" w:type="dxa"/>
              <w:right w:w="57" w:type="dxa"/>
            </w:tcMar>
            <w:vAlign w:val="center"/>
          </w:tcPr>
          <w:p>
            <w:pPr>
              <w:adjustRightInd w:val="0"/>
              <w:snapToGrid w:val="0"/>
              <w:jc w:val="left"/>
              <w:rPr>
                <w:rFonts w:ascii="仿宋_GB2312" w:hAnsi="仿宋_GB2312" w:eastAsia="仿宋_GB2312" w:cs="仿宋_GB2312"/>
                <w:color w:val="000000"/>
                <w:sz w:val="21"/>
                <w:szCs w:val="21"/>
              </w:rPr>
            </w:pPr>
          </w:p>
        </w:tc>
        <w:tc>
          <w:tcPr>
            <w:tcW w:w="3531"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730"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严重</w:t>
            </w:r>
          </w:p>
        </w:tc>
        <w:tc>
          <w:tcPr>
            <w:tcW w:w="2378"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三次以上违法</w:t>
            </w:r>
          </w:p>
        </w:tc>
        <w:tc>
          <w:tcPr>
            <w:tcW w:w="2105" w:type="dxa"/>
            <w:vMerge w:val="continue"/>
            <w:tcBorders>
              <w:tl2br w:val="nil"/>
              <w:tr2bl w:val="nil"/>
            </w:tcBorders>
            <w:tcMar>
              <w:top w:w="57" w:type="dxa"/>
              <w:left w:w="57" w:type="dxa"/>
              <w:bottom w:w="57" w:type="dxa"/>
              <w:right w:w="57" w:type="dxa"/>
            </w:tcMar>
            <w:vAlign w:val="center"/>
          </w:tcPr>
          <w:p>
            <w:pPr>
              <w:adjustRightInd w:val="0"/>
              <w:snapToGrid w:val="0"/>
              <w:jc w:val="left"/>
              <w:rPr>
                <w:rFonts w:ascii="仿宋_GB2312" w:hAnsi="仿宋_GB2312" w:eastAsia="仿宋_GB2312" w:cs="仿宋_GB2312"/>
                <w:color w:val="000000"/>
                <w:sz w:val="21"/>
                <w:szCs w:val="21"/>
              </w:rPr>
            </w:pPr>
          </w:p>
        </w:tc>
        <w:tc>
          <w:tcPr>
            <w:tcW w:w="3737" w:type="dxa"/>
            <w:tcBorders>
              <w:tl2br w:val="nil"/>
              <w:tr2bl w:val="nil"/>
            </w:tcBorders>
            <w:tcMar>
              <w:top w:w="57" w:type="dxa"/>
              <w:left w:w="57" w:type="dxa"/>
              <w:bottom w:w="57" w:type="dxa"/>
              <w:right w:w="57" w:type="dxa"/>
            </w:tcMar>
            <w:vAlign w:val="center"/>
          </w:tcPr>
          <w:p>
            <w:pPr>
              <w:widowControl/>
              <w:adjustRightInd w:val="0"/>
              <w:snapToGrid w:val="0"/>
              <w:jc w:val="left"/>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处一万两千元以上二万元以下罚款，抄告由发证机关吊销农药经营许可证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7" w:hRule="atLeast"/>
          <w:jc w:val="center"/>
        </w:trPr>
        <w:tc>
          <w:tcPr>
            <w:tcW w:w="421" w:type="dxa"/>
            <w:vMerge w:val="restart"/>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20</w:t>
            </w:r>
          </w:p>
        </w:tc>
        <w:tc>
          <w:tcPr>
            <w:tcW w:w="1098" w:type="dxa"/>
            <w:vMerge w:val="restart"/>
            <w:tcBorders>
              <w:tl2br w:val="nil"/>
              <w:tr2bl w:val="nil"/>
            </w:tcBorders>
            <w:tcMar>
              <w:top w:w="57" w:type="dxa"/>
              <w:left w:w="57" w:type="dxa"/>
              <w:bottom w:w="57" w:type="dxa"/>
              <w:right w:w="57" w:type="dxa"/>
            </w:tcMar>
            <w:vAlign w:val="center"/>
          </w:tcPr>
          <w:p>
            <w:pPr>
              <w:widowControl/>
              <w:adjustRightInd w:val="0"/>
              <w:snapToGrid w:val="0"/>
              <w:jc w:val="left"/>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农药经营者在卫生用农药以外的农药经营场所内经营食品、食用农产品、饲料等的</w:t>
            </w:r>
          </w:p>
        </w:tc>
        <w:tc>
          <w:tcPr>
            <w:tcW w:w="3531" w:type="dxa"/>
            <w:vMerge w:val="restart"/>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农药管理条例》第五十八条第二项，农药经营者有下列行为之一的，由县级以上地方人民政府农业主管部门责令改正；拒不改正或者情节严重的，处2000元以上2万元以下罚款，并由发证机关吊销农药经营许可证：</w:t>
            </w:r>
            <w:r>
              <w:rPr>
                <w:rFonts w:hint="eastAsia" w:ascii="仿宋_GB2312" w:hAnsi="仿宋_GB2312" w:eastAsia="仿宋_GB2312" w:cs="仿宋_GB2312"/>
                <w:color w:val="000000"/>
                <w:kern w:val="0"/>
                <w:sz w:val="21"/>
                <w:szCs w:val="21"/>
              </w:rPr>
              <w:br w:type="textWrapping"/>
            </w:r>
            <w:r>
              <w:rPr>
                <w:rFonts w:hint="eastAsia" w:ascii="仿宋_GB2312" w:hAnsi="仿宋_GB2312" w:eastAsia="仿宋_GB2312" w:cs="仿宋_GB2312"/>
                <w:color w:val="000000"/>
                <w:kern w:val="0"/>
                <w:sz w:val="21"/>
                <w:szCs w:val="21"/>
              </w:rPr>
              <w:t xml:space="preserve">    （二）在卫生用农药以外的农药经营场所内经营食品、食用农产品、饲料等。</w:t>
            </w:r>
          </w:p>
        </w:tc>
        <w:tc>
          <w:tcPr>
            <w:tcW w:w="730"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较轻</w:t>
            </w:r>
          </w:p>
        </w:tc>
        <w:tc>
          <w:tcPr>
            <w:tcW w:w="2378"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初次违法</w:t>
            </w:r>
          </w:p>
        </w:tc>
        <w:tc>
          <w:tcPr>
            <w:tcW w:w="2105" w:type="dxa"/>
            <w:vMerge w:val="restart"/>
            <w:tcBorders>
              <w:tl2br w:val="nil"/>
              <w:tr2bl w:val="nil"/>
            </w:tcBorders>
            <w:tcMar>
              <w:top w:w="57" w:type="dxa"/>
              <w:left w:w="57" w:type="dxa"/>
              <w:bottom w:w="57" w:type="dxa"/>
              <w:right w:w="57" w:type="dxa"/>
            </w:tcMar>
            <w:vAlign w:val="center"/>
          </w:tcPr>
          <w:p>
            <w:pPr>
              <w:widowControl/>
              <w:adjustRightInd w:val="0"/>
              <w:snapToGrid w:val="0"/>
              <w:jc w:val="left"/>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责令改正，拒不改正的</w:t>
            </w:r>
          </w:p>
        </w:tc>
        <w:tc>
          <w:tcPr>
            <w:tcW w:w="3737" w:type="dxa"/>
            <w:tcBorders>
              <w:tl2br w:val="nil"/>
              <w:tr2bl w:val="nil"/>
            </w:tcBorders>
            <w:tcMar>
              <w:top w:w="57" w:type="dxa"/>
              <w:left w:w="57" w:type="dxa"/>
              <w:bottom w:w="57" w:type="dxa"/>
              <w:right w:w="57" w:type="dxa"/>
            </w:tcMar>
            <w:vAlign w:val="center"/>
          </w:tcPr>
          <w:p>
            <w:pPr>
              <w:widowControl/>
              <w:adjustRightInd w:val="0"/>
              <w:snapToGrid w:val="0"/>
              <w:jc w:val="left"/>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处二千元以上六千元以下罚款，抄告由发证机关吊销农药经营许可证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5" w:hRule="atLeast"/>
          <w:jc w:val="center"/>
        </w:trPr>
        <w:tc>
          <w:tcPr>
            <w:tcW w:w="421" w:type="dxa"/>
            <w:vMerge w:val="continue"/>
            <w:tcBorders>
              <w:tl2br w:val="nil"/>
              <w:tr2bl w:val="nil"/>
            </w:tcBorders>
            <w:tcMar>
              <w:top w:w="57" w:type="dxa"/>
              <w:left w:w="57" w:type="dxa"/>
              <w:bottom w:w="57" w:type="dxa"/>
              <w:right w:w="57" w:type="dxa"/>
            </w:tcMar>
            <w:vAlign w:val="center"/>
          </w:tcPr>
          <w:p>
            <w:pPr>
              <w:adjustRightInd w:val="0"/>
              <w:snapToGrid w:val="0"/>
              <w:jc w:val="center"/>
              <w:rPr>
                <w:rFonts w:ascii="仿宋_GB2312" w:hAnsi="仿宋_GB2312" w:eastAsia="仿宋_GB2312" w:cs="仿宋_GB2312"/>
                <w:color w:val="000000"/>
                <w:sz w:val="21"/>
                <w:szCs w:val="21"/>
              </w:rPr>
            </w:pPr>
          </w:p>
        </w:tc>
        <w:tc>
          <w:tcPr>
            <w:tcW w:w="1098" w:type="dxa"/>
            <w:vMerge w:val="continue"/>
            <w:tcBorders>
              <w:tl2br w:val="nil"/>
              <w:tr2bl w:val="nil"/>
            </w:tcBorders>
            <w:tcMar>
              <w:top w:w="57" w:type="dxa"/>
              <w:left w:w="57" w:type="dxa"/>
              <w:bottom w:w="57" w:type="dxa"/>
              <w:right w:w="57" w:type="dxa"/>
            </w:tcMar>
            <w:vAlign w:val="center"/>
          </w:tcPr>
          <w:p>
            <w:pPr>
              <w:adjustRightInd w:val="0"/>
              <w:snapToGrid w:val="0"/>
              <w:jc w:val="left"/>
              <w:rPr>
                <w:rFonts w:ascii="仿宋_GB2312" w:hAnsi="仿宋_GB2312" w:eastAsia="仿宋_GB2312" w:cs="仿宋_GB2312"/>
                <w:color w:val="000000"/>
                <w:sz w:val="21"/>
                <w:szCs w:val="21"/>
              </w:rPr>
            </w:pPr>
          </w:p>
        </w:tc>
        <w:tc>
          <w:tcPr>
            <w:tcW w:w="3531"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730"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一般</w:t>
            </w:r>
          </w:p>
        </w:tc>
        <w:tc>
          <w:tcPr>
            <w:tcW w:w="2378"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再次违法</w:t>
            </w:r>
          </w:p>
        </w:tc>
        <w:tc>
          <w:tcPr>
            <w:tcW w:w="2105" w:type="dxa"/>
            <w:vMerge w:val="continue"/>
            <w:tcBorders>
              <w:tl2br w:val="nil"/>
              <w:tr2bl w:val="nil"/>
            </w:tcBorders>
            <w:tcMar>
              <w:top w:w="57" w:type="dxa"/>
              <w:left w:w="57" w:type="dxa"/>
              <w:bottom w:w="57" w:type="dxa"/>
              <w:right w:w="57" w:type="dxa"/>
            </w:tcMar>
            <w:vAlign w:val="center"/>
          </w:tcPr>
          <w:p>
            <w:pPr>
              <w:adjustRightInd w:val="0"/>
              <w:snapToGrid w:val="0"/>
              <w:jc w:val="left"/>
              <w:rPr>
                <w:rFonts w:ascii="仿宋_GB2312" w:hAnsi="仿宋_GB2312" w:eastAsia="仿宋_GB2312" w:cs="仿宋_GB2312"/>
                <w:color w:val="000000"/>
                <w:sz w:val="21"/>
                <w:szCs w:val="21"/>
              </w:rPr>
            </w:pPr>
          </w:p>
        </w:tc>
        <w:tc>
          <w:tcPr>
            <w:tcW w:w="3737" w:type="dxa"/>
            <w:tcBorders>
              <w:tl2br w:val="nil"/>
              <w:tr2bl w:val="nil"/>
            </w:tcBorders>
            <w:tcMar>
              <w:top w:w="57" w:type="dxa"/>
              <w:left w:w="57" w:type="dxa"/>
              <w:bottom w:w="57" w:type="dxa"/>
              <w:right w:w="57" w:type="dxa"/>
            </w:tcMar>
            <w:vAlign w:val="center"/>
          </w:tcPr>
          <w:p>
            <w:pPr>
              <w:widowControl/>
              <w:adjustRightInd w:val="0"/>
              <w:snapToGrid w:val="0"/>
              <w:jc w:val="left"/>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处六千元以上一万两千元以下罚款，抄告由发证机关吊销农药经营许可证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2" w:hRule="atLeast"/>
          <w:jc w:val="center"/>
        </w:trPr>
        <w:tc>
          <w:tcPr>
            <w:tcW w:w="421" w:type="dxa"/>
            <w:vMerge w:val="continue"/>
            <w:tcBorders>
              <w:tl2br w:val="nil"/>
              <w:tr2bl w:val="nil"/>
            </w:tcBorders>
            <w:tcMar>
              <w:top w:w="57" w:type="dxa"/>
              <w:left w:w="57" w:type="dxa"/>
              <w:bottom w:w="57" w:type="dxa"/>
              <w:right w:w="57" w:type="dxa"/>
            </w:tcMar>
            <w:vAlign w:val="center"/>
          </w:tcPr>
          <w:p>
            <w:pPr>
              <w:adjustRightInd w:val="0"/>
              <w:snapToGrid w:val="0"/>
              <w:jc w:val="center"/>
              <w:rPr>
                <w:rFonts w:ascii="仿宋_GB2312" w:hAnsi="仿宋_GB2312" w:eastAsia="仿宋_GB2312" w:cs="仿宋_GB2312"/>
                <w:color w:val="000000"/>
                <w:sz w:val="21"/>
                <w:szCs w:val="21"/>
              </w:rPr>
            </w:pPr>
          </w:p>
        </w:tc>
        <w:tc>
          <w:tcPr>
            <w:tcW w:w="1098" w:type="dxa"/>
            <w:vMerge w:val="continue"/>
            <w:tcBorders>
              <w:tl2br w:val="nil"/>
              <w:tr2bl w:val="nil"/>
            </w:tcBorders>
            <w:tcMar>
              <w:top w:w="57" w:type="dxa"/>
              <w:left w:w="57" w:type="dxa"/>
              <w:bottom w:w="57" w:type="dxa"/>
              <w:right w:w="57" w:type="dxa"/>
            </w:tcMar>
            <w:vAlign w:val="center"/>
          </w:tcPr>
          <w:p>
            <w:pPr>
              <w:adjustRightInd w:val="0"/>
              <w:snapToGrid w:val="0"/>
              <w:jc w:val="left"/>
              <w:rPr>
                <w:rFonts w:ascii="仿宋_GB2312" w:hAnsi="仿宋_GB2312" w:eastAsia="仿宋_GB2312" w:cs="仿宋_GB2312"/>
                <w:color w:val="000000"/>
                <w:sz w:val="21"/>
                <w:szCs w:val="21"/>
              </w:rPr>
            </w:pPr>
          </w:p>
        </w:tc>
        <w:tc>
          <w:tcPr>
            <w:tcW w:w="3531"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730"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严重</w:t>
            </w:r>
          </w:p>
        </w:tc>
        <w:tc>
          <w:tcPr>
            <w:tcW w:w="2378"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三次以上违法</w:t>
            </w:r>
          </w:p>
        </w:tc>
        <w:tc>
          <w:tcPr>
            <w:tcW w:w="2105" w:type="dxa"/>
            <w:vMerge w:val="continue"/>
            <w:tcBorders>
              <w:tl2br w:val="nil"/>
              <w:tr2bl w:val="nil"/>
            </w:tcBorders>
            <w:tcMar>
              <w:top w:w="57" w:type="dxa"/>
              <w:left w:w="57" w:type="dxa"/>
              <w:bottom w:w="57" w:type="dxa"/>
              <w:right w:w="57" w:type="dxa"/>
            </w:tcMar>
            <w:vAlign w:val="center"/>
          </w:tcPr>
          <w:p>
            <w:pPr>
              <w:adjustRightInd w:val="0"/>
              <w:snapToGrid w:val="0"/>
              <w:jc w:val="left"/>
              <w:rPr>
                <w:rFonts w:ascii="仿宋_GB2312" w:hAnsi="仿宋_GB2312" w:eastAsia="仿宋_GB2312" w:cs="仿宋_GB2312"/>
                <w:color w:val="000000"/>
                <w:sz w:val="21"/>
                <w:szCs w:val="21"/>
              </w:rPr>
            </w:pPr>
          </w:p>
        </w:tc>
        <w:tc>
          <w:tcPr>
            <w:tcW w:w="3737" w:type="dxa"/>
            <w:tcBorders>
              <w:tl2br w:val="nil"/>
              <w:tr2bl w:val="nil"/>
            </w:tcBorders>
            <w:tcMar>
              <w:top w:w="57" w:type="dxa"/>
              <w:left w:w="57" w:type="dxa"/>
              <w:bottom w:w="57" w:type="dxa"/>
              <w:right w:w="57" w:type="dxa"/>
            </w:tcMar>
            <w:vAlign w:val="center"/>
          </w:tcPr>
          <w:p>
            <w:pPr>
              <w:widowControl/>
              <w:adjustRightInd w:val="0"/>
              <w:snapToGrid w:val="0"/>
              <w:jc w:val="left"/>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处一万两千元以上二万元以下罚款，抄告由发证机关吊销农药经营许可证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9" w:hRule="atLeast"/>
          <w:jc w:val="center"/>
        </w:trPr>
        <w:tc>
          <w:tcPr>
            <w:tcW w:w="421" w:type="dxa"/>
            <w:vMerge w:val="restart"/>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21</w:t>
            </w:r>
          </w:p>
        </w:tc>
        <w:tc>
          <w:tcPr>
            <w:tcW w:w="1098" w:type="dxa"/>
            <w:vMerge w:val="restart"/>
            <w:tcBorders>
              <w:tl2br w:val="nil"/>
              <w:tr2bl w:val="nil"/>
            </w:tcBorders>
            <w:tcMar>
              <w:top w:w="57" w:type="dxa"/>
              <w:left w:w="57" w:type="dxa"/>
              <w:bottom w:w="57" w:type="dxa"/>
              <w:right w:w="57" w:type="dxa"/>
            </w:tcMar>
            <w:vAlign w:val="center"/>
          </w:tcPr>
          <w:p>
            <w:pPr>
              <w:widowControl/>
              <w:adjustRightInd w:val="0"/>
              <w:snapToGrid w:val="0"/>
              <w:jc w:val="left"/>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农药经营者未将卫生用农药与其他商品分柜销售的</w:t>
            </w:r>
          </w:p>
        </w:tc>
        <w:tc>
          <w:tcPr>
            <w:tcW w:w="3531" w:type="dxa"/>
            <w:vMerge w:val="restart"/>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农药管理条例》第五十八条第三项，农药经营者有下列行为之一的，由县级以上地方人民政府农业主管部门责令改正；拒不改正或者情节严重的，处2000元以上2万元以下罚款，并由发证机关吊销农药经营许可证：</w:t>
            </w:r>
            <w:r>
              <w:rPr>
                <w:rFonts w:hint="eastAsia" w:ascii="仿宋_GB2312" w:hAnsi="仿宋_GB2312" w:eastAsia="仿宋_GB2312" w:cs="仿宋_GB2312"/>
                <w:color w:val="000000"/>
                <w:kern w:val="0"/>
                <w:sz w:val="21"/>
                <w:szCs w:val="21"/>
              </w:rPr>
              <w:br w:type="textWrapping"/>
            </w:r>
            <w:r>
              <w:rPr>
                <w:rFonts w:hint="eastAsia" w:ascii="仿宋_GB2312" w:hAnsi="仿宋_GB2312" w:eastAsia="仿宋_GB2312" w:cs="仿宋_GB2312"/>
                <w:color w:val="000000"/>
                <w:kern w:val="0"/>
                <w:sz w:val="21"/>
                <w:szCs w:val="21"/>
              </w:rPr>
              <w:t xml:space="preserve">    （三）未将卫生用农药与其他商品分柜销售。</w:t>
            </w:r>
          </w:p>
        </w:tc>
        <w:tc>
          <w:tcPr>
            <w:tcW w:w="730"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较轻</w:t>
            </w:r>
          </w:p>
        </w:tc>
        <w:tc>
          <w:tcPr>
            <w:tcW w:w="2378"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初次违法</w:t>
            </w:r>
          </w:p>
        </w:tc>
        <w:tc>
          <w:tcPr>
            <w:tcW w:w="2105" w:type="dxa"/>
            <w:vMerge w:val="restart"/>
            <w:tcBorders>
              <w:tl2br w:val="nil"/>
              <w:tr2bl w:val="nil"/>
            </w:tcBorders>
            <w:tcMar>
              <w:top w:w="57" w:type="dxa"/>
              <w:left w:w="57" w:type="dxa"/>
              <w:bottom w:w="57" w:type="dxa"/>
              <w:right w:w="57" w:type="dxa"/>
            </w:tcMar>
            <w:vAlign w:val="center"/>
          </w:tcPr>
          <w:p>
            <w:pPr>
              <w:widowControl/>
              <w:adjustRightInd w:val="0"/>
              <w:snapToGrid w:val="0"/>
              <w:jc w:val="left"/>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责令改正，拒不改正的</w:t>
            </w:r>
          </w:p>
        </w:tc>
        <w:tc>
          <w:tcPr>
            <w:tcW w:w="3737" w:type="dxa"/>
            <w:tcBorders>
              <w:tl2br w:val="nil"/>
              <w:tr2bl w:val="nil"/>
            </w:tcBorders>
            <w:tcMar>
              <w:top w:w="57" w:type="dxa"/>
              <w:left w:w="57" w:type="dxa"/>
              <w:bottom w:w="57" w:type="dxa"/>
              <w:right w:w="57" w:type="dxa"/>
            </w:tcMar>
            <w:vAlign w:val="center"/>
          </w:tcPr>
          <w:p>
            <w:pPr>
              <w:widowControl/>
              <w:adjustRightInd w:val="0"/>
              <w:snapToGrid w:val="0"/>
              <w:jc w:val="left"/>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处二千元以上六千元以下罚款，抄告由发证机关吊销农药经营许可证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8" w:hRule="atLeast"/>
          <w:jc w:val="center"/>
        </w:trPr>
        <w:tc>
          <w:tcPr>
            <w:tcW w:w="421" w:type="dxa"/>
            <w:vMerge w:val="continue"/>
            <w:tcBorders>
              <w:tl2br w:val="nil"/>
              <w:tr2bl w:val="nil"/>
            </w:tcBorders>
            <w:tcMar>
              <w:top w:w="57" w:type="dxa"/>
              <w:left w:w="57" w:type="dxa"/>
              <w:bottom w:w="57" w:type="dxa"/>
              <w:right w:w="57" w:type="dxa"/>
            </w:tcMar>
            <w:vAlign w:val="center"/>
          </w:tcPr>
          <w:p>
            <w:pPr>
              <w:adjustRightInd w:val="0"/>
              <w:snapToGrid w:val="0"/>
              <w:jc w:val="center"/>
              <w:rPr>
                <w:rFonts w:ascii="仿宋_GB2312" w:hAnsi="仿宋_GB2312" w:eastAsia="仿宋_GB2312" w:cs="仿宋_GB2312"/>
                <w:color w:val="000000"/>
                <w:sz w:val="21"/>
                <w:szCs w:val="21"/>
              </w:rPr>
            </w:pPr>
          </w:p>
        </w:tc>
        <w:tc>
          <w:tcPr>
            <w:tcW w:w="1098" w:type="dxa"/>
            <w:vMerge w:val="continue"/>
            <w:tcBorders>
              <w:tl2br w:val="nil"/>
              <w:tr2bl w:val="nil"/>
            </w:tcBorders>
            <w:tcMar>
              <w:top w:w="57" w:type="dxa"/>
              <w:left w:w="57" w:type="dxa"/>
              <w:bottom w:w="57" w:type="dxa"/>
              <w:right w:w="57" w:type="dxa"/>
            </w:tcMar>
            <w:vAlign w:val="center"/>
          </w:tcPr>
          <w:p>
            <w:pPr>
              <w:adjustRightInd w:val="0"/>
              <w:snapToGrid w:val="0"/>
              <w:jc w:val="left"/>
              <w:rPr>
                <w:rFonts w:ascii="仿宋_GB2312" w:hAnsi="仿宋_GB2312" w:eastAsia="仿宋_GB2312" w:cs="仿宋_GB2312"/>
                <w:color w:val="000000"/>
                <w:sz w:val="21"/>
                <w:szCs w:val="21"/>
              </w:rPr>
            </w:pPr>
          </w:p>
        </w:tc>
        <w:tc>
          <w:tcPr>
            <w:tcW w:w="3531"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730"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一般</w:t>
            </w:r>
          </w:p>
        </w:tc>
        <w:tc>
          <w:tcPr>
            <w:tcW w:w="2378"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再次违法</w:t>
            </w:r>
          </w:p>
        </w:tc>
        <w:tc>
          <w:tcPr>
            <w:tcW w:w="2105" w:type="dxa"/>
            <w:vMerge w:val="continue"/>
            <w:tcBorders>
              <w:tl2br w:val="nil"/>
              <w:tr2bl w:val="nil"/>
            </w:tcBorders>
            <w:tcMar>
              <w:top w:w="57" w:type="dxa"/>
              <w:left w:w="57" w:type="dxa"/>
              <w:bottom w:w="57" w:type="dxa"/>
              <w:right w:w="57" w:type="dxa"/>
            </w:tcMar>
            <w:vAlign w:val="center"/>
          </w:tcPr>
          <w:p>
            <w:pPr>
              <w:adjustRightInd w:val="0"/>
              <w:snapToGrid w:val="0"/>
              <w:jc w:val="left"/>
              <w:rPr>
                <w:rFonts w:ascii="仿宋_GB2312" w:hAnsi="仿宋_GB2312" w:eastAsia="仿宋_GB2312" w:cs="仿宋_GB2312"/>
                <w:color w:val="000000"/>
                <w:sz w:val="21"/>
                <w:szCs w:val="21"/>
              </w:rPr>
            </w:pPr>
          </w:p>
        </w:tc>
        <w:tc>
          <w:tcPr>
            <w:tcW w:w="3737" w:type="dxa"/>
            <w:tcBorders>
              <w:tl2br w:val="nil"/>
              <w:tr2bl w:val="nil"/>
            </w:tcBorders>
            <w:tcMar>
              <w:top w:w="57" w:type="dxa"/>
              <w:left w:w="57" w:type="dxa"/>
              <w:bottom w:w="57" w:type="dxa"/>
              <w:right w:w="57" w:type="dxa"/>
            </w:tcMar>
            <w:vAlign w:val="center"/>
          </w:tcPr>
          <w:p>
            <w:pPr>
              <w:widowControl/>
              <w:adjustRightInd w:val="0"/>
              <w:snapToGrid w:val="0"/>
              <w:jc w:val="left"/>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处六千元以上一万两千元以下罚款，抄告由发证机关吊销农药经营许可证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4" w:hRule="atLeast"/>
          <w:jc w:val="center"/>
        </w:trPr>
        <w:tc>
          <w:tcPr>
            <w:tcW w:w="421" w:type="dxa"/>
            <w:vMerge w:val="continue"/>
            <w:tcBorders>
              <w:tl2br w:val="nil"/>
              <w:tr2bl w:val="nil"/>
            </w:tcBorders>
            <w:tcMar>
              <w:top w:w="57" w:type="dxa"/>
              <w:left w:w="57" w:type="dxa"/>
              <w:bottom w:w="57" w:type="dxa"/>
              <w:right w:w="57" w:type="dxa"/>
            </w:tcMar>
            <w:vAlign w:val="center"/>
          </w:tcPr>
          <w:p>
            <w:pPr>
              <w:adjustRightInd w:val="0"/>
              <w:snapToGrid w:val="0"/>
              <w:jc w:val="center"/>
              <w:rPr>
                <w:rFonts w:ascii="仿宋_GB2312" w:hAnsi="仿宋_GB2312" w:eastAsia="仿宋_GB2312" w:cs="仿宋_GB2312"/>
                <w:color w:val="000000"/>
                <w:sz w:val="21"/>
                <w:szCs w:val="21"/>
              </w:rPr>
            </w:pPr>
          </w:p>
        </w:tc>
        <w:tc>
          <w:tcPr>
            <w:tcW w:w="1098" w:type="dxa"/>
            <w:vMerge w:val="continue"/>
            <w:tcBorders>
              <w:tl2br w:val="nil"/>
              <w:tr2bl w:val="nil"/>
            </w:tcBorders>
            <w:tcMar>
              <w:top w:w="57" w:type="dxa"/>
              <w:left w:w="57" w:type="dxa"/>
              <w:bottom w:w="57" w:type="dxa"/>
              <w:right w:w="57" w:type="dxa"/>
            </w:tcMar>
            <w:vAlign w:val="center"/>
          </w:tcPr>
          <w:p>
            <w:pPr>
              <w:adjustRightInd w:val="0"/>
              <w:snapToGrid w:val="0"/>
              <w:jc w:val="left"/>
              <w:rPr>
                <w:rFonts w:ascii="仿宋_GB2312" w:hAnsi="仿宋_GB2312" w:eastAsia="仿宋_GB2312" w:cs="仿宋_GB2312"/>
                <w:color w:val="000000"/>
                <w:sz w:val="21"/>
                <w:szCs w:val="21"/>
              </w:rPr>
            </w:pPr>
          </w:p>
        </w:tc>
        <w:tc>
          <w:tcPr>
            <w:tcW w:w="3531"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730"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严重</w:t>
            </w:r>
          </w:p>
        </w:tc>
        <w:tc>
          <w:tcPr>
            <w:tcW w:w="2378"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三次以上违法</w:t>
            </w:r>
          </w:p>
        </w:tc>
        <w:tc>
          <w:tcPr>
            <w:tcW w:w="2105" w:type="dxa"/>
            <w:vMerge w:val="continue"/>
            <w:tcBorders>
              <w:tl2br w:val="nil"/>
              <w:tr2bl w:val="nil"/>
            </w:tcBorders>
            <w:tcMar>
              <w:top w:w="57" w:type="dxa"/>
              <w:left w:w="57" w:type="dxa"/>
              <w:bottom w:w="57" w:type="dxa"/>
              <w:right w:w="57" w:type="dxa"/>
            </w:tcMar>
            <w:vAlign w:val="center"/>
          </w:tcPr>
          <w:p>
            <w:pPr>
              <w:adjustRightInd w:val="0"/>
              <w:snapToGrid w:val="0"/>
              <w:jc w:val="left"/>
              <w:rPr>
                <w:rFonts w:ascii="仿宋_GB2312" w:hAnsi="仿宋_GB2312" w:eastAsia="仿宋_GB2312" w:cs="仿宋_GB2312"/>
                <w:color w:val="000000"/>
                <w:sz w:val="21"/>
                <w:szCs w:val="21"/>
              </w:rPr>
            </w:pPr>
          </w:p>
        </w:tc>
        <w:tc>
          <w:tcPr>
            <w:tcW w:w="3737" w:type="dxa"/>
            <w:tcBorders>
              <w:tl2br w:val="nil"/>
              <w:tr2bl w:val="nil"/>
            </w:tcBorders>
            <w:tcMar>
              <w:top w:w="57" w:type="dxa"/>
              <w:left w:w="57" w:type="dxa"/>
              <w:bottom w:w="57" w:type="dxa"/>
              <w:right w:w="57" w:type="dxa"/>
            </w:tcMar>
            <w:vAlign w:val="center"/>
          </w:tcPr>
          <w:p>
            <w:pPr>
              <w:widowControl/>
              <w:adjustRightInd w:val="0"/>
              <w:snapToGrid w:val="0"/>
              <w:jc w:val="left"/>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处一万两千元以上二万元以下罚款，抄告由发证机关吊销农药经营许可证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6" w:hRule="atLeast"/>
          <w:jc w:val="center"/>
        </w:trPr>
        <w:tc>
          <w:tcPr>
            <w:tcW w:w="421" w:type="dxa"/>
            <w:vMerge w:val="restart"/>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22</w:t>
            </w:r>
          </w:p>
        </w:tc>
        <w:tc>
          <w:tcPr>
            <w:tcW w:w="1098" w:type="dxa"/>
            <w:vMerge w:val="restart"/>
            <w:tcBorders>
              <w:tl2br w:val="nil"/>
              <w:tr2bl w:val="nil"/>
            </w:tcBorders>
            <w:tcMar>
              <w:top w:w="57" w:type="dxa"/>
              <w:left w:w="57" w:type="dxa"/>
              <w:bottom w:w="57" w:type="dxa"/>
              <w:right w:w="57" w:type="dxa"/>
            </w:tcMar>
            <w:vAlign w:val="center"/>
          </w:tcPr>
          <w:p>
            <w:pPr>
              <w:widowControl/>
              <w:adjustRightInd w:val="0"/>
              <w:snapToGrid w:val="0"/>
              <w:jc w:val="left"/>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不履行农药废弃物回收义务的</w:t>
            </w:r>
          </w:p>
        </w:tc>
        <w:tc>
          <w:tcPr>
            <w:tcW w:w="3531" w:type="dxa"/>
            <w:vMerge w:val="restart"/>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农药管理条例》第五十八条第四项，农药经营者有下列行为之一的，由县级以上地方人民政府农业主管部门责令改正；拒不改正或者情节严重的，处2000元以上2万元以下罚款，并由发证机关吊销农药经营许可证：</w:t>
            </w:r>
            <w:r>
              <w:rPr>
                <w:rFonts w:hint="eastAsia" w:ascii="仿宋_GB2312" w:hAnsi="仿宋_GB2312" w:eastAsia="仿宋_GB2312" w:cs="仿宋_GB2312"/>
                <w:color w:val="000000"/>
                <w:kern w:val="0"/>
                <w:sz w:val="21"/>
                <w:szCs w:val="21"/>
              </w:rPr>
              <w:br w:type="textWrapping"/>
            </w:r>
            <w:r>
              <w:rPr>
                <w:rFonts w:hint="eastAsia" w:ascii="仿宋_GB2312" w:hAnsi="仿宋_GB2312" w:eastAsia="仿宋_GB2312" w:cs="仿宋_GB2312"/>
                <w:color w:val="000000"/>
                <w:kern w:val="0"/>
                <w:sz w:val="21"/>
                <w:szCs w:val="21"/>
              </w:rPr>
              <w:t xml:space="preserve">    （四）不履行农药废弃物回收义务。</w:t>
            </w:r>
          </w:p>
        </w:tc>
        <w:tc>
          <w:tcPr>
            <w:tcW w:w="730"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较轻</w:t>
            </w:r>
          </w:p>
        </w:tc>
        <w:tc>
          <w:tcPr>
            <w:tcW w:w="2378"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初次违法</w:t>
            </w:r>
          </w:p>
        </w:tc>
        <w:tc>
          <w:tcPr>
            <w:tcW w:w="2105" w:type="dxa"/>
            <w:vMerge w:val="restart"/>
            <w:tcBorders>
              <w:tl2br w:val="nil"/>
              <w:tr2bl w:val="nil"/>
            </w:tcBorders>
            <w:tcMar>
              <w:top w:w="57" w:type="dxa"/>
              <w:left w:w="57" w:type="dxa"/>
              <w:bottom w:w="57" w:type="dxa"/>
              <w:right w:w="57" w:type="dxa"/>
            </w:tcMar>
            <w:vAlign w:val="center"/>
          </w:tcPr>
          <w:p>
            <w:pPr>
              <w:widowControl/>
              <w:adjustRightInd w:val="0"/>
              <w:snapToGrid w:val="0"/>
              <w:jc w:val="left"/>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责令改正，拒不改正的</w:t>
            </w:r>
          </w:p>
        </w:tc>
        <w:tc>
          <w:tcPr>
            <w:tcW w:w="3737" w:type="dxa"/>
            <w:tcBorders>
              <w:tl2br w:val="nil"/>
              <w:tr2bl w:val="nil"/>
            </w:tcBorders>
            <w:tcMar>
              <w:top w:w="57" w:type="dxa"/>
              <w:left w:w="57" w:type="dxa"/>
              <w:bottom w:w="57" w:type="dxa"/>
              <w:right w:w="57" w:type="dxa"/>
            </w:tcMar>
            <w:vAlign w:val="center"/>
          </w:tcPr>
          <w:p>
            <w:pPr>
              <w:widowControl/>
              <w:adjustRightInd w:val="0"/>
              <w:snapToGrid w:val="0"/>
              <w:jc w:val="left"/>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处二千元以上六千元以下罚款，抄告由发证机关吊销农药经营许可证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8" w:hRule="atLeast"/>
          <w:jc w:val="center"/>
        </w:trPr>
        <w:tc>
          <w:tcPr>
            <w:tcW w:w="421" w:type="dxa"/>
            <w:vMerge w:val="continue"/>
            <w:tcBorders>
              <w:tl2br w:val="nil"/>
              <w:tr2bl w:val="nil"/>
            </w:tcBorders>
            <w:tcMar>
              <w:top w:w="57" w:type="dxa"/>
              <w:left w:w="57" w:type="dxa"/>
              <w:bottom w:w="57" w:type="dxa"/>
              <w:right w:w="57" w:type="dxa"/>
            </w:tcMar>
            <w:vAlign w:val="center"/>
          </w:tcPr>
          <w:p>
            <w:pPr>
              <w:adjustRightInd w:val="0"/>
              <w:snapToGrid w:val="0"/>
              <w:jc w:val="center"/>
              <w:rPr>
                <w:rFonts w:ascii="仿宋_GB2312" w:hAnsi="仿宋_GB2312" w:eastAsia="仿宋_GB2312" w:cs="仿宋_GB2312"/>
                <w:color w:val="000000"/>
                <w:sz w:val="21"/>
                <w:szCs w:val="21"/>
              </w:rPr>
            </w:pPr>
          </w:p>
        </w:tc>
        <w:tc>
          <w:tcPr>
            <w:tcW w:w="1098" w:type="dxa"/>
            <w:vMerge w:val="continue"/>
            <w:tcBorders>
              <w:tl2br w:val="nil"/>
              <w:tr2bl w:val="nil"/>
            </w:tcBorders>
            <w:tcMar>
              <w:top w:w="57" w:type="dxa"/>
              <w:left w:w="57" w:type="dxa"/>
              <w:bottom w:w="57" w:type="dxa"/>
              <w:right w:w="57" w:type="dxa"/>
            </w:tcMar>
            <w:vAlign w:val="center"/>
          </w:tcPr>
          <w:p>
            <w:pPr>
              <w:adjustRightInd w:val="0"/>
              <w:snapToGrid w:val="0"/>
              <w:jc w:val="left"/>
              <w:rPr>
                <w:rFonts w:ascii="仿宋_GB2312" w:hAnsi="仿宋_GB2312" w:eastAsia="仿宋_GB2312" w:cs="仿宋_GB2312"/>
                <w:color w:val="000000"/>
                <w:sz w:val="21"/>
                <w:szCs w:val="21"/>
              </w:rPr>
            </w:pPr>
          </w:p>
        </w:tc>
        <w:tc>
          <w:tcPr>
            <w:tcW w:w="3531"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730"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一般</w:t>
            </w:r>
          </w:p>
        </w:tc>
        <w:tc>
          <w:tcPr>
            <w:tcW w:w="2378"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再次违法</w:t>
            </w:r>
          </w:p>
        </w:tc>
        <w:tc>
          <w:tcPr>
            <w:tcW w:w="2105" w:type="dxa"/>
            <w:vMerge w:val="continue"/>
            <w:tcBorders>
              <w:tl2br w:val="nil"/>
              <w:tr2bl w:val="nil"/>
            </w:tcBorders>
            <w:tcMar>
              <w:top w:w="57" w:type="dxa"/>
              <w:left w:w="57" w:type="dxa"/>
              <w:bottom w:w="57" w:type="dxa"/>
              <w:right w:w="57" w:type="dxa"/>
            </w:tcMar>
            <w:vAlign w:val="center"/>
          </w:tcPr>
          <w:p>
            <w:pPr>
              <w:adjustRightInd w:val="0"/>
              <w:snapToGrid w:val="0"/>
              <w:jc w:val="left"/>
              <w:rPr>
                <w:rFonts w:ascii="仿宋_GB2312" w:hAnsi="仿宋_GB2312" w:eastAsia="仿宋_GB2312" w:cs="仿宋_GB2312"/>
                <w:color w:val="000000"/>
                <w:sz w:val="21"/>
                <w:szCs w:val="21"/>
              </w:rPr>
            </w:pPr>
          </w:p>
        </w:tc>
        <w:tc>
          <w:tcPr>
            <w:tcW w:w="3737" w:type="dxa"/>
            <w:tcBorders>
              <w:tl2br w:val="nil"/>
              <w:tr2bl w:val="nil"/>
            </w:tcBorders>
            <w:tcMar>
              <w:top w:w="57" w:type="dxa"/>
              <w:left w:w="57" w:type="dxa"/>
              <w:bottom w:w="57" w:type="dxa"/>
              <w:right w:w="57" w:type="dxa"/>
            </w:tcMar>
            <w:vAlign w:val="center"/>
          </w:tcPr>
          <w:p>
            <w:pPr>
              <w:widowControl/>
              <w:adjustRightInd w:val="0"/>
              <w:snapToGrid w:val="0"/>
              <w:jc w:val="left"/>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处六千元以上一万两千元以下罚款，抄告由发证机关吊销农药经营许可证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1" w:hRule="atLeast"/>
          <w:jc w:val="center"/>
        </w:trPr>
        <w:tc>
          <w:tcPr>
            <w:tcW w:w="421" w:type="dxa"/>
            <w:vMerge w:val="continue"/>
            <w:tcBorders>
              <w:tl2br w:val="nil"/>
              <w:tr2bl w:val="nil"/>
            </w:tcBorders>
            <w:tcMar>
              <w:top w:w="57" w:type="dxa"/>
              <w:left w:w="57" w:type="dxa"/>
              <w:bottom w:w="57" w:type="dxa"/>
              <w:right w:w="57" w:type="dxa"/>
            </w:tcMar>
            <w:vAlign w:val="center"/>
          </w:tcPr>
          <w:p>
            <w:pPr>
              <w:adjustRightInd w:val="0"/>
              <w:snapToGrid w:val="0"/>
              <w:jc w:val="center"/>
              <w:rPr>
                <w:rFonts w:ascii="仿宋_GB2312" w:hAnsi="仿宋_GB2312" w:eastAsia="仿宋_GB2312" w:cs="仿宋_GB2312"/>
                <w:color w:val="000000"/>
                <w:sz w:val="21"/>
                <w:szCs w:val="21"/>
              </w:rPr>
            </w:pPr>
          </w:p>
        </w:tc>
        <w:tc>
          <w:tcPr>
            <w:tcW w:w="1098" w:type="dxa"/>
            <w:vMerge w:val="continue"/>
            <w:tcBorders>
              <w:tl2br w:val="nil"/>
              <w:tr2bl w:val="nil"/>
            </w:tcBorders>
            <w:tcMar>
              <w:top w:w="57" w:type="dxa"/>
              <w:left w:w="57" w:type="dxa"/>
              <w:bottom w:w="57" w:type="dxa"/>
              <w:right w:w="57" w:type="dxa"/>
            </w:tcMar>
            <w:vAlign w:val="center"/>
          </w:tcPr>
          <w:p>
            <w:pPr>
              <w:adjustRightInd w:val="0"/>
              <w:snapToGrid w:val="0"/>
              <w:jc w:val="left"/>
              <w:rPr>
                <w:rFonts w:ascii="仿宋_GB2312" w:hAnsi="仿宋_GB2312" w:eastAsia="仿宋_GB2312" w:cs="仿宋_GB2312"/>
                <w:color w:val="000000"/>
                <w:sz w:val="21"/>
                <w:szCs w:val="21"/>
              </w:rPr>
            </w:pPr>
          </w:p>
        </w:tc>
        <w:tc>
          <w:tcPr>
            <w:tcW w:w="3531"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730"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严重</w:t>
            </w:r>
          </w:p>
        </w:tc>
        <w:tc>
          <w:tcPr>
            <w:tcW w:w="2378"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三次以上违法</w:t>
            </w:r>
          </w:p>
        </w:tc>
        <w:tc>
          <w:tcPr>
            <w:tcW w:w="2105" w:type="dxa"/>
            <w:vMerge w:val="continue"/>
            <w:tcBorders>
              <w:tl2br w:val="nil"/>
              <w:tr2bl w:val="nil"/>
            </w:tcBorders>
            <w:tcMar>
              <w:top w:w="57" w:type="dxa"/>
              <w:left w:w="57" w:type="dxa"/>
              <w:bottom w:w="57" w:type="dxa"/>
              <w:right w:w="57" w:type="dxa"/>
            </w:tcMar>
            <w:vAlign w:val="center"/>
          </w:tcPr>
          <w:p>
            <w:pPr>
              <w:adjustRightInd w:val="0"/>
              <w:snapToGrid w:val="0"/>
              <w:jc w:val="left"/>
              <w:rPr>
                <w:rFonts w:ascii="仿宋_GB2312" w:hAnsi="仿宋_GB2312" w:eastAsia="仿宋_GB2312" w:cs="仿宋_GB2312"/>
                <w:color w:val="000000"/>
                <w:sz w:val="21"/>
                <w:szCs w:val="21"/>
              </w:rPr>
            </w:pPr>
          </w:p>
        </w:tc>
        <w:tc>
          <w:tcPr>
            <w:tcW w:w="3737" w:type="dxa"/>
            <w:tcBorders>
              <w:tl2br w:val="nil"/>
              <w:tr2bl w:val="nil"/>
            </w:tcBorders>
            <w:tcMar>
              <w:top w:w="57" w:type="dxa"/>
              <w:left w:w="57" w:type="dxa"/>
              <w:bottom w:w="57" w:type="dxa"/>
              <w:right w:w="57" w:type="dxa"/>
            </w:tcMar>
            <w:vAlign w:val="center"/>
          </w:tcPr>
          <w:p>
            <w:pPr>
              <w:widowControl/>
              <w:adjustRightInd w:val="0"/>
              <w:snapToGrid w:val="0"/>
              <w:jc w:val="left"/>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处一万两千元以上二万元以下罚款，抄告由发证机关吊销农药经营许可证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8" w:hRule="atLeast"/>
          <w:jc w:val="center"/>
        </w:trPr>
        <w:tc>
          <w:tcPr>
            <w:tcW w:w="421" w:type="dxa"/>
            <w:vMerge w:val="restart"/>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23</w:t>
            </w:r>
          </w:p>
        </w:tc>
        <w:tc>
          <w:tcPr>
            <w:tcW w:w="1098" w:type="dxa"/>
            <w:vMerge w:val="restart"/>
            <w:tcBorders>
              <w:tl2br w:val="nil"/>
              <w:tr2bl w:val="nil"/>
            </w:tcBorders>
            <w:tcMar>
              <w:top w:w="57" w:type="dxa"/>
              <w:left w:w="57" w:type="dxa"/>
              <w:bottom w:w="57" w:type="dxa"/>
              <w:right w:w="57" w:type="dxa"/>
            </w:tcMar>
            <w:vAlign w:val="center"/>
          </w:tcPr>
          <w:p>
            <w:pPr>
              <w:widowControl/>
              <w:adjustRightInd w:val="0"/>
              <w:snapToGrid w:val="0"/>
              <w:jc w:val="left"/>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境外企业直接在中国销售农药的</w:t>
            </w:r>
          </w:p>
        </w:tc>
        <w:tc>
          <w:tcPr>
            <w:tcW w:w="3531" w:type="dxa"/>
            <w:vMerge w:val="restart"/>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农药管理条例》第五十九条第一款，境外企业直接在中国销售农药的，由县级以上地方人民政府农业主管部门责令停止销售，没收违法所得、违法经营的农药和用于违法经营的工具、设备等，违法经营的农药货值金额不足5万元的，并处5万元以上50万元以下罚款，货值金额5万元以上的，并处货值金额10倍以上20倍以下罚款，由发证机关吊销农药登记证。</w:t>
            </w:r>
          </w:p>
        </w:tc>
        <w:tc>
          <w:tcPr>
            <w:tcW w:w="730"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较轻</w:t>
            </w:r>
          </w:p>
        </w:tc>
        <w:tc>
          <w:tcPr>
            <w:tcW w:w="2378"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货值金额不足二万元</w:t>
            </w:r>
          </w:p>
        </w:tc>
        <w:tc>
          <w:tcPr>
            <w:tcW w:w="2105" w:type="dxa"/>
            <w:vMerge w:val="restart"/>
            <w:tcBorders>
              <w:tl2br w:val="nil"/>
              <w:tr2bl w:val="nil"/>
            </w:tcBorders>
            <w:tcMar>
              <w:top w:w="57" w:type="dxa"/>
              <w:left w:w="57" w:type="dxa"/>
              <w:bottom w:w="57" w:type="dxa"/>
              <w:right w:w="57" w:type="dxa"/>
            </w:tcMar>
            <w:vAlign w:val="center"/>
          </w:tcPr>
          <w:p>
            <w:pPr>
              <w:widowControl/>
              <w:adjustRightInd w:val="0"/>
              <w:snapToGrid w:val="0"/>
              <w:jc w:val="left"/>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责令停止销售，没收违法所得、没收违法经营的农药和用于违法经营的工具、设备等</w:t>
            </w:r>
          </w:p>
        </w:tc>
        <w:tc>
          <w:tcPr>
            <w:tcW w:w="3737" w:type="dxa"/>
            <w:tcBorders>
              <w:tl2br w:val="nil"/>
              <w:tr2bl w:val="nil"/>
            </w:tcBorders>
            <w:tcMar>
              <w:top w:w="57" w:type="dxa"/>
              <w:left w:w="57" w:type="dxa"/>
              <w:bottom w:w="57" w:type="dxa"/>
              <w:right w:w="57" w:type="dxa"/>
            </w:tcMar>
            <w:vAlign w:val="center"/>
          </w:tcPr>
          <w:p>
            <w:pPr>
              <w:widowControl/>
              <w:adjustRightInd w:val="0"/>
              <w:snapToGrid w:val="0"/>
              <w:jc w:val="left"/>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处五万元以上十万元以下罚款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6" w:hRule="atLeast"/>
          <w:jc w:val="center"/>
        </w:trPr>
        <w:tc>
          <w:tcPr>
            <w:tcW w:w="421" w:type="dxa"/>
            <w:vMerge w:val="continue"/>
            <w:tcBorders>
              <w:tl2br w:val="nil"/>
              <w:tr2bl w:val="nil"/>
            </w:tcBorders>
            <w:tcMar>
              <w:top w:w="57" w:type="dxa"/>
              <w:left w:w="57" w:type="dxa"/>
              <w:bottom w:w="57" w:type="dxa"/>
              <w:right w:w="57" w:type="dxa"/>
            </w:tcMar>
            <w:vAlign w:val="center"/>
          </w:tcPr>
          <w:p>
            <w:pPr>
              <w:adjustRightInd w:val="0"/>
              <w:snapToGrid w:val="0"/>
              <w:jc w:val="center"/>
              <w:rPr>
                <w:rFonts w:ascii="仿宋_GB2312" w:hAnsi="仿宋_GB2312" w:eastAsia="仿宋_GB2312" w:cs="仿宋_GB2312"/>
                <w:color w:val="000000"/>
                <w:sz w:val="21"/>
                <w:szCs w:val="21"/>
              </w:rPr>
            </w:pPr>
          </w:p>
        </w:tc>
        <w:tc>
          <w:tcPr>
            <w:tcW w:w="1098" w:type="dxa"/>
            <w:vMerge w:val="continue"/>
            <w:tcBorders>
              <w:tl2br w:val="nil"/>
              <w:tr2bl w:val="nil"/>
            </w:tcBorders>
            <w:tcMar>
              <w:top w:w="57" w:type="dxa"/>
              <w:left w:w="57" w:type="dxa"/>
              <w:bottom w:w="57" w:type="dxa"/>
              <w:right w:w="57" w:type="dxa"/>
            </w:tcMar>
            <w:vAlign w:val="center"/>
          </w:tcPr>
          <w:p>
            <w:pPr>
              <w:adjustRightInd w:val="0"/>
              <w:snapToGrid w:val="0"/>
              <w:jc w:val="left"/>
              <w:rPr>
                <w:rFonts w:ascii="仿宋_GB2312" w:hAnsi="仿宋_GB2312" w:eastAsia="仿宋_GB2312" w:cs="仿宋_GB2312"/>
                <w:color w:val="000000"/>
                <w:sz w:val="21"/>
                <w:szCs w:val="21"/>
              </w:rPr>
            </w:pPr>
          </w:p>
        </w:tc>
        <w:tc>
          <w:tcPr>
            <w:tcW w:w="3531"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730"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一般</w:t>
            </w:r>
          </w:p>
        </w:tc>
        <w:tc>
          <w:tcPr>
            <w:tcW w:w="2378"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货值金额二万元以上五万元以下万元</w:t>
            </w:r>
          </w:p>
        </w:tc>
        <w:tc>
          <w:tcPr>
            <w:tcW w:w="2105" w:type="dxa"/>
            <w:vMerge w:val="continue"/>
            <w:tcBorders>
              <w:tl2br w:val="nil"/>
              <w:tr2bl w:val="nil"/>
            </w:tcBorders>
            <w:tcMar>
              <w:top w:w="57" w:type="dxa"/>
              <w:left w:w="57" w:type="dxa"/>
              <w:bottom w:w="57" w:type="dxa"/>
              <w:right w:w="57" w:type="dxa"/>
            </w:tcMar>
            <w:vAlign w:val="center"/>
          </w:tcPr>
          <w:p>
            <w:pPr>
              <w:adjustRightInd w:val="0"/>
              <w:snapToGrid w:val="0"/>
              <w:jc w:val="left"/>
              <w:rPr>
                <w:rFonts w:ascii="仿宋_GB2312" w:hAnsi="仿宋_GB2312" w:eastAsia="仿宋_GB2312" w:cs="仿宋_GB2312"/>
                <w:color w:val="000000"/>
                <w:sz w:val="21"/>
                <w:szCs w:val="21"/>
              </w:rPr>
            </w:pPr>
          </w:p>
        </w:tc>
        <w:tc>
          <w:tcPr>
            <w:tcW w:w="3737" w:type="dxa"/>
            <w:tcBorders>
              <w:tl2br w:val="nil"/>
              <w:tr2bl w:val="nil"/>
            </w:tcBorders>
            <w:tcMar>
              <w:top w:w="57" w:type="dxa"/>
              <w:left w:w="57" w:type="dxa"/>
              <w:bottom w:w="57" w:type="dxa"/>
              <w:right w:w="57" w:type="dxa"/>
            </w:tcMar>
            <w:vAlign w:val="center"/>
          </w:tcPr>
          <w:p>
            <w:pPr>
              <w:widowControl/>
              <w:adjustRightInd w:val="0"/>
              <w:snapToGrid w:val="0"/>
              <w:jc w:val="left"/>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处十万元以上五十万元以下罚款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0" w:hRule="atLeast"/>
          <w:jc w:val="center"/>
        </w:trPr>
        <w:tc>
          <w:tcPr>
            <w:tcW w:w="421" w:type="dxa"/>
            <w:vMerge w:val="continue"/>
            <w:tcBorders>
              <w:tl2br w:val="nil"/>
              <w:tr2bl w:val="nil"/>
            </w:tcBorders>
            <w:tcMar>
              <w:top w:w="57" w:type="dxa"/>
              <w:left w:w="57" w:type="dxa"/>
              <w:bottom w:w="57" w:type="dxa"/>
              <w:right w:w="57" w:type="dxa"/>
            </w:tcMar>
            <w:vAlign w:val="center"/>
          </w:tcPr>
          <w:p>
            <w:pPr>
              <w:adjustRightInd w:val="0"/>
              <w:snapToGrid w:val="0"/>
              <w:jc w:val="center"/>
              <w:rPr>
                <w:rFonts w:ascii="仿宋_GB2312" w:hAnsi="仿宋_GB2312" w:eastAsia="仿宋_GB2312" w:cs="仿宋_GB2312"/>
                <w:color w:val="000000"/>
                <w:sz w:val="21"/>
                <w:szCs w:val="21"/>
              </w:rPr>
            </w:pPr>
          </w:p>
        </w:tc>
        <w:tc>
          <w:tcPr>
            <w:tcW w:w="1098" w:type="dxa"/>
            <w:vMerge w:val="continue"/>
            <w:tcBorders>
              <w:tl2br w:val="nil"/>
              <w:tr2bl w:val="nil"/>
            </w:tcBorders>
            <w:tcMar>
              <w:top w:w="57" w:type="dxa"/>
              <w:left w:w="57" w:type="dxa"/>
              <w:bottom w:w="57" w:type="dxa"/>
              <w:right w:w="57" w:type="dxa"/>
            </w:tcMar>
            <w:vAlign w:val="center"/>
          </w:tcPr>
          <w:p>
            <w:pPr>
              <w:adjustRightInd w:val="0"/>
              <w:snapToGrid w:val="0"/>
              <w:jc w:val="left"/>
              <w:rPr>
                <w:rFonts w:ascii="仿宋_GB2312" w:hAnsi="仿宋_GB2312" w:eastAsia="仿宋_GB2312" w:cs="仿宋_GB2312"/>
                <w:color w:val="000000"/>
                <w:sz w:val="21"/>
                <w:szCs w:val="21"/>
              </w:rPr>
            </w:pPr>
          </w:p>
        </w:tc>
        <w:tc>
          <w:tcPr>
            <w:tcW w:w="3531"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730"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严重</w:t>
            </w:r>
          </w:p>
        </w:tc>
        <w:tc>
          <w:tcPr>
            <w:tcW w:w="2378"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货值金额五万元以上</w:t>
            </w:r>
          </w:p>
        </w:tc>
        <w:tc>
          <w:tcPr>
            <w:tcW w:w="2105" w:type="dxa"/>
            <w:vMerge w:val="continue"/>
            <w:tcBorders>
              <w:tl2br w:val="nil"/>
              <w:tr2bl w:val="nil"/>
            </w:tcBorders>
            <w:tcMar>
              <w:top w:w="57" w:type="dxa"/>
              <w:left w:w="57" w:type="dxa"/>
              <w:bottom w:w="57" w:type="dxa"/>
              <w:right w:w="57" w:type="dxa"/>
            </w:tcMar>
            <w:vAlign w:val="center"/>
          </w:tcPr>
          <w:p>
            <w:pPr>
              <w:adjustRightInd w:val="0"/>
              <w:snapToGrid w:val="0"/>
              <w:jc w:val="left"/>
              <w:rPr>
                <w:rFonts w:ascii="仿宋_GB2312" w:hAnsi="仿宋_GB2312" w:eastAsia="仿宋_GB2312" w:cs="仿宋_GB2312"/>
                <w:color w:val="000000"/>
                <w:sz w:val="21"/>
                <w:szCs w:val="21"/>
              </w:rPr>
            </w:pPr>
          </w:p>
        </w:tc>
        <w:tc>
          <w:tcPr>
            <w:tcW w:w="3737" w:type="dxa"/>
            <w:tcBorders>
              <w:tl2br w:val="nil"/>
              <w:tr2bl w:val="nil"/>
            </w:tcBorders>
            <w:tcMar>
              <w:top w:w="57" w:type="dxa"/>
              <w:left w:w="57" w:type="dxa"/>
              <w:bottom w:w="57" w:type="dxa"/>
              <w:right w:w="57" w:type="dxa"/>
            </w:tcMar>
            <w:vAlign w:val="center"/>
          </w:tcPr>
          <w:p>
            <w:pPr>
              <w:widowControl/>
              <w:adjustRightInd w:val="0"/>
              <w:snapToGrid w:val="0"/>
              <w:jc w:val="left"/>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处货值金额十倍以上二十倍以下罚款，抄告发证机关吊销农药登记证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421" w:type="dxa"/>
            <w:vMerge w:val="restart"/>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24</w:t>
            </w:r>
          </w:p>
        </w:tc>
        <w:tc>
          <w:tcPr>
            <w:tcW w:w="1098" w:type="dxa"/>
            <w:vMerge w:val="restart"/>
            <w:tcBorders>
              <w:tl2br w:val="nil"/>
              <w:tr2bl w:val="nil"/>
            </w:tcBorders>
            <w:tcMar>
              <w:top w:w="57" w:type="dxa"/>
              <w:left w:w="57" w:type="dxa"/>
              <w:bottom w:w="57" w:type="dxa"/>
              <w:right w:w="57" w:type="dxa"/>
            </w:tcMar>
            <w:vAlign w:val="center"/>
          </w:tcPr>
          <w:p>
            <w:pPr>
              <w:widowControl/>
              <w:adjustRightInd w:val="0"/>
              <w:snapToGrid w:val="0"/>
              <w:jc w:val="left"/>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农药使用者不按照农药的标签标注的使用范围、使用方法和剂量、使用技术要求和注意事项、安全间隔期使用农药的</w:t>
            </w:r>
          </w:p>
        </w:tc>
        <w:tc>
          <w:tcPr>
            <w:tcW w:w="3531" w:type="dxa"/>
            <w:vMerge w:val="restart"/>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农药管理条例》第六十条第一款第一项，农药使用者有下列行为之一的，由县级人民政府农业主管部门责令改正，农药使用者为农产品生产企业、食品和食用农产品仓储企业、专业化病虫害防治服务组织和从事农产品生产的农民专业合作社等单位的，处5万元以上10万元以下罚款，农药使用者为个人的，处1万元以下罚款；构成犯罪的，依法追究刑事责任：</w:t>
            </w:r>
            <w:r>
              <w:rPr>
                <w:rFonts w:hint="eastAsia" w:ascii="仿宋_GB2312" w:hAnsi="仿宋_GB2312" w:eastAsia="仿宋_GB2312" w:cs="仿宋_GB2312"/>
                <w:color w:val="000000"/>
                <w:kern w:val="0"/>
                <w:sz w:val="21"/>
                <w:szCs w:val="21"/>
              </w:rPr>
              <w:br w:type="textWrapping"/>
            </w:r>
            <w:r>
              <w:rPr>
                <w:rFonts w:hint="eastAsia" w:ascii="仿宋_GB2312" w:hAnsi="仿宋_GB2312" w:eastAsia="仿宋_GB2312" w:cs="仿宋_GB2312"/>
                <w:color w:val="000000"/>
                <w:kern w:val="0"/>
                <w:sz w:val="21"/>
                <w:szCs w:val="21"/>
              </w:rPr>
              <w:t xml:space="preserve">    （一）不按照农药的标签标注的使用范围、使用方法和剂量、使用技术要求和注意事项、安全间隔期使用农药。</w:t>
            </w:r>
          </w:p>
        </w:tc>
        <w:tc>
          <w:tcPr>
            <w:tcW w:w="730"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较轻</w:t>
            </w:r>
          </w:p>
        </w:tc>
        <w:tc>
          <w:tcPr>
            <w:tcW w:w="2378"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初次违法</w:t>
            </w:r>
          </w:p>
        </w:tc>
        <w:tc>
          <w:tcPr>
            <w:tcW w:w="5842" w:type="dxa"/>
            <w:gridSpan w:val="2"/>
            <w:tcBorders>
              <w:tl2br w:val="nil"/>
              <w:tr2bl w:val="nil"/>
            </w:tcBorders>
            <w:tcMar>
              <w:top w:w="57" w:type="dxa"/>
              <w:left w:w="57" w:type="dxa"/>
              <w:bottom w:w="57" w:type="dxa"/>
              <w:right w:w="57" w:type="dxa"/>
            </w:tcMar>
            <w:vAlign w:val="center"/>
          </w:tcPr>
          <w:p>
            <w:pPr>
              <w:widowControl/>
              <w:adjustRightInd w:val="0"/>
              <w:snapToGrid w:val="0"/>
              <w:jc w:val="left"/>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农药使用者为农产品生产企业、食品和食用农产品仓储企业、专业化病虫害防治服务组织和从事农产品生产的农民专业合作社等单位的，处五万元以上六万元以下罚款；农药使用者为个人的，处二千元以下罚款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86" w:hRule="atLeast"/>
          <w:jc w:val="center"/>
        </w:trPr>
        <w:tc>
          <w:tcPr>
            <w:tcW w:w="421" w:type="dxa"/>
            <w:vMerge w:val="continue"/>
            <w:tcBorders>
              <w:tl2br w:val="nil"/>
              <w:tr2bl w:val="nil"/>
            </w:tcBorders>
            <w:tcMar>
              <w:top w:w="57" w:type="dxa"/>
              <w:left w:w="57" w:type="dxa"/>
              <w:bottom w:w="57" w:type="dxa"/>
              <w:right w:w="57" w:type="dxa"/>
            </w:tcMar>
            <w:vAlign w:val="center"/>
          </w:tcPr>
          <w:p>
            <w:pPr>
              <w:adjustRightInd w:val="0"/>
              <w:snapToGrid w:val="0"/>
              <w:jc w:val="center"/>
              <w:rPr>
                <w:rFonts w:ascii="仿宋_GB2312" w:hAnsi="仿宋_GB2312" w:eastAsia="仿宋_GB2312" w:cs="仿宋_GB2312"/>
                <w:color w:val="000000"/>
                <w:sz w:val="21"/>
                <w:szCs w:val="21"/>
              </w:rPr>
            </w:pPr>
          </w:p>
        </w:tc>
        <w:tc>
          <w:tcPr>
            <w:tcW w:w="1098" w:type="dxa"/>
            <w:vMerge w:val="continue"/>
            <w:tcBorders>
              <w:tl2br w:val="nil"/>
              <w:tr2bl w:val="nil"/>
            </w:tcBorders>
            <w:tcMar>
              <w:top w:w="57" w:type="dxa"/>
              <w:left w:w="57" w:type="dxa"/>
              <w:bottom w:w="57" w:type="dxa"/>
              <w:right w:w="57" w:type="dxa"/>
            </w:tcMar>
            <w:vAlign w:val="center"/>
          </w:tcPr>
          <w:p>
            <w:pPr>
              <w:adjustRightInd w:val="0"/>
              <w:snapToGrid w:val="0"/>
              <w:jc w:val="left"/>
              <w:rPr>
                <w:rFonts w:ascii="仿宋_GB2312" w:hAnsi="仿宋_GB2312" w:eastAsia="仿宋_GB2312" w:cs="仿宋_GB2312"/>
                <w:color w:val="000000"/>
                <w:sz w:val="21"/>
                <w:szCs w:val="21"/>
              </w:rPr>
            </w:pPr>
          </w:p>
        </w:tc>
        <w:tc>
          <w:tcPr>
            <w:tcW w:w="3531"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730"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一般</w:t>
            </w:r>
          </w:p>
        </w:tc>
        <w:tc>
          <w:tcPr>
            <w:tcW w:w="2378"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再次违法</w:t>
            </w:r>
          </w:p>
        </w:tc>
        <w:tc>
          <w:tcPr>
            <w:tcW w:w="5842" w:type="dxa"/>
            <w:gridSpan w:val="2"/>
            <w:tcBorders>
              <w:tl2br w:val="nil"/>
              <w:tr2bl w:val="nil"/>
            </w:tcBorders>
            <w:tcMar>
              <w:top w:w="57" w:type="dxa"/>
              <w:left w:w="57" w:type="dxa"/>
              <w:bottom w:w="57" w:type="dxa"/>
              <w:right w:w="57" w:type="dxa"/>
            </w:tcMar>
            <w:vAlign w:val="center"/>
          </w:tcPr>
          <w:p>
            <w:pPr>
              <w:widowControl/>
              <w:adjustRightInd w:val="0"/>
              <w:snapToGrid w:val="0"/>
              <w:jc w:val="left"/>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农药使用者为农产品生产企业、食品和食用农产品仓储企业、专业化病虫害防治服务组织和从事农产品生产的农民专业合作社等单位的，处六万元以上七万元以下罚款；农药使用者为个人的，处二千元以上五千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7" w:hRule="atLeast"/>
          <w:jc w:val="center"/>
        </w:trPr>
        <w:tc>
          <w:tcPr>
            <w:tcW w:w="421" w:type="dxa"/>
            <w:vMerge w:val="continue"/>
            <w:tcBorders>
              <w:tl2br w:val="nil"/>
              <w:tr2bl w:val="nil"/>
            </w:tcBorders>
            <w:tcMar>
              <w:top w:w="57" w:type="dxa"/>
              <w:left w:w="57" w:type="dxa"/>
              <w:bottom w:w="57" w:type="dxa"/>
              <w:right w:w="57" w:type="dxa"/>
            </w:tcMar>
            <w:vAlign w:val="center"/>
          </w:tcPr>
          <w:p>
            <w:pPr>
              <w:adjustRightInd w:val="0"/>
              <w:snapToGrid w:val="0"/>
              <w:jc w:val="center"/>
              <w:rPr>
                <w:rFonts w:ascii="仿宋_GB2312" w:hAnsi="仿宋_GB2312" w:eastAsia="仿宋_GB2312" w:cs="仿宋_GB2312"/>
                <w:color w:val="000000"/>
                <w:sz w:val="21"/>
                <w:szCs w:val="21"/>
              </w:rPr>
            </w:pPr>
          </w:p>
        </w:tc>
        <w:tc>
          <w:tcPr>
            <w:tcW w:w="1098" w:type="dxa"/>
            <w:vMerge w:val="continue"/>
            <w:tcBorders>
              <w:tl2br w:val="nil"/>
              <w:tr2bl w:val="nil"/>
            </w:tcBorders>
            <w:tcMar>
              <w:top w:w="57" w:type="dxa"/>
              <w:left w:w="57" w:type="dxa"/>
              <w:bottom w:w="57" w:type="dxa"/>
              <w:right w:w="57" w:type="dxa"/>
            </w:tcMar>
            <w:vAlign w:val="center"/>
          </w:tcPr>
          <w:p>
            <w:pPr>
              <w:adjustRightInd w:val="0"/>
              <w:snapToGrid w:val="0"/>
              <w:jc w:val="left"/>
              <w:rPr>
                <w:rFonts w:ascii="仿宋_GB2312" w:hAnsi="仿宋_GB2312" w:eastAsia="仿宋_GB2312" w:cs="仿宋_GB2312"/>
                <w:color w:val="000000"/>
                <w:sz w:val="21"/>
                <w:szCs w:val="21"/>
              </w:rPr>
            </w:pPr>
          </w:p>
        </w:tc>
        <w:tc>
          <w:tcPr>
            <w:tcW w:w="3531"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730"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严重</w:t>
            </w:r>
          </w:p>
        </w:tc>
        <w:tc>
          <w:tcPr>
            <w:tcW w:w="2378"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三次以上违法</w:t>
            </w:r>
          </w:p>
        </w:tc>
        <w:tc>
          <w:tcPr>
            <w:tcW w:w="5842" w:type="dxa"/>
            <w:gridSpan w:val="2"/>
            <w:tcBorders>
              <w:tl2br w:val="nil"/>
              <w:tr2bl w:val="nil"/>
            </w:tcBorders>
            <w:tcMar>
              <w:top w:w="57" w:type="dxa"/>
              <w:left w:w="57" w:type="dxa"/>
              <w:bottom w:w="57" w:type="dxa"/>
              <w:right w:w="57" w:type="dxa"/>
            </w:tcMar>
            <w:vAlign w:val="center"/>
          </w:tcPr>
          <w:p>
            <w:pPr>
              <w:widowControl/>
              <w:adjustRightInd w:val="0"/>
              <w:snapToGrid w:val="0"/>
              <w:jc w:val="left"/>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农药使用者为农产品生产企业、食品和食用农产品仓储企业、专业化病虫害防治服务组织和从事农产品生产的农民专业合作社等单位的，处七万元以上十万元以下罚款；农药使用者为个人的，处五千元以上一万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7" w:hRule="atLeast"/>
          <w:jc w:val="center"/>
        </w:trPr>
        <w:tc>
          <w:tcPr>
            <w:tcW w:w="421" w:type="dxa"/>
            <w:vMerge w:val="restart"/>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25</w:t>
            </w:r>
          </w:p>
        </w:tc>
        <w:tc>
          <w:tcPr>
            <w:tcW w:w="1098" w:type="dxa"/>
            <w:vMerge w:val="restart"/>
            <w:tcBorders>
              <w:tl2br w:val="nil"/>
              <w:tr2bl w:val="nil"/>
            </w:tcBorders>
            <w:tcMar>
              <w:top w:w="57" w:type="dxa"/>
              <w:left w:w="57" w:type="dxa"/>
              <w:bottom w:w="57" w:type="dxa"/>
              <w:right w:w="57" w:type="dxa"/>
            </w:tcMar>
            <w:vAlign w:val="center"/>
          </w:tcPr>
          <w:p>
            <w:pPr>
              <w:widowControl/>
              <w:adjustRightInd w:val="0"/>
              <w:snapToGrid w:val="0"/>
              <w:jc w:val="left"/>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农药使用者使用禁用的农药的</w:t>
            </w:r>
          </w:p>
        </w:tc>
        <w:tc>
          <w:tcPr>
            <w:tcW w:w="3531" w:type="dxa"/>
            <w:vMerge w:val="restart"/>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农药管理条例》第六十条第一款第二项，农药使用者有下列行为之一的，由县级人民政府农业主管部门责令改正，农药使用者为农产品生产企业、食品和食用农产品仓储企业、专业化病虫害防治服务组织和从事农产品生产的农民专业合作社等单位的，处5万元以上10万元以下罚款，农药使用者为个人的，处1万元以下罚款；构成犯罪的，依法追究刑事责任：</w:t>
            </w:r>
            <w:r>
              <w:rPr>
                <w:rFonts w:hint="eastAsia" w:ascii="仿宋_GB2312" w:hAnsi="仿宋_GB2312" w:eastAsia="仿宋_GB2312" w:cs="仿宋_GB2312"/>
                <w:color w:val="000000"/>
                <w:kern w:val="0"/>
                <w:sz w:val="21"/>
                <w:szCs w:val="21"/>
              </w:rPr>
              <w:br w:type="textWrapping"/>
            </w:r>
            <w:r>
              <w:rPr>
                <w:rFonts w:hint="eastAsia" w:ascii="仿宋_GB2312" w:hAnsi="仿宋_GB2312" w:eastAsia="仿宋_GB2312" w:cs="仿宋_GB2312"/>
                <w:color w:val="000000"/>
                <w:kern w:val="0"/>
                <w:sz w:val="21"/>
                <w:szCs w:val="21"/>
              </w:rPr>
              <w:t xml:space="preserve">    （二）使用禁用的农药。</w:t>
            </w:r>
          </w:p>
        </w:tc>
        <w:tc>
          <w:tcPr>
            <w:tcW w:w="730"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较轻</w:t>
            </w:r>
          </w:p>
        </w:tc>
        <w:tc>
          <w:tcPr>
            <w:tcW w:w="2378"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初次违法</w:t>
            </w:r>
          </w:p>
        </w:tc>
        <w:tc>
          <w:tcPr>
            <w:tcW w:w="5842" w:type="dxa"/>
            <w:gridSpan w:val="2"/>
            <w:tcBorders>
              <w:tl2br w:val="nil"/>
              <w:tr2bl w:val="nil"/>
            </w:tcBorders>
            <w:tcMar>
              <w:top w:w="57" w:type="dxa"/>
              <w:left w:w="57" w:type="dxa"/>
              <w:bottom w:w="57" w:type="dxa"/>
              <w:right w:w="57" w:type="dxa"/>
            </w:tcMar>
            <w:vAlign w:val="center"/>
          </w:tcPr>
          <w:p>
            <w:pPr>
              <w:widowControl/>
              <w:adjustRightInd w:val="0"/>
              <w:snapToGrid w:val="0"/>
              <w:jc w:val="left"/>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没收禁用农药；农药使用者为农产品生产企业、食品和食用农产品仓储企业、专业化病虫害防治服务组织和从事农产品生产的农民专业合作社等单位的，处五万元以上六万元以下罚款；农药使用者为个人的，处二千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4" w:hRule="atLeast"/>
          <w:jc w:val="center"/>
        </w:trPr>
        <w:tc>
          <w:tcPr>
            <w:tcW w:w="421" w:type="dxa"/>
            <w:vMerge w:val="continue"/>
            <w:tcBorders>
              <w:tl2br w:val="nil"/>
              <w:tr2bl w:val="nil"/>
            </w:tcBorders>
            <w:tcMar>
              <w:top w:w="57" w:type="dxa"/>
              <w:left w:w="57" w:type="dxa"/>
              <w:bottom w:w="57" w:type="dxa"/>
              <w:right w:w="57" w:type="dxa"/>
            </w:tcMar>
            <w:vAlign w:val="center"/>
          </w:tcPr>
          <w:p>
            <w:pPr>
              <w:adjustRightInd w:val="0"/>
              <w:snapToGrid w:val="0"/>
              <w:jc w:val="center"/>
              <w:rPr>
                <w:rFonts w:ascii="仿宋_GB2312" w:hAnsi="仿宋_GB2312" w:eastAsia="仿宋_GB2312" w:cs="仿宋_GB2312"/>
                <w:color w:val="000000"/>
                <w:sz w:val="21"/>
                <w:szCs w:val="21"/>
              </w:rPr>
            </w:pPr>
          </w:p>
        </w:tc>
        <w:tc>
          <w:tcPr>
            <w:tcW w:w="1098" w:type="dxa"/>
            <w:vMerge w:val="continue"/>
            <w:tcBorders>
              <w:tl2br w:val="nil"/>
              <w:tr2bl w:val="nil"/>
            </w:tcBorders>
            <w:tcMar>
              <w:top w:w="57" w:type="dxa"/>
              <w:left w:w="57" w:type="dxa"/>
              <w:bottom w:w="57" w:type="dxa"/>
              <w:right w:w="57" w:type="dxa"/>
            </w:tcMar>
            <w:vAlign w:val="center"/>
          </w:tcPr>
          <w:p>
            <w:pPr>
              <w:adjustRightInd w:val="0"/>
              <w:snapToGrid w:val="0"/>
              <w:jc w:val="left"/>
              <w:rPr>
                <w:rFonts w:ascii="仿宋_GB2312" w:hAnsi="仿宋_GB2312" w:eastAsia="仿宋_GB2312" w:cs="仿宋_GB2312"/>
                <w:color w:val="000000"/>
                <w:sz w:val="21"/>
                <w:szCs w:val="21"/>
              </w:rPr>
            </w:pPr>
          </w:p>
        </w:tc>
        <w:tc>
          <w:tcPr>
            <w:tcW w:w="3531"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730"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一般</w:t>
            </w:r>
          </w:p>
        </w:tc>
        <w:tc>
          <w:tcPr>
            <w:tcW w:w="2378"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再次违法</w:t>
            </w:r>
          </w:p>
        </w:tc>
        <w:tc>
          <w:tcPr>
            <w:tcW w:w="5842" w:type="dxa"/>
            <w:gridSpan w:val="2"/>
            <w:tcBorders>
              <w:tl2br w:val="nil"/>
              <w:tr2bl w:val="nil"/>
            </w:tcBorders>
            <w:tcMar>
              <w:top w:w="57" w:type="dxa"/>
              <w:left w:w="57" w:type="dxa"/>
              <w:bottom w:w="57" w:type="dxa"/>
              <w:right w:w="57" w:type="dxa"/>
            </w:tcMar>
            <w:vAlign w:val="center"/>
          </w:tcPr>
          <w:p>
            <w:pPr>
              <w:widowControl/>
              <w:adjustRightInd w:val="0"/>
              <w:snapToGrid w:val="0"/>
              <w:jc w:val="left"/>
              <w:textAlignment w:val="center"/>
              <w:rPr>
                <w:rFonts w:ascii="仿宋_GB2312" w:hAnsi="仿宋_GB2312" w:eastAsia="仿宋_GB2312" w:cs="仿宋_GB2312"/>
                <w:color w:val="000000"/>
                <w:sz w:val="21"/>
                <w:szCs w:val="21"/>
              </w:rPr>
            </w:pPr>
            <w:r>
              <w:rPr>
                <w:rStyle w:val="10"/>
                <w:rFonts w:hint="default" w:hAnsi="仿宋_GB2312"/>
                <w:sz w:val="21"/>
                <w:szCs w:val="21"/>
              </w:rPr>
              <w:t>没收禁用农药；农药使用者为农产品生产企业、食品和食用农产品仓储企业、专业化病虫害防治服务组织和从事农产品生产的农民专业合作社等单位的，处六万元以上七万元以下罚款；农药使用者为个人的，处二千元以上五</w:t>
            </w:r>
            <w:r>
              <w:rPr>
                <w:rStyle w:val="11"/>
                <w:rFonts w:hint="default" w:ascii="仿宋_GB2312" w:hAnsi="仿宋_GB2312" w:eastAsia="仿宋_GB2312" w:cs="仿宋_GB2312"/>
                <w:sz w:val="21"/>
                <w:szCs w:val="21"/>
              </w:rPr>
              <w:t>千</w:t>
            </w:r>
            <w:r>
              <w:rPr>
                <w:rStyle w:val="10"/>
                <w:rFonts w:hint="default" w:hAnsi="仿宋_GB2312"/>
                <w:sz w:val="21"/>
                <w:szCs w:val="21"/>
              </w:rPr>
              <w:t>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3" w:hRule="atLeast"/>
          <w:jc w:val="center"/>
        </w:trPr>
        <w:tc>
          <w:tcPr>
            <w:tcW w:w="421" w:type="dxa"/>
            <w:vMerge w:val="continue"/>
            <w:tcBorders>
              <w:tl2br w:val="nil"/>
              <w:tr2bl w:val="nil"/>
            </w:tcBorders>
            <w:tcMar>
              <w:top w:w="57" w:type="dxa"/>
              <w:left w:w="57" w:type="dxa"/>
              <w:bottom w:w="57" w:type="dxa"/>
              <w:right w:w="57" w:type="dxa"/>
            </w:tcMar>
            <w:vAlign w:val="center"/>
          </w:tcPr>
          <w:p>
            <w:pPr>
              <w:adjustRightInd w:val="0"/>
              <w:snapToGrid w:val="0"/>
              <w:jc w:val="center"/>
              <w:rPr>
                <w:rFonts w:ascii="仿宋_GB2312" w:hAnsi="仿宋_GB2312" w:eastAsia="仿宋_GB2312" w:cs="仿宋_GB2312"/>
                <w:color w:val="000000"/>
                <w:sz w:val="21"/>
                <w:szCs w:val="21"/>
              </w:rPr>
            </w:pPr>
          </w:p>
        </w:tc>
        <w:tc>
          <w:tcPr>
            <w:tcW w:w="1098" w:type="dxa"/>
            <w:vMerge w:val="continue"/>
            <w:tcBorders>
              <w:tl2br w:val="nil"/>
              <w:tr2bl w:val="nil"/>
            </w:tcBorders>
            <w:tcMar>
              <w:top w:w="57" w:type="dxa"/>
              <w:left w:w="57" w:type="dxa"/>
              <w:bottom w:w="57" w:type="dxa"/>
              <w:right w:w="57" w:type="dxa"/>
            </w:tcMar>
            <w:vAlign w:val="center"/>
          </w:tcPr>
          <w:p>
            <w:pPr>
              <w:adjustRightInd w:val="0"/>
              <w:snapToGrid w:val="0"/>
              <w:jc w:val="left"/>
              <w:rPr>
                <w:rFonts w:ascii="仿宋_GB2312" w:hAnsi="仿宋_GB2312" w:eastAsia="仿宋_GB2312" w:cs="仿宋_GB2312"/>
                <w:color w:val="000000"/>
                <w:sz w:val="21"/>
                <w:szCs w:val="21"/>
              </w:rPr>
            </w:pPr>
          </w:p>
        </w:tc>
        <w:tc>
          <w:tcPr>
            <w:tcW w:w="3531"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730"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严重</w:t>
            </w:r>
          </w:p>
        </w:tc>
        <w:tc>
          <w:tcPr>
            <w:tcW w:w="2378"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三次以上违法</w:t>
            </w:r>
          </w:p>
        </w:tc>
        <w:tc>
          <w:tcPr>
            <w:tcW w:w="5842" w:type="dxa"/>
            <w:gridSpan w:val="2"/>
            <w:tcBorders>
              <w:tl2br w:val="nil"/>
              <w:tr2bl w:val="nil"/>
            </w:tcBorders>
            <w:tcMar>
              <w:top w:w="57" w:type="dxa"/>
              <w:left w:w="57" w:type="dxa"/>
              <w:bottom w:w="57" w:type="dxa"/>
              <w:right w:w="57" w:type="dxa"/>
            </w:tcMar>
            <w:vAlign w:val="center"/>
          </w:tcPr>
          <w:p>
            <w:pPr>
              <w:widowControl/>
              <w:adjustRightInd w:val="0"/>
              <w:snapToGrid w:val="0"/>
              <w:jc w:val="left"/>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没收禁用农药；农药使用者为农产品生产企业、食品和食用农产品仓储企业、专业化病虫害防治服务组织和从事农产品生产的农民专业合作社等单位的，处七万元以上十万元以下罚款；农药使用者为个人的，处五千元以上一万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61" w:hRule="atLeast"/>
          <w:jc w:val="center"/>
        </w:trPr>
        <w:tc>
          <w:tcPr>
            <w:tcW w:w="421" w:type="dxa"/>
            <w:vMerge w:val="restart"/>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26</w:t>
            </w:r>
          </w:p>
        </w:tc>
        <w:tc>
          <w:tcPr>
            <w:tcW w:w="1098" w:type="dxa"/>
            <w:vMerge w:val="restart"/>
            <w:tcBorders>
              <w:tl2br w:val="nil"/>
              <w:tr2bl w:val="nil"/>
            </w:tcBorders>
            <w:tcMar>
              <w:top w:w="57" w:type="dxa"/>
              <w:left w:w="57" w:type="dxa"/>
              <w:bottom w:w="57" w:type="dxa"/>
              <w:right w:w="57" w:type="dxa"/>
            </w:tcMar>
            <w:vAlign w:val="center"/>
          </w:tcPr>
          <w:p>
            <w:pPr>
              <w:widowControl/>
              <w:adjustRightInd w:val="0"/>
              <w:snapToGrid w:val="0"/>
              <w:jc w:val="left"/>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农药使用者将剧毒、高毒农药用于防治卫生害虫，用于蔬菜、瓜果、茶叶、菌类、中草药材生产或者用于水生植物的病虫害防治的</w:t>
            </w:r>
          </w:p>
        </w:tc>
        <w:tc>
          <w:tcPr>
            <w:tcW w:w="3531" w:type="dxa"/>
            <w:vMerge w:val="restart"/>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农药管理条例》第六十条第一款第三项，农药使用者有下列行为之一的，由县级人民政府农业主管部门责令改正，农药使用者为农产品生产企业、食品和食用农产品仓储企业、专业化病虫害防治服务组织和从事农产品生产的农民专业合作社等单位的，处5万元以上10万元以下罚款，农药使用者为个人的，处1万元以下罚款；构成犯罪的，依法追究刑事责任：</w:t>
            </w:r>
            <w:r>
              <w:rPr>
                <w:rFonts w:hint="eastAsia" w:ascii="仿宋_GB2312" w:hAnsi="仿宋_GB2312" w:eastAsia="仿宋_GB2312" w:cs="仿宋_GB2312"/>
                <w:color w:val="000000"/>
                <w:kern w:val="0"/>
                <w:sz w:val="21"/>
                <w:szCs w:val="21"/>
              </w:rPr>
              <w:br w:type="textWrapping"/>
            </w:r>
            <w:r>
              <w:rPr>
                <w:rFonts w:hint="eastAsia" w:ascii="仿宋_GB2312" w:hAnsi="仿宋_GB2312" w:eastAsia="仿宋_GB2312" w:cs="仿宋_GB2312"/>
                <w:color w:val="000000"/>
                <w:kern w:val="0"/>
                <w:sz w:val="21"/>
                <w:szCs w:val="21"/>
              </w:rPr>
              <w:t xml:space="preserve">    （三）将剧毒、高毒农药用于防治卫生害虫，用于蔬菜、瓜果、茶叶、菌类、中草药材生产或者用于水生植物的病虫害防治。</w:t>
            </w:r>
          </w:p>
        </w:tc>
        <w:tc>
          <w:tcPr>
            <w:tcW w:w="730"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较轻</w:t>
            </w:r>
          </w:p>
        </w:tc>
        <w:tc>
          <w:tcPr>
            <w:tcW w:w="2378"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初次违法</w:t>
            </w:r>
          </w:p>
        </w:tc>
        <w:tc>
          <w:tcPr>
            <w:tcW w:w="5842" w:type="dxa"/>
            <w:gridSpan w:val="2"/>
            <w:tcBorders>
              <w:tl2br w:val="nil"/>
              <w:tr2bl w:val="nil"/>
            </w:tcBorders>
            <w:tcMar>
              <w:top w:w="57" w:type="dxa"/>
              <w:left w:w="57" w:type="dxa"/>
              <w:bottom w:w="57" w:type="dxa"/>
              <w:right w:w="57" w:type="dxa"/>
            </w:tcMar>
            <w:vAlign w:val="center"/>
          </w:tcPr>
          <w:p>
            <w:pPr>
              <w:widowControl/>
              <w:adjustRightInd w:val="0"/>
              <w:snapToGrid w:val="0"/>
              <w:jc w:val="left"/>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农药使用者为农产品生产企业、食品和食用农产品仓储企业、专业化病虫害防治服务组织和从事农产品生产的农民专业合作社等单位的，处五万元以上六万元以下罚款，农药使用者为个人的，处二千元以下罚款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50" w:hRule="atLeast"/>
          <w:jc w:val="center"/>
        </w:trPr>
        <w:tc>
          <w:tcPr>
            <w:tcW w:w="421" w:type="dxa"/>
            <w:vMerge w:val="continue"/>
            <w:tcBorders>
              <w:tl2br w:val="nil"/>
              <w:tr2bl w:val="nil"/>
            </w:tcBorders>
            <w:tcMar>
              <w:top w:w="57" w:type="dxa"/>
              <w:left w:w="57" w:type="dxa"/>
              <w:bottom w:w="57" w:type="dxa"/>
              <w:right w:w="57" w:type="dxa"/>
            </w:tcMar>
            <w:vAlign w:val="center"/>
          </w:tcPr>
          <w:p>
            <w:pPr>
              <w:adjustRightInd w:val="0"/>
              <w:snapToGrid w:val="0"/>
              <w:jc w:val="center"/>
              <w:rPr>
                <w:rFonts w:ascii="仿宋_GB2312" w:hAnsi="仿宋_GB2312" w:eastAsia="仿宋_GB2312" w:cs="仿宋_GB2312"/>
                <w:color w:val="000000"/>
                <w:sz w:val="21"/>
                <w:szCs w:val="21"/>
              </w:rPr>
            </w:pPr>
          </w:p>
        </w:tc>
        <w:tc>
          <w:tcPr>
            <w:tcW w:w="1098" w:type="dxa"/>
            <w:vMerge w:val="continue"/>
            <w:tcBorders>
              <w:tl2br w:val="nil"/>
              <w:tr2bl w:val="nil"/>
            </w:tcBorders>
            <w:tcMar>
              <w:top w:w="57" w:type="dxa"/>
              <w:left w:w="57" w:type="dxa"/>
              <w:bottom w:w="57" w:type="dxa"/>
              <w:right w:w="57" w:type="dxa"/>
            </w:tcMar>
            <w:vAlign w:val="center"/>
          </w:tcPr>
          <w:p>
            <w:pPr>
              <w:adjustRightInd w:val="0"/>
              <w:snapToGrid w:val="0"/>
              <w:jc w:val="left"/>
              <w:rPr>
                <w:rFonts w:ascii="仿宋_GB2312" w:hAnsi="仿宋_GB2312" w:eastAsia="仿宋_GB2312" w:cs="仿宋_GB2312"/>
                <w:color w:val="000000"/>
                <w:sz w:val="21"/>
                <w:szCs w:val="21"/>
              </w:rPr>
            </w:pPr>
          </w:p>
        </w:tc>
        <w:tc>
          <w:tcPr>
            <w:tcW w:w="3531"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730"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一般</w:t>
            </w:r>
          </w:p>
        </w:tc>
        <w:tc>
          <w:tcPr>
            <w:tcW w:w="2378"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再次违法</w:t>
            </w:r>
          </w:p>
        </w:tc>
        <w:tc>
          <w:tcPr>
            <w:tcW w:w="5842" w:type="dxa"/>
            <w:gridSpan w:val="2"/>
            <w:tcBorders>
              <w:tl2br w:val="nil"/>
              <w:tr2bl w:val="nil"/>
            </w:tcBorders>
            <w:tcMar>
              <w:top w:w="57" w:type="dxa"/>
              <w:left w:w="57" w:type="dxa"/>
              <w:bottom w:w="57" w:type="dxa"/>
              <w:right w:w="57" w:type="dxa"/>
            </w:tcMar>
            <w:vAlign w:val="center"/>
          </w:tcPr>
          <w:p>
            <w:pPr>
              <w:widowControl/>
              <w:adjustRightInd w:val="0"/>
              <w:snapToGrid w:val="0"/>
              <w:jc w:val="left"/>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农药使用者为农产品生产企业、食品和食用农产品仓储企业、专业化病虫害防治服务组织和从事农产品生产的农民专业合作社等单位的，处六万元以上七万元以下罚款，农药使用者为个人的，处二千元以上五千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3" w:hRule="atLeast"/>
          <w:jc w:val="center"/>
        </w:trPr>
        <w:tc>
          <w:tcPr>
            <w:tcW w:w="421" w:type="dxa"/>
            <w:vMerge w:val="continue"/>
            <w:tcBorders>
              <w:tl2br w:val="nil"/>
              <w:tr2bl w:val="nil"/>
            </w:tcBorders>
            <w:tcMar>
              <w:top w:w="57" w:type="dxa"/>
              <w:left w:w="57" w:type="dxa"/>
              <w:bottom w:w="57" w:type="dxa"/>
              <w:right w:w="57" w:type="dxa"/>
            </w:tcMar>
            <w:vAlign w:val="center"/>
          </w:tcPr>
          <w:p>
            <w:pPr>
              <w:adjustRightInd w:val="0"/>
              <w:snapToGrid w:val="0"/>
              <w:jc w:val="center"/>
              <w:rPr>
                <w:rFonts w:ascii="仿宋_GB2312" w:hAnsi="仿宋_GB2312" w:eastAsia="仿宋_GB2312" w:cs="仿宋_GB2312"/>
                <w:color w:val="000000"/>
                <w:sz w:val="21"/>
                <w:szCs w:val="21"/>
              </w:rPr>
            </w:pPr>
          </w:p>
        </w:tc>
        <w:tc>
          <w:tcPr>
            <w:tcW w:w="1098" w:type="dxa"/>
            <w:vMerge w:val="continue"/>
            <w:tcBorders>
              <w:tl2br w:val="nil"/>
              <w:tr2bl w:val="nil"/>
            </w:tcBorders>
            <w:tcMar>
              <w:top w:w="57" w:type="dxa"/>
              <w:left w:w="57" w:type="dxa"/>
              <w:bottom w:w="57" w:type="dxa"/>
              <w:right w:w="57" w:type="dxa"/>
            </w:tcMar>
            <w:vAlign w:val="center"/>
          </w:tcPr>
          <w:p>
            <w:pPr>
              <w:adjustRightInd w:val="0"/>
              <w:snapToGrid w:val="0"/>
              <w:jc w:val="left"/>
              <w:rPr>
                <w:rFonts w:ascii="仿宋_GB2312" w:hAnsi="仿宋_GB2312" w:eastAsia="仿宋_GB2312" w:cs="仿宋_GB2312"/>
                <w:color w:val="000000"/>
                <w:sz w:val="21"/>
                <w:szCs w:val="21"/>
              </w:rPr>
            </w:pPr>
          </w:p>
        </w:tc>
        <w:tc>
          <w:tcPr>
            <w:tcW w:w="3531"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730"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严重</w:t>
            </w:r>
          </w:p>
        </w:tc>
        <w:tc>
          <w:tcPr>
            <w:tcW w:w="2378"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三次以上违法</w:t>
            </w:r>
          </w:p>
        </w:tc>
        <w:tc>
          <w:tcPr>
            <w:tcW w:w="5842" w:type="dxa"/>
            <w:gridSpan w:val="2"/>
            <w:tcBorders>
              <w:tl2br w:val="nil"/>
              <w:tr2bl w:val="nil"/>
            </w:tcBorders>
            <w:tcMar>
              <w:top w:w="57" w:type="dxa"/>
              <w:left w:w="57" w:type="dxa"/>
              <w:bottom w:w="57" w:type="dxa"/>
              <w:right w:w="57" w:type="dxa"/>
            </w:tcMar>
            <w:vAlign w:val="center"/>
          </w:tcPr>
          <w:p>
            <w:pPr>
              <w:widowControl/>
              <w:adjustRightInd w:val="0"/>
              <w:snapToGrid w:val="0"/>
              <w:jc w:val="left"/>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农药使用者为农产品生产企业、食品和食用农产品仓储企业、专业化病虫害防治服务组织和从事农产品生产的农民专业合作社等单位的，处七万元以上十万元以下罚款，农药使用者为个人的，处五千元以上一万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421" w:type="dxa"/>
            <w:vMerge w:val="restart"/>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27</w:t>
            </w:r>
          </w:p>
        </w:tc>
        <w:tc>
          <w:tcPr>
            <w:tcW w:w="1098" w:type="dxa"/>
            <w:vMerge w:val="restart"/>
            <w:tcBorders>
              <w:tl2br w:val="nil"/>
              <w:tr2bl w:val="nil"/>
            </w:tcBorders>
            <w:tcMar>
              <w:top w:w="57" w:type="dxa"/>
              <w:left w:w="57" w:type="dxa"/>
              <w:bottom w:w="57" w:type="dxa"/>
              <w:right w:w="57" w:type="dxa"/>
            </w:tcMar>
            <w:vAlign w:val="center"/>
          </w:tcPr>
          <w:p>
            <w:pPr>
              <w:widowControl/>
              <w:adjustRightInd w:val="0"/>
              <w:snapToGrid w:val="0"/>
              <w:jc w:val="left"/>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在饮用水水源保护区内使用农药的</w:t>
            </w:r>
          </w:p>
        </w:tc>
        <w:tc>
          <w:tcPr>
            <w:tcW w:w="3531" w:type="dxa"/>
            <w:vMerge w:val="restart"/>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农药管理条例》第六十条第一款第四项，农药使用者有下列行为之一的，由县级人民政府农业主管部门责令改正，农药使用者为农产品生产企业、食品和食用农产品仓储企业、专业化病虫害防治服务组织和从事农产品生产的农民专业合作社等单位的，处5万元以上10万元以下罚款，农药使用者为个人的，处1万元以下罚款；构成犯罪的，依法追究刑事责任：</w:t>
            </w:r>
            <w:r>
              <w:rPr>
                <w:rFonts w:hint="eastAsia" w:ascii="仿宋_GB2312" w:hAnsi="仿宋_GB2312" w:eastAsia="仿宋_GB2312" w:cs="仿宋_GB2312"/>
                <w:color w:val="000000"/>
                <w:kern w:val="0"/>
                <w:sz w:val="21"/>
                <w:szCs w:val="21"/>
              </w:rPr>
              <w:br w:type="textWrapping"/>
            </w:r>
            <w:r>
              <w:rPr>
                <w:rFonts w:hint="eastAsia" w:ascii="仿宋_GB2312" w:hAnsi="仿宋_GB2312" w:eastAsia="仿宋_GB2312" w:cs="仿宋_GB2312"/>
                <w:color w:val="000000"/>
                <w:kern w:val="0"/>
                <w:sz w:val="21"/>
                <w:szCs w:val="21"/>
              </w:rPr>
              <w:t xml:space="preserve">    （四）在饮用水水源保护区内使用农药。</w:t>
            </w:r>
          </w:p>
        </w:tc>
        <w:tc>
          <w:tcPr>
            <w:tcW w:w="730"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较轻</w:t>
            </w:r>
          </w:p>
        </w:tc>
        <w:tc>
          <w:tcPr>
            <w:tcW w:w="2378"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初次违法</w:t>
            </w:r>
          </w:p>
        </w:tc>
        <w:tc>
          <w:tcPr>
            <w:tcW w:w="5842" w:type="dxa"/>
            <w:gridSpan w:val="2"/>
            <w:tcBorders>
              <w:tl2br w:val="nil"/>
              <w:tr2bl w:val="nil"/>
            </w:tcBorders>
            <w:tcMar>
              <w:top w:w="57" w:type="dxa"/>
              <w:left w:w="57" w:type="dxa"/>
              <w:bottom w:w="57" w:type="dxa"/>
              <w:right w:w="57" w:type="dxa"/>
            </w:tcMar>
            <w:vAlign w:val="center"/>
          </w:tcPr>
          <w:p>
            <w:pPr>
              <w:widowControl/>
              <w:adjustRightInd w:val="0"/>
              <w:snapToGrid w:val="0"/>
              <w:jc w:val="left"/>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农药使用者为农产品生产企业、食品和食用农产品仓储企业、专业化病虫害防治服务组织和从事农产品生产的农民专业合作社等单位的，处五万元以上六万元以下罚款；农药使用者为个人的，处二千元以下罚款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jc w:val="center"/>
        </w:trPr>
        <w:tc>
          <w:tcPr>
            <w:tcW w:w="421" w:type="dxa"/>
            <w:vMerge w:val="continue"/>
            <w:tcBorders>
              <w:tl2br w:val="nil"/>
              <w:tr2bl w:val="nil"/>
            </w:tcBorders>
            <w:tcMar>
              <w:top w:w="57" w:type="dxa"/>
              <w:left w:w="57" w:type="dxa"/>
              <w:bottom w:w="57" w:type="dxa"/>
              <w:right w:w="57" w:type="dxa"/>
            </w:tcMar>
            <w:vAlign w:val="center"/>
          </w:tcPr>
          <w:p>
            <w:pPr>
              <w:adjustRightInd w:val="0"/>
              <w:snapToGrid w:val="0"/>
              <w:jc w:val="center"/>
              <w:rPr>
                <w:rFonts w:ascii="仿宋_GB2312" w:hAnsi="仿宋_GB2312" w:eastAsia="仿宋_GB2312" w:cs="仿宋_GB2312"/>
                <w:color w:val="000000"/>
                <w:sz w:val="21"/>
                <w:szCs w:val="21"/>
              </w:rPr>
            </w:pPr>
          </w:p>
        </w:tc>
        <w:tc>
          <w:tcPr>
            <w:tcW w:w="1098" w:type="dxa"/>
            <w:vMerge w:val="continue"/>
            <w:tcBorders>
              <w:tl2br w:val="nil"/>
              <w:tr2bl w:val="nil"/>
            </w:tcBorders>
            <w:tcMar>
              <w:top w:w="57" w:type="dxa"/>
              <w:left w:w="57" w:type="dxa"/>
              <w:bottom w:w="57" w:type="dxa"/>
              <w:right w:w="57" w:type="dxa"/>
            </w:tcMar>
            <w:vAlign w:val="center"/>
          </w:tcPr>
          <w:p>
            <w:pPr>
              <w:adjustRightInd w:val="0"/>
              <w:snapToGrid w:val="0"/>
              <w:jc w:val="left"/>
              <w:rPr>
                <w:rFonts w:ascii="仿宋_GB2312" w:hAnsi="仿宋_GB2312" w:eastAsia="仿宋_GB2312" w:cs="仿宋_GB2312"/>
                <w:color w:val="000000"/>
                <w:sz w:val="21"/>
                <w:szCs w:val="21"/>
              </w:rPr>
            </w:pPr>
          </w:p>
        </w:tc>
        <w:tc>
          <w:tcPr>
            <w:tcW w:w="3531"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730"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一般</w:t>
            </w:r>
          </w:p>
        </w:tc>
        <w:tc>
          <w:tcPr>
            <w:tcW w:w="2378"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再次违法</w:t>
            </w:r>
          </w:p>
        </w:tc>
        <w:tc>
          <w:tcPr>
            <w:tcW w:w="5842" w:type="dxa"/>
            <w:gridSpan w:val="2"/>
            <w:tcBorders>
              <w:tl2br w:val="nil"/>
              <w:tr2bl w:val="nil"/>
            </w:tcBorders>
            <w:tcMar>
              <w:top w:w="57" w:type="dxa"/>
              <w:left w:w="57" w:type="dxa"/>
              <w:bottom w:w="57" w:type="dxa"/>
              <w:right w:w="57" w:type="dxa"/>
            </w:tcMar>
            <w:vAlign w:val="center"/>
          </w:tcPr>
          <w:p>
            <w:pPr>
              <w:widowControl/>
              <w:adjustRightInd w:val="0"/>
              <w:snapToGrid w:val="0"/>
              <w:jc w:val="left"/>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农药使用者为农产品生产企业、食品和食用农产品仓储企业、专业化病虫害防治服务组织和从事农产品生产的农民专业合作社等单位的，处六万元以上七万元以下罚款；农药使用者为个人的，处二千元以上五千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421" w:type="dxa"/>
            <w:vMerge w:val="continue"/>
            <w:tcBorders>
              <w:tl2br w:val="nil"/>
              <w:tr2bl w:val="nil"/>
            </w:tcBorders>
            <w:tcMar>
              <w:top w:w="57" w:type="dxa"/>
              <w:left w:w="57" w:type="dxa"/>
              <w:bottom w:w="57" w:type="dxa"/>
              <w:right w:w="57" w:type="dxa"/>
            </w:tcMar>
            <w:vAlign w:val="center"/>
          </w:tcPr>
          <w:p>
            <w:pPr>
              <w:adjustRightInd w:val="0"/>
              <w:snapToGrid w:val="0"/>
              <w:jc w:val="center"/>
              <w:rPr>
                <w:rFonts w:ascii="仿宋_GB2312" w:hAnsi="仿宋_GB2312" w:eastAsia="仿宋_GB2312" w:cs="仿宋_GB2312"/>
                <w:color w:val="000000"/>
                <w:sz w:val="21"/>
                <w:szCs w:val="21"/>
              </w:rPr>
            </w:pPr>
          </w:p>
        </w:tc>
        <w:tc>
          <w:tcPr>
            <w:tcW w:w="1098" w:type="dxa"/>
            <w:vMerge w:val="continue"/>
            <w:tcBorders>
              <w:tl2br w:val="nil"/>
              <w:tr2bl w:val="nil"/>
            </w:tcBorders>
            <w:tcMar>
              <w:top w:w="57" w:type="dxa"/>
              <w:left w:w="57" w:type="dxa"/>
              <w:bottom w:w="57" w:type="dxa"/>
              <w:right w:w="57" w:type="dxa"/>
            </w:tcMar>
            <w:vAlign w:val="center"/>
          </w:tcPr>
          <w:p>
            <w:pPr>
              <w:adjustRightInd w:val="0"/>
              <w:snapToGrid w:val="0"/>
              <w:jc w:val="left"/>
              <w:rPr>
                <w:rFonts w:ascii="仿宋_GB2312" w:hAnsi="仿宋_GB2312" w:eastAsia="仿宋_GB2312" w:cs="仿宋_GB2312"/>
                <w:color w:val="000000"/>
                <w:sz w:val="21"/>
                <w:szCs w:val="21"/>
              </w:rPr>
            </w:pPr>
          </w:p>
        </w:tc>
        <w:tc>
          <w:tcPr>
            <w:tcW w:w="3531"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730"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严重</w:t>
            </w:r>
          </w:p>
        </w:tc>
        <w:tc>
          <w:tcPr>
            <w:tcW w:w="2378"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三次以上违法</w:t>
            </w:r>
          </w:p>
        </w:tc>
        <w:tc>
          <w:tcPr>
            <w:tcW w:w="5842" w:type="dxa"/>
            <w:gridSpan w:val="2"/>
            <w:tcBorders>
              <w:tl2br w:val="nil"/>
              <w:tr2bl w:val="nil"/>
            </w:tcBorders>
            <w:tcMar>
              <w:top w:w="57" w:type="dxa"/>
              <w:left w:w="57" w:type="dxa"/>
              <w:bottom w:w="57" w:type="dxa"/>
              <w:right w:w="57" w:type="dxa"/>
            </w:tcMar>
            <w:vAlign w:val="center"/>
          </w:tcPr>
          <w:p>
            <w:pPr>
              <w:widowControl/>
              <w:adjustRightInd w:val="0"/>
              <w:snapToGrid w:val="0"/>
              <w:jc w:val="left"/>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农药使用者为农产品生产企业、食品和食用农产品仓储企业、专业化病虫害防治服务组织和从事农产品生产的农民专业合作社等单位的，处七万元以上十万元以下罚款；农药使用者为个人的，处五千元以上一万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jc w:val="center"/>
        </w:trPr>
        <w:tc>
          <w:tcPr>
            <w:tcW w:w="421" w:type="dxa"/>
            <w:vMerge w:val="restart"/>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28</w:t>
            </w:r>
          </w:p>
        </w:tc>
        <w:tc>
          <w:tcPr>
            <w:tcW w:w="1098" w:type="dxa"/>
            <w:vMerge w:val="restart"/>
            <w:tcBorders>
              <w:tl2br w:val="nil"/>
              <w:tr2bl w:val="nil"/>
            </w:tcBorders>
            <w:tcMar>
              <w:top w:w="57" w:type="dxa"/>
              <w:left w:w="57" w:type="dxa"/>
              <w:bottom w:w="57" w:type="dxa"/>
              <w:right w:w="57" w:type="dxa"/>
            </w:tcMar>
            <w:vAlign w:val="center"/>
          </w:tcPr>
          <w:p>
            <w:pPr>
              <w:widowControl/>
              <w:adjustRightInd w:val="0"/>
              <w:snapToGrid w:val="0"/>
              <w:jc w:val="left"/>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使用农药毒鱼、虾、鸟、兽等的</w:t>
            </w:r>
          </w:p>
        </w:tc>
        <w:tc>
          <w:tcPr>
            <w:tcW w:w="3531" w:type="dxa"/>
            <w:vMerge w:val="restart"/>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农药管理条例》第六十条第一款第五项，农药使用者有下列行为之一的，由县级人民政府农业主管部门责令改正，农药使用者为农产品生产企业、食品和食用农产品仓储企业、专业化病虫害防治服务组织和从事农产品生产的农民专业合作社等单位的，处5万元以上10万元以下罚款，农药使用者为个人的，处1万元以下罚款；构成犯罪的，依法追究刑事责任：</w:t>
            </w:r>
            <w:r>
              <w:rPr>
                <w:rFonts w:hint="eastAsia" w:ascii="仿宋_GB2312" w:hAnsi="仿宋_GB2312" w:eastAsia="仿宋_GB2312" w:cs="仿宋_GB2312"/>
                <w:color w:val="000000"/>
                <w:kern w:val="0"/>
                <w:sz w:val="21"/>
                <w:szCs w:val="21"/>
              </w:rPr>
              <w:br w:type="textWrapping"/>
            </w:r>
            <w:r>
              <w:rPr>
                <w:rFonts w:hint="eastAsia" w:ascii="仿宋_GB2312" w:hAnsi="仿宋_GB2312" w:eastAsia="仿宋_GB2312" w:cs="仿宋_GB2312"/>
                <w:color w:val="000000"/>
                <w:kern w:val="0"/>
                <w:sz w:val="21"/>
                <w:szCs w:val="21"/>
              </w:rPr>
              <w:t xml:space="preserve">    （五）使用农药毒鱼、虾、鸟、兽等。</w:t>
            </w:r>
          </w:p>
        </w:tc>
        <w:tc>
          <w:tcPr>
            <w:tcW w:w="730"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较轻</w:t>
            </w:r>
          </w:p>
        </w:tc>
        <w:tc>
          <w:tcPr>
            <w:tcW w:w="2378"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初次违法</w:t>
            </w:r>
          </w:p>
        </w:tc>
        <w:tc>
          <w:tcPr>
            <w:tcW w:w="5842" w:type="dxa"/>
            <w:gridSpan w:val="2"/>
            <w:tcBorders>
              <w:tl2br w:val="nil"/>
              <w:tr2bl w:val="nil"/>
            </w:tcBorders>
            <w:tcMar>
              <w:top w:w="57" w:type="dxa"/>
              <w:left w:w="57" w:type="dxa"/>
              <w:bottom w:w="57" w:type="dxa"/>
              <w:right w:w="57" w:type="dxa"/>
            </w:tcMar>
            <w:vAlign w:val="center"/>
          </w:tcPr>
          <w:p>
            <w:pPr>
              <w:widowControl/>
              <w:adjustRightInd w:val="0"/>
              <w:snapToGrid w:val="0"/>
              <w:jc w:val="left"/>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农药使用者为农产品生产企业、食品和食用农产品仓储企业、专业化病虫害防治服务组织和从事农产品生产的农民专业合作社等单位的，处五万元以上六万元以下罚款；农药使用者为个人的，处二千元以下罚款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4" w:hRule="atLeast"/>
          <w:jc w:val="center"/>
        </w:trPr>
        <w:tc>
          <w:tcPr>
            <w:tcW w:w="421" w:type="dxa"/>
            <w:vMerge w:val="continue"/>
            <w:tcBorders>
              <w:tl2br w:val="nil"/>
              <w:tr2bl w:val="nil"/>
            </w:tcBorders>
            <w:tcMar>
              <w:top w:w="57" w:type="dxa"/>
              <w:left w:w="57" w:type="dxa"/>
              <w:bottom w:w="57" w:type="dxa"/>
              <w:right w:w="57" w:type="dxa"/>
            </w:tcMar>
            <w:vAlign w:val="center"/>
          </w:tcPr>
          <w:p>
            <w:pPr>
              <w:adjustRightInd w:val="0"/>
              <w:snapToGrid w:val="0"/>
              <w:jc w:val="center"/>
              <w:rPr>
                <w:rFonts w:ascii="仿宋_GB2312" w:hAnsi="仿宋_GB2312" w:eastAsia="仿宋_GB2312" w:cs="仿宋_GB2312"/>
                <w:color w:val="000000"/>
                <w:sz w:val="21"/>
                <w:szCs w:val="21"/>
              </w:rPr>
            </w:pPr>
          </w:p>
        </w:tc>
        <w:tc>
          <w:tcPr>
            <w:tcW w:w="1098" w:type="dxa"/>
            <w:vMerge w:val="continue"/>
            <w:tcBorders>
              <w:tl2br w:val="nil"/>
              <w:tr2bl w:val="nil"/>
            </w:tcBorders>
            <w:tcMar>
              <w:top w:w="57" w:type="dxa"/>
              <w:left w:w="57" w:type="dxa"/>
              <w:bottom w:w="57" w:type="dxa"/>
              <w:right w:w="57" w:type="dxa"/>
            </w:tcMar>
            <w:vAlign w:val="center"/>
          </w:tcPr>
          <w:p>
            <w:pPr>
              <w:adjustRightInd w:val="0"/>
              <w:snapToGrid w:val="0"/>
              <w:jc w:val="left"/>
              <w:rPr>
                <w:rFonts w:ascii="仿宋_GB2312" w:hAnsi="仿宋_GB2312" w:eastAsia="仿宋_GB2312" w:cs="仿宋_GB2312"/>
                <w:color w:val="000000"/>
                <w:sz w:val="21"/>
                <w:szCs w:val="21"/>
              </w:rPr>
            </w:pPr>
          </w:p>
        </w:tc>
        <w:tc>
          <w:tcPr>
            <w:tcW w:w="3531"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730"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一般</w:t>
            </w:r>
          </w:p>
        </w:tc>
        <w:tc>
          <w:tcPr>
            <w:tcW w:w="2378"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再次违法</w:t>
            </w:r>
          </w:p>
        </w:tc>
        <w:tc>
          <w:tcPr>
            <w:tcW w:w="5842" w:type="dxa"/>
            <w:gridSpan w:val="2"/>
            <w:tcBorders>
              <w:tl2br w:val="nil"/>
              <w:tr2bl w:val="nil"/>
            </w:tcBorders>
            <w:tcMar>
              <w:top w:w="57" w:type="dxa"/>
              <w:left w:w="57" w:type="dxa"/>
              <w:bottom w:w="57" w:type="dxa"/>
              <w:right w:w="57" w:type="dxa"/>
            </w:tcMar>
            <w:vAlign w:val="center"/>
          </w:tcPr>
          <w:p>
            <w:pPr>
              <w:widowControl/>
              <w:adjustRightInd w:val="0"/>
              <w:snapToGrid w:val="0"/>
              <w:jc w:val="left"/>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农药使用者为农产品生产企业、食品和食用农产品仓储企业、专业化病虫害防治服务组织和从事农产品生产的农民专业合作社等单位的，处六万元以上七万元以下罚款；农药使用者为个人的，处二千元以上五千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4" w:hRule="atLeast"/>
          <w:jc w:val="center"/>
        </w:trPr>
        <w:tc>
          <w:tcPr>
            <w:tcW w:w="421" w:type="dxa"/>
            <w:vMerge w:val="continue"/>
            <w:tcBorders>
              <w:tl2br w:val="nil"/>
              <w:tr2bl w:val="nil"/>
            </w:tcBorders>
            <w:tcMar>
              <w:top w:w="57" w:type="dxa"/>
              <w:left w:w="57" w:type="dxa"/>
              <w:bottom w:w="57" w:type="dxa"/>
              <w:right w:w="57" w:type="dxa"/>
            </w:tcMar>
            <w:vAlign w:val="center"/>
          </w:tcPr>
          <w:p>
            <w:pPr>
              <w:adjustRightInd w:val="0"/>
              <w:snapToGrid w:val="0"/>
              <w:jc w:val="center"/>
              <w:rPr>
                <w:rFonts w:ascii="仿宋_GB2312" w:hAnsi="仿宋_GB2312" w:eastAsia="仿宋_GB2312" w:cs="仿宋_GB2312"/>
                <w:color w:val="000000"/>
                <w:sz w:val="21"/>
                <w:szCs w:val="21"/>
              </w:rPr>
            </w:pPr>
          </w:p>
        </w:tc>
        <w:tc>
          <w:tcPr>
            <w:tcW w:w="1098" w:type="dxa"/>
            <w:vMerge w:val="continue"/>
            <w:tcBorders>
              <w:tl2br w:val="nil"/>
              <w:tr2bl w:val="nil"/>
            </w:tcBorders>
            <w:tcMar>
              <w:top w:w="57" w:type="dxa"/>
              <w:left w:w="57" w:type="dxa"/>
              <w:bottom w:w="57" w:type="dxa"/>
              <w:right w:w="57" w:type="dxa"/>
            </w:tcMar>
            <w:vAlign w:val="center"/>
          </w:tcPr>
          <w:p>
            <w:pPr>
              <w:adjustRightInd w:val="0"/>
              <w:snapToGrid w:val="0"/>
              <w:jc w:val="left"/>
              <w:rPr>
                <w:rFonts w:ascii="仿宋_GB2312" w:hAnsi="仿宋_GB2312" w:eastAsia="仿宋_GB2312" w:cs="仿宋_GB2312"/>
                <w:color w:val="000000"/>
                <w:sz w:val="21"/>
                <w:szCs w:val="21"/>
              </w:rPr>
            </w:pPr>
          </w:p>
        </w:tc>
        <w:tc>
          <w:tcPr>
            <w:tcW w:w="3531"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730"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严重</w:t>
            </w:r>
          </w:p>
        </w:tc>
        <w:tc>
          <w:tcPr>
            <w:tcW w:w="2378"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三次以上违法</w:t>
            </w:r>
          </w:p>
        </w:tc>
        <w:tc>
          <w:tcPr>
            <w:tcW w:w="5842" w:type="dxa"/>
            <w:gridSpan w:val="2"/>
            <w:tcBorders>
              <w:tl2br w:val="nil"/>
              <w:tr2bl w:val="nil"/>
            </w:tcBorders>
            <w:tcMar>
              <w:top w:w="57" w:type="dxa"/>
              <w:left w:w="57" w:type="dxa"/>
              <w:bottom w:w="57" w:type="dxa"/>
              <w:right w:w="57" w:type="dxa"/>
            </w:tcMar>
            <w:vAlign w:val="center"/>
          </w:tcPr>
          <w:p>
            <w:pPr>
              <w:widowControl/>
              <w:adjustRightInd w:val="0"/>
              <w:snapToGrid w:val="0"/>
              <w:jc w:val="left"/>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农药使用者为农产品生产企业、食品和食用农产品仓储企业、专业化病虫害防治服务组织和从事农产品生产的农民专业合作社等单位的，处七万元以上十万元以下罚款；农药使用者为个人的，处五千元以上一万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1" w:hRule="atLeast"/>
          <w:jc w:val="center"/>
        </w:trPr>
        <w:tc>
          <w:tcPr>
            <w:tcW w:w="421" w:type="dxa"/>
            <w:vMerge w:val="restart"/>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29</w:t>
            </w:r>
          </w:p>
        </w:tc>
        <w:tc>
          <w:tcPr>
            <w:tcW w:w="1098" w:type="dxa"/>
            <w:vMerge w:val="restart"/>
            <w:tcBorders>
              <w:tl2br w:val="nil"/>
              <w:tr2bl w:val="nil"/>
            </w:tcBorders>
            <w:tcMar>
              <w:top w:w="57" w:type="dxa"/>
              <w:left w:w="57" w:type="dxa"/>
              <w:bottom w:w="57" w:type="dxa"/>
              <w:right w:w="57" w:type="dxa"/>
            </w:tcMar>
            <w:vAlign w:val="center"/>
          </w:tcPr>
          <w:p>
            <w:pPr>
              <w:widowControl/>
              <w:adjustRightInd w:val="0"/>
              <w:snapToGrid w:val="0"/>
              <w:jc w:val="left"/>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在饮用水水源保护区、河道内丢弃农药、农药包装物或者清洗施药器械的</w:t>
            </w:r>
          </w:p>
        </w:tc>
        <w:tc>
          <w:tcPr>
            <w:tcW w:w="3531" w:type="dxa"/>
            <w:vMerge w:val="restart"/>
            <w:tcBorders>
              <w:tl2br w:val="nil"/>
              <w:tr2bl w:val="nil"/>
            </w:tcBorders>
            <w:tcMar>
              <w:top w:w="57" w:type="dxa"/>
              <w:left w:w="57" w:type="dxa"/>
              <w:bottom w:w="57" w:type="dxa"/>
              <w:right w:w="57" w:type="dxa"/>
            </w:tcMar>
            <w:vAlign w:val="center"/>
          </w:tcPr>
          <w:p>
            <w:pPr>
              <w:widowControl/>
              <w:adjustRightInd w:val="0"/>
              <w:snapToGrid w:val="0"/>
              <w:spacing w:line="280" w:lineRule="exact"/>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农药管理条例》第六十条第一款第六项，农药使用者有下列行为之一的，由县级人民政府农业主管部门责令改正，农药使用者为农产品生产企业、食品和食用农产品仓储企业、专业化病虫害防治服务组织和从事农产品生产的农民专业合作社等单位的，处5万元以上10万元以下罚款，农药使用者为个人的，处1万元以下罚款；构成犯罪的，依法追究刑事责任：</w:t>
            </w:r>
            <w:r>
              <w:rPr>
                <w:rFonts w:hint="eastAsia" w:ascii="仿宋_GB2312" w:hAnsi="仿宋_GB2312" w:eastAsia="仿宋_GB2312" w:cs="仿宋_GB2312"/>
                <w:color w:val="000000"/>
                <w:kern w:val="0"/>
                <w:sz w:val="21"/>
                <w:szCs w:val="21"/>
              </w:rPr>
              <w:br w:type="textWrapping"/>
            </w:r>
            <w:r>
              <w:rPr>
                <w:rFonts w:hint="eastAsia" w:ascii="仿宋_GB2312" w:hAnsi="仿宋_GB2312" w:eastAsia="仿宋_GB2312" w:cs="仿宋_GB2312"/>
                <w:color w:val="000000"/>
                <w:kern w:val="0"/>
                <w:sz w:val="21"/>
                <w:szCs w:val="21"/>
              </w:rPr>
              <w:t xml:space="preserve">    （六）在饮用水水源保护区、河道内丢弃农药、农药包装物或者清洗施药器械。</w:t>
            </w:r>
          </w:p>
        </w:tc>
        <w:tc>
          <w:tcPr>
            <w:tcW w:w="730"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较轻</w:t>
            </w:r>
          </w:p>
        </w:tc>
        <w:tc>
          <w:tcPr>
            <w:tcW w:w="2378"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初次违法</w:t>
            </w:r>
          </w:p>
        </w:tc>
        <w:tc>
          <w:tcPr>
            <w:tcW w:w="5842" w:type="dxa"/>
            <w:gridSpan w:val="2"/>
            <w:tcBorders>
              <w:tl2br w:val="nil"/>
              <w:tr2bl w:val="nil"/>
            </w:tcBorders>
            <w:tcMar>
              <w:top w:w="57" w:type="dxa"/>
              <w:left w:w="57" w:type="dxa"/>
              <w:bottom w:w="57" w:type="dxa"/>
              <w:right w:w="57" w:type="dxa"/>
            </w:tcMar>
            <w:vAlign w:val="center"/>
          </w:tcPr>
          <w:p>
            <w:pPr>
              <w:widowControl/>
              <w:adjustRightInd w:val="0"/>
              <w:snapToGrid w:val="0"/>
              <w:jc w:val="left"/>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农药使用者为农产品生产企业、食品和食用农产品仓储企业、专业化病虫害防治服务组织和从事农产品生产的农民专业合作社等单位的，处五万元以上六万元以下罚款；农药使用者为个人的，处二千元以下罚款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421" w:type="dxa"/>
            <w:vMerge w:val="continue"/>
            <w:tcBorders>
              <w:tl2br w:val="nil"/>
              <w:tr2bl w:val="nil"/>
            </w:tcBorders>
            <w:tcMar>
              <w:top w:w="57" w:type="dxa"/>
              <w:left w:w="57" w:type="dxa"/>
              <w:bottom w:w="57" w:type="dxa"/>
              <w:right w:w="57" w:type="dxa"/>
            </w:tcMar>
            <w:vAlign w:val="center"/>
          </w:tcPr>
          <w:p>
            <w:pPr>
              <w:adjustRightInd w:val="0"/>
              <w:snapToGrid w:val="0"/>
              <w:jc w:val="center"/>
              <w:rPr>
                <w:rFonts w:ascii="仿宋_GB2312" w:hAnsi="仿宋_GB2312" w:eastAsia="仿宋_GB2312" w:cs="仿宋_GB2312"/>
                <w:color w:val="000000"/>
                <w:sz w:val="21"/>
                <w:szCs w:val="21"/>
              </w:rPr>
            </w:pPr>
          </w:p>
        </w:tc>
        <w:tc>
          <w:tcPr>
            <w:tcW w:w="1098" w:type="dxa"/>
            <w:vMerge w:val="continue"/>
            <w:tcBorders>
              <w:tl2br w:val="nil"/>
              <w:tr2bl w:val="nil"/>
            </w:tcBorders>
            <w:tcMar>
              <w:top w:w="57" w:type="dxa"/>
              <w:left w:w="57" w:type="dxa"/>
              <w:bottom w:w="57" w:type="dxa"/>
              <w:right w:w="57" w:type="dxa"/>
            </w:tcMar>
            <w:vAlign w:val="center"/>
          </w:tcPr>
          <w:p>
            <w:pPr>
              <w:adjustRightInd w:val="0"/>
              <w:snapToGrid w:val="0"/>
              <w:jc w:val="left"/>
              <w:rPr>
                <w:rFonts w:ascii="仿宋_GB2312" w:hAnsi="仿宋_GB2312" w:eastAsia="仿宋_GB2312" w:cs="仿宋_GB2312"/>
                <w:color w:val="000000"/>
                <w:sz w:val="21"/>
                <w:szCs w:val="21"/>
              </w:rPr>
            </w:pPr>
          </w:p>
        </w:tc>
        <w:tc>
          <w:tcPr>
            <w:tcW w:w="3531"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730"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一般</w:t>
            </w:r>
          </w:p>
        </w:tc>
        <w:tc>
          <w:tcPr>
            <w:tcW w:w="2378"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再次违法</w:t>
            </w:r>
          </w:p>
        </w:tc>
        <w:tc>
          <w:tcPr>
            <w:tcW w:w="5842" w:type="dxa"/>
            <w:gridSpan w:val="2"/>
            <w:tcBorders>
              <w:tl2br w:val="nil"/>
              <w:tr2bl w:val="nil"/>
            </w:tcBorders>
            <w:tcMar>
              <w:top w:w="57" w:type="dxa"/>
              <w:left w:w="57" w:type="dxa"/>
              <w:bottom w:w="57" w:type="dxa"/>
              <w:right w:w="57" w:type="dxa"/>
            </w:tcMar>
            <w:vAlign w:val="center"/>
          </w:tcPr>
          <w:p>
            <w:pPr>
              <w:widowControl/>
              <w:adjustRightInd w:val="0"/>
              <w:snapToGrid w:val="0"/>
              <w:jc w:val="left"/>
              <w:textAlignment w:val="center"/>
              <w:rPr>
                <w:rFonts w:ascii="仿宋_GB2312" w:hAnsi="仿宋_GB2312" w:eastAsia="仿宋_GB2312" w:cs="仿宋_GB2312"/>
                <w:color w:val="000000"/>
                <w:spacing w:val="-4"/>
                <w:sz w:val="21"/>
                <w:szCs w:val="21"/>
              </w:rPr>
            </w:pPr>
            <w:r>
              <w:rPr>
                <w:rFonts w:hint="eastAsia" w:ascii="仿宋_GB2312" w:hAnsi="仿宋_GB2312" w:eastAsia="仿宋_GB2312" w:cs="仿宋_GB2312"/>
                <w:color w:val="000000"/>
                <w:spacing w:val="-4"/>
                <w:kern w:val="0"/>
                <w:sz w:val="21"/>
                <w:szCs w:val="21"/>
              </w:rPr>
              <w:t>农药使用者为农产品生产企业、食品和食用农产品仓储企业、专业化病虫害防治服务组织和从事农产品生产的农民专业合作社等单位的，处六万元以上七万元以下罚款；农药使用者为个人的，处二千元以上五千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6" w:hRule="atLeast"/>
          <w:jc w:val="center"/>
        </w:trPr>
        <w:tc>
          <w:tcPr>
            <w:tcW w:w="421" w:type="dxa"/>
            <w:vMerge w:val="continue"/>
            <w:tcBorders>
              <w:tl2br w:val="nil"/>
              <w:tr2bl w:val="nil"/>
            </w:tcBorders>
            <w:tcMar>
              <w:top w:w="57" w:type="dxa"/>
              <w:left w:w="57" w:type="dxa"/>
              <w:bottom w:w="57" w:type="dxa"/>
              <w:right w:w="57" w:type="dxa"/>
            </w:tcMar>
            <w:vAlign w:val="center"/>
          </w:tcPr>
          <w:p>
            <w:pPr>
              <w:adjustRightInd w:val="0"/>
              <w:snapToGrid w:val="0"/>
              <w:jc w:val="center"/>
              <w:rPr>
                <w:rFonts w:ascii="仿宋_GB2312" w:hAnsi="仿宋_GB2312" w:eastAsia="仿宋_GB2312" w:cs="仿宋_GB2312"/>
                <w:color w:val="000000"/>
                <w:sz w:val="21"/>
                <w:szCs w:val="21"/>
              </w:rPr>
            </w:pPr>
          </w:p>
        </w:tc>
        <w:tc>
          <w:tcPr>
            <w:tcW w:w="1098" w:type="dxa"/>
            <w:vMerge w:val="continue"/>
            <w:tcBorders>
              <w:tl2br w:val="nil"/>
              <w:tr2bl w:val="nil"/>
            </w:tcBorders>
            <w:tcMar>
              <w:top w:w="57" w:type="dxa"/>
              <w:left w:w="57" w:type="dxa"/>
              <w:bottom w:w="57" w:type="dxa"/>
              <w:right w:w="57" w:type="dxa"/>
            </w:tcMar>
            <w:vAlign w:val="center"/>
          </w:tcPr>
          <w:p>
            <w:pPr>
              <w:adjustRightInd w:val="0"/>
              <w:snapToGrid w:val="0"/>
              <w:jc w:val="left"/>
              <w:rPr>
                <w:rFonts w:ascii="仿宋_GB2312" w:hAnsi="仿宋_GB2312" w:eastAsia="仿宋_GB2312" w:cs="仿宋_GB2312"/>
                <w:color w:val="000000"/>
                <w:sz w:val="21"/>
                <w:szCs w:val="21"/>
              </w:rPr>
            </w:pPr>
          </w:p>
        </w:tc>
        <w:tc>
          <w:tcPr>
            <w:tcW w:w="3531"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730"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严重</w:t>
            </w:r>
          </w:p>
        </w:tc>
        <w:tc>
          <w:tcPr>
            <w:tcW w:w="2378"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三次以上违法</w:t>
            </w:r>
          </w:p>
        </w:tc>
        <w:tc>
          <w:tcPr>
            <w:tcW w:w="5842" w:type="dxa"/>
            <w:gridSpan w:val="2"/>
            <w:tcBorders>
              <w:tl2br w:val="nil"/>
              <w:tr2bl w:val="nil"/>
            </w:tcBorders>
            <w:tcMar>
              <w:top w:w="57" w:type="dxa"/>
              <w:left w:w="57" w:type="dxa"/>
              <w:bottom w:w="57" w:type="dxa"/>
              <w:right w:w="57" w:type="dxa"/>
            </w:tcMar>
            <w:vAlign w:val="center"/>
          </w:tcPr>
          <w:p>
            <w:pPr>
              <w:widowControl/>
              <w:adjustRightInd w:val="0"/>
              <w:snapToGrid w:val="0"/>
              <w:jc w:val="left"/>
              <w:textAlignment w:val="center"/>
              <w:rPr>
                <w:rFonts w:ascii="仿宋_GB2312" w:hAnsi="仿宋_GB2312" w:eastAsia="仿宋_GB2312" w:cs="仿宋_GB2312"/>
                <w:color w:val="000000"/>
                <w:spacing w:val="-4"/>
                <w:sz w:val="21"/>
                <w:szCs w:val="21"/>
              </w:rPr>
            </w:pPr>
            <w:r>
              <w:rPr>
                <w:rFonts w:hint="eastAsia" w:ascii="仿宋_GB2312" w:hAnsi="仿宋_GB2312" w:eastAsia="仿宋_GB2312" w:cs="仿宋_GB2312"/>
                <w:color w:val="000000"/>
                <w:spacing w:val="-4"/>
                <w:kern w:val="0"/>
                <w:sz w:val="21"/>
                <w:szCs w:val="21"/>
              </w:rPr>
              <w:t>农药使用者为农产品生产企业、食品和食用农产品仓储企业、专业化病虫害防治服务组织和从事农产品生产的农民专业合作社等单位的，处七万元以上十万元以下罚款；农药使用者为个人的，处五千元以上一万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7" w:hRule="atLeast"/>
          <w:jc w:val="center"/>
        </w:trPr>
        <w:tc>
          <w:tcPr>
            <w:tcW w:w="421" w:type="dxa"/>
            <w:vMerge w:val="restart"/>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30</w:t>
            </w:r>
          </w:p>
        </w:tc>
        <w:tc>
          <w:tcPr>
            <w:tcW w:w="1098" w:type="dxa"/>
            <w:vMerge w:val="restart"/>
            <w:tcBorders>
              <w:tl2br w:val="nil"/>
              <w:tr2bl w:val="nil"/>
            </w:tcBorders>
            <w:tcMar>
              <w:top w:w="57" w:type="dxa"/>
              <w:left w:w="57" w:type="dxa"/>
              <w:bottom w:w="57" w:type="dxa"/>
              <w:right w:w="57" w:type="dxa"/>
            </w:tcMar>
            <w:vAlign w:val="center"/>
          </w:tcPr>
          <w:p>
            <w:pPr>
              <w:widowControl/>
              <w:adjustRightInd w:val="0"/>
              <w:snapToGrid w:val="0"/>
              <w:spacing w:line="260" w:lineRule="exact"/>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农产品生产企业、食品和食用农产品仓储企业、专业化病虫害防治服务组织和从事农产品生产的农民专业合作社等不执行农药使用记录制度的</w:t>
            </w:r>
          </w:p>
        </w:tc>
        <w:tc>
          <w:tcPr>
            <w:tcW w:w="3531" w:type="dxa"/>
            <w:vMerge w:val="restart"/>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农药管理条例》第六十一条，农产品生产企业、食品和食用农产品仓储企业、专业化病虫害防治服务组织和从事农产品生产的农民专业合作社等不执行农药使用记录制度的，由县级人民政府农业主管部门责令改正；拒不改正或者情节严重的，处2000元以上2万元以下罚款。</w:t>
            </w:r>
          </w:p>
        </w:tc>
        <w:tc>
          <w:tcPr>
            <w:tcW w:w="730"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较轻</w:t>
            </w:r>
          </w:p>
        </w:tc>
        <w:tc>
          <w:tcPr>
            <w:tcW w:w="2378"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初次违法</w:t>
            </w:r>
          </w:p>
        </w:tc>
        <w:tc>
          <w:tcPr>
            <w:tcW w:w="2105" w:type="dxa"/>
            <w:vMerge w:val="restart"/>
            <w:tcBorders>
              <w:tl2br w:val="nil"/>
              <w:tr2bl w:val="nil"/>
            </w:tcBorders>
            <w:tcMar>
              <w:top w:w="57" w:type="dxa"/>
              <w:left w:w="57" w:type="dxa"/>
              <w:bottom w:w="57" w:type="dxa"/>
              <w:right w:w="57" w:type="dxa"/>
            </w:tcMar>
            <w:vAlign w:val="center"/>
          </w:tcPr>
          <w:p>
            <w:pPr>
              <w:widowControl/>
              <w:adjustRightInd w:val="0"/>
              <w:snapToGrid w:val="0"/>
              <w:jc w:val="left"/>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责令改正，拒不改正的</w:t>
            </w:r>
          </w:p>
        </w:tc>
        <w:tc>
          <w:tcPr>
            <w:tcW w:w="3737" w:type="dxa"/>
            <w:tcBorders>
              <w:tl2br w:val="nil"/>
              <w:tr2bl w:val="nil"/>
            </w:tcBorders>
            <w:tcMar>
              <w:top w:w="57" w:type="dxa"/>
              <w:left w:w="57" w:type="dxa"/>
              <w:bottom w:w="57" w:type="dxa"/>
              <w:right w:w="57" w:type="dxa"/>
            </w:tcMar>
            <w:vAlign w:val="center"/>
          </w:tcPr>
          <w:p>
            <w:pPr>
              <w:widowControl/>
              <w:adjustRightInd w:val="0"/>
              <w:snapToGrid w:val="0"/>
              <w:jc w:val="left"/>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处二千元以上六千元以下罚款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24" w:hRule="atLeast"/>
          <w:jc w:val="center"/>
        </w:trPr>
        <w:tc>
          <w:tcPr>
            <w:tcW w:w="421" w:type="dxa"/>
            <w:vMerge w:val="continue"/>
            <w:tcBorders>
              <w:tl2br w:val="nil"/>
              <w:tr2bl w:val="nil"/>
            </w:tcBorders>
            <w:tcMar>
              <w:top w:w="57" w:type="dxa"/>
              <w:left w:w="57" w:type="dxa"/>
              <w:bottom w:w="57" w:type="dxa"/>
              <w:right w:w="57" w:type="dxa"/>
            </w:tcMar>
            <w:vAlign w:val="center"/>
          </w:tcPr>
          <w:p>
            <w:pPr>
              <w:adjustRightInd w:val="0"/>
              <w:snapToGrid w:val="0"/>
              <w:jc w:val="center"/>
              <w:rPr>
                <w:rFonts w:ascii="仿宋_GB2312" w:hAnsi="仿宋_GB2312" w:eastAsia="仿宋_GB2312" w:cs="仿宋_GB2312"/>
                <w:color w:val="000000"/>
                <w:sz w:val="21"/>
                <w:szCs w:val="21"/>
              </w:rPr>
            </w:pPr>
          </w:p>
        </w:tc>
        <w:tc>
          <w:tcPr>
            <w:tcW w:w="1098" w:type="dxa"/>
            <w:vMerge w:val="continue"/>
            <w:tcBorders>
              <w:tl2br w:val="nil"/>
              <w:tr2bl w:val="nil"/>
            </w:tcBorders>
            <w:tcMar>
              <w:top w:w="57" w:type="dxa"/>
              <w:left w:w="57" w:type="dxa"/>
              <w:bottom w:w="57" w:type="dxa"/>
              <w:right w:w="57" w:type="dxa"/>
            </w:tcMar>
            <w:vAlign w:val="center"/>
          </w:tcPr>
          <w:p>
            <w:pPr>
              <w:adjustRightInd w:val="0"/>
              <w:snapToGrid w:val="0"/>
              <w:jc w:val="left"/>
              <w:rPr>
                <w:rFonts w:ascii="仿宋_GB2312" w:hAnsi="仿宋_GB2312" w:eastAsia="仿宋_GB2312" w:cs="仿宋_GB2312"/>
                <w:color w:val="000000"/>
                <w:sz w:val="21"/>
                <w:szCs w:val="21"/>
              </w:rPr>
            </w:pPr>
          </w:p>
        </w:tc>
        <w:tc>
          <w:tcPr>
            <w:tcW w:w="3531"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730"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一般</w:t>
            </w:r>
          </w:p>
        </w:tc>
        <w:tc>
          <w:tcPr>
            <w:tcW w:w="2378"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再次违法</w:t>
            </w:r>
          </w:p>
        </w:tc>
        <w:tc>
          <w:tcPr>
            <w:tcW w:w="2105" w:type="dxa"/>
            <w:vMerge w:val="continue"/>
            <w:tcBorders>
              <w:tl2br w:val="nil"/>
              <w:tr2bl w:val="nil"/>
            </w:tcBorders>
            <w:tcMar>
              <w:top w:w="57" w:type="dxa"/>
              <w:left w:w="57" w:type="dxa"/>
              <w:bottom w:w="57" w:type="dxa"/>
              <w:right w:w="57" w:type="dxa"/>
            </w:tcMar>
            <w:vAlign w:val="center"/>
          </w:tcPr>
          <w:p>
            <w:pPr>
              <w:adjustRightInd w:val="0"/>
              <w:snapToGrid w:val="0"/>
              <w:jc w:val="left"/>
              <w:rPr>
                <w:rFonts w:ascii="仿宋_GB2312" w:hAnsi="仿宋_GB2312" w:eastAsia="仿宋_GB2312" w:cs="仿宋_GB2312"/>
                <w:color w:val="000000"/>
                <w:sz w:val="21"/>
                <w:szCs w:val="21"/>
              </w:rPr>
            </w:pPr>
          </w:p>
        </w:tc>
        <w:tc>
          <w:tcPr>
            <w:tcW w:w="3737" w:type="dxa"/>
            <w:tcBorders>
              <w:tl2br w:val="nil"/>
              <w:tr2bl w:val="nil"/>
            </w:tcBorders>
            <w:tcMar>
              <w:top w:w="57" w:type="dxa"/>
              <w:left w:w="57" w:type="dxa"/>
              <w:bottom w:w="57" w:type="dxa"/>
              <w:right w:w="57" w:type="dxa"/>
            </w:tcMar>
            <w:vAlign w:val="center"/>
          </w:tcPr>
          <w:p>
            <w:pPr>
              <w:widowControl/>
              <w:adjustRightInd w:val="0"/>
              <w:snapToGrid w:val="0"/>
              <w:jc w:val="left"/>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处六千元以上一万两千元以下罚款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421" w:type="dxa"/>
            <w:vMerge w:val="continue"/>
            <w:tcBorders>
              <w:tl2br w:val="nil"/>
              <w:tr2bl w:val="nil"/>
            </w:tcBorders>
            <w:tcMar>
              <w:top w:w="57" w:type="dxa"/>
              <w:left w:w="57" w:type="dxa"/>
              <w:bottom w:w="57" w:type="dxa"/>
              <w:right w:w="57" w:type="dxa"/>
            </w:tcMar>
            <w:vAlign w:val="center"/>
          </w:tcPr>
          <w:p>
            <w:pPr>
              <w:adjustRightInd w:val="0"/>
              <w:snapToGrid w:val="0"/>
              <w:jc w:val="center"/>
              <w:rPr>
                <w:rFonts w:ascii="仿宋_GB2312" w:hAnsi="仿宋_GB2312" w:eastAsia="仿宋_GB2312" w:cs="仿宋_GB2312"/>
                <w:color w:val="000000"/>
                <w:sz w:val="21"/>
                <w:szCs w:val="21"/>
              </w:rPr>
            </w:pPr>
          </w:p>
        </w:tc>
        <w:tc>
          <w:tcPr>
            <w:tcW w:w="1098" w:type="dxa"/>
            <w:vMerge w:val="continue"/>
            <w:tcBorders>
              <w:tl2br w:val="nil"/>
              <w:tr2bl w:val="nil"/>
            </w:tcBorders>
            <w:tcMar>
              <w:top w:w="57" w:type="dxa"/>
              <w:left w:w="57" w:type="dxa"/>
              <w:bottom w:w="57" w:type="dxa"/>
              <w:right w:w="57" w:type="dxa"/>
            </w:tcMar>
            <w:vAlign w:val="center"/>
          </w:tcPr>
          <w:p>
            <w:pPr>
              <w:adjustRightInd w:val="0"/>
              <w:snapToGrid w:val="0"/>
              <w:jc w:val="left"/>
              <w:rPr>
                <w:rFonts w:ascii="仿宋_GB2312" w:hAnsi="仿宋_GB2312" w:eastAsia="仿宋_GB2312" w:cs="仿宋_GB2312"/>
                <w:color w:val="000000"/>
                <w:sz w:val="21"/>
                <w:szCs w:val="21"/>
              </w:rPr>
            </w:pPr>
          </w:p>
        </w:tc>
        <w:tc>
          <w:tcPr>
            <w:tcW w:w="3531"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730"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严重</w:t>
            </w:r>
          </w:p>
        </w:tc>
        <w:tc>
          <w:tcPr>
            <w:tcW w:w="2378"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三次以上违法</w:t>
            </w:r>
          </w:p>
        </w:tc>
        <w:tc>
          <w:tcPr>
            <w:tcW w:w="2105" w:type="dxa"/>
            <w:vMerge w:val="continue"/>
            <w:tcBorders>
              <w:tl2br w:val="nil"/>
              <w:tr2bl w:val="nil"/>
            </w:tcBorders>
            <w:tcMar>
              <w:top w:w="57" w:type="dxa"/>
              <w:left w:w="57" w:type="dxa"/>
              <w:bottom w:w="57" w:type="dxa"/>
              <w:right w:w="57" w:type="dxa"/>
            </w:tcMar>
            <w:vAlign w:val="center"/>
          </w:tcPr>
          <w:p>
            <w:pPr>
              <w:adjustRightInd w:val="0"/>
              <w:snapToGrid w:val="0"/>
              <w:jc w:val="left"/>
              <w:rPr>
                <w:rFonts w:ascii="仿宋_GB2312" w:hAnsi="仿宋_GB2312" w:eastAsia="仿宋_GB2312" w:cs="仿宋_GB2312"/>
                <w:color w:val="000000"/>
                <w:sz w:val="21"/>
                <w:szCs w:val="21"/>
              </w:rPr>
            </w:pPr>
          </w:p>
        </w:tc>
        <w:tc>
          <w:tcPr>
            <w:tcW w:w="3737" w:type="dxa"/>
            <w:tcBorders>
              <w:tl2br w:val="nil"/>
              <w:tr2bl w:val="nil"/>
            </w:tcBorders>
            <w:tcMar>
              <w:top w:w="57" w:type="dxa"/>
              <w:left w:w="57" w:type="dxa"/>
              <w:bottom w:w="57" w:type="dxa"/>
              <w:right w:w="57" w:type="dxa"/>
            </w:tcMar>
            <w:vAlign w:val="center"/>
          </w:tcPr>
          <w:p>
            <w:pPr>
              <w:widowControl/>
              <w:adjustRightInd w:val="0"/>
              <w:snapToGrid w:val="0"/>
              <w:jc w:val="left"/>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处一万两千元以上二万元以下罚款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421" w:type="dxa"/>
            <w:vMerge w:val="restart"/>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31</w:t>
            </w:r>
          </w:p>
        </w:tc>
        <w:tc>
          <w:tcPr>
            <w:tcW w:w="1098" w:type="dxa"/>
            <w:vMerge w:val="restart"/>
            <w:tcBorders>
              <w:tl2br w:val="nil"/>
              <w:tr2bl w:val="nil"/>
            </w:tcBorders>
            <w:tcMar>
              <w:top w:w="57" w:type="dxa"/>
              <w:left w:w="57" w:type="dxa"/>
              <w:bottom w:w="57" w:type="dxa"/>
              <w:right w:w="57" w:type="dxa"/>
            </w:tcMar>
            <w:vAlign w:val="center"/>
          </w:tcPr>
          <w:p>
            <w:pPr>
              <w:widowControl/>
              <w:adjustRightInd w:val="0"/>
              <w:snapToGrid w:val="0"/>
              <w:jc w:val="left"/>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伪造、变造、转让、出租、出借农药登记证、农药生产许可证、农药经营许可证等许可证明文件的</w:t>
            </w:r>
          </w:p>
        </w:tc>
        <w:tc>
          <w:tcPr>
            <w:tcW w:w="3531" w:type="dxa"/>
            <w:vMerge w:val="restart"/>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农药管理条例》第六十二条，伪造、变造、转让、出租、出借农药登记证、农药生产许可证、农药经营许可证等许可证明文件的，由发证机关收缴或者予以吊销，没收违法所得，并处1万元以上5万元以下罚款；构成犯罪的，依法追究刑事责任。</w:t>
            </w:r>
          </w:p>
        </w:tc>
        <w:tc>
          <w:tcPr>
            <w:tcW w:w="730"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较轻</w:t>
            </w:r>
          </w:p>
        </w:tc>
        <w:tc>
          <w:tcPr>
            <w:tcW w:w="2378" w:type="dxa"/>
            <w:tcBorders>
              <w:tl2br w:val="nil"/>
              <w:tr2bl w:val="nil"/>
            </w:tcBorders>
            <w:tcMar>
              <w:top w:w="57" w:type="dxa"/>
              <w:left w:w="57" w:type="dxa"/>
              <w:bottom w:w="57" w:type="dxa"/>
              <w:right w:w="57" w:type="dxa"/>
            </w:tcMar>
            <w:vAlign w:val="center"/>
          </w:tcPr>
          <w:p>
            <w:pPr>
              <w:widowControl/>
              <w:adjustRightInd w:val="0"/>
              <w:snapToGrid w:val="0"/>
              <w:spacing w:line="260" w:lineRule="exact"/>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伪造、变造、转让、出租、出借一个许可文件，或者违法所得金额五千元以下</w:t>
            </w:r>
          </w:p>
        </w:tc>
        <w:tc>
          <w:tcPr>
            <w:tcW w:w="2105" w:type="dxa"/>
            <w:vMerge w:val="restart"/>
            <w:tcBorders>
              <w:tl2br w:val="nil"/>
              <w:tr2bl w:val="nil"/>
            </w:tcBorders>
            <w:tcMar>
              <w:top w:w="57" w:type="dxa"/>
              <w:left w:w="57" w:type="dxa"/>
              <w:bottom w:w="57" w:type="dxa"/>
              <w:right w:w="57" w:type="dxa"/>
            </w:tcMar>
            <w:vAlign w:val="center"/>
          </w:tcPr>
          <w:p>
            <w:pPr>
              <w:widowControl/>
              <w:adjustRightInd w:val="0"/>
              <w:snapToGrid w:val="0"/>
              <w:jc w:val="left"/>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由发证机关收缴或者予以吊销，没收违法所得</w:t>
            </w:r>
          </w:p>
        </w:tc>
        <w:tc>
          <w:tcPr>
            <w:tcW w:w="3737" w:type="dxa"/>
            <w:tcBorders>
              <w:tl2br w:val="nil"/>
              <w:tr2bl w:val="nil"/>
            </w:tcBorders>
            <w:tcMar>
              <w:top w:w="57" w:type="dxa"/>
              <w:left w:w="57" w:type="dxa"/>
              <w:bottom w:w="57" w:type="dxa"/>
              <w:right w:w="57" w:type="dxa"/>
            </w:tcMar>
            <w:vAlign w:val="center"/>
          </w:tcPr>
          <w:p>
            <w:pPr>
              <w:widowControl/>
              <w:adjustRightInd w:val="0"/>
              <w:snapToGrid w:val="0"/>
              <w:jc w:val="left"/>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并处一万元以上二万元以下罚款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421" w:type="dxa"/>
            <w:vMerge w:val="continue"/>
            <w:tcBorders>
              <w:tl2br w:val="nil"/>
              <w:tr2bl w:val="nil"/>
            </w:tcBorders>
            <w:tcMar>
              <w:top w:w="57" w:type="dxa"/>
              <w:left w:w="57" w:type="dxa"/>
              <w:bottom w:w="57" w:type="dxa"/>
              <w:right w:w="57" w:type="dxa"/>
            </w:tcMar>
            <w:vAlign w:val="center"/>
          </w:tcPr>
          <w:p>
            <w:pPr>
              <w:adjustRightInd w:val="0"/>
              <w:snapToGrid w:val="0"/>
              <w:jc w:val="center"/>
              <w:rPr>
                <w:rFonts w:ascii="仿宋_GB2312" w:hAnsi="仿宋_GB2312" w:eastAsia="仿宋_GB2312" w:cs="仿宋_GB2312"/>
                <w:color w:val="000000"/>
                <w:sz w:val="21"/>
                <w:szCs w:val="21"/>
              </w:rPr>
            </w:pPr>
          </w:p>
        </w:tc>
        <w:tc>
          <w:tcPr>
            <w:tcW w:w="1098" w:type="dxa"/>
            <w:vMerge w:val="continue"/>
            <w:tcBorders>
              <w:tl2br w:val="nil"/>
              <w:tr2bl w:val="nil"/>
            </w:tcBorders>
            <w:tcMar>
              <w:top w:w="57" w:type="dxa"/>
              <w:left w:w="57" w:type="dxa"/>
              <w:bottom w:w="57" w:type="dxa"/>
              <w:right w:w="57" w:type="dxa"/>
            </w:tcMar>
            <w:vAlign w:val="center"/>
          </w:tcPr>
          <w:p>
            <w:pPr>
              <w:adjustRightInd w:val="0"/>
              <w:snapToGrid w:val="0"/>
              <w:jc w:val="left"/>
              <w:rPr>
                <w:rFonts w:ascii="仿宋_GB2312" w:hAnsi="仿宋_GB2312" w:eastAsia="仿宋_GB2312" w:cs="仿宋_GB2312"/>
                <w:color w:val="000000"/>
                <w:sz w:val="21"/>
                <w:szCs w:val="21"/>
              </w:rPr>
            </w:pPr>
          </w:p>
        </w:tc>
        <w:tc>
          <w:tcPr>
            <w:tcW w:w="3531"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730"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一般</w:t>
            </w:r>
          </w:p>
        </w:tc>
        <w:tc>
          <w:tcPr>
            <w:tcW w:w="2378" w:type="dxa"/>
            <w:tcBorders>
              <w:tl2br w:val="nil"/>
              <w:tr2bl w:val="nil"/>
            </w:tcBorders>
            <w:tcMar>
              <w:top w:w="57" w:type="dxa"/>
              <w:left w:w="57" w:type="dxa"/>
              <w:bottom w:w="57" w:type="dxa"/>
              <w:right w:w="57" w:type="dxa"/>
            </w:tcMar>
            <w:vAlign w:val="center"/>
          </w:tcPr>
          <w:p>
            <w:pPr>
              <w:widowControl/>
              <w:adjustRightInd w:val="0"/>
              <w:snapToGrid w:val="0"/>
              <w:spacing w:line="260" w:lineRule="exact"/>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伪造、变造、转让、出租、出借二个许可文件，或者违法所得金额五千元以上二万元以下</w:t>
            </w:r>
          </w:p>
        </w:tc>
        <w:tc>
          <w:tcPr>
            <w:tcW w:w="2105" w:type="dxa"/>
            <w:vMerge w:val="continue"/>
            <w:tcBorders>
              <w:tl2br w:val="nil"/>
              <w:tr2bl w:val="nil"/>
            </w:tcBorders>
            <w:tcMar>
              <w:top w:w="57" w:type="dxa"/>
              <w:left w:w="57" w:type="dxa"/>
              <w:bottom w:w="57" w:type="dxa"/>
              <w:right w:w="57" w:type="dxa"/>
            </w:tcMar>
            <w:vAlign w:val="center"/>
          </w:tcPr>
          <w:p>
            <w:pPr>
              <w:adjustRightInd w:val="0"/>
              <w:snapToGrid w:val="0"/>
              <w:jc w:val="left"/>
              <w:rPr>
                <w:rFonts w:ascii="仿宋_GB2312" w:hAnsi="仿宋_GB2312" w:eastAsia="仿宋_GB2312" w:cs="仿宋_GB2312"/>
                <w:color w:val="000000"/>
                <w:sz w:val="21"/>
                <w:szCs w:val="21"/>
              </w:rPr>
            </w:pPr>
          </w:p>
        </w:tc>
        <w:tc>
          <w:tcPr>
            <w:tcW w:w="3737" w:type="dxa"/>
            <w:tcBorders>
              <w:tl2br w:val="nil"/>
              <w:tr2bl w:val="nil"/>
            </w:tcBorders>
            <w:tcMar>
              <w:top w:w="57" w:type="dxa"/>
              <w:left w:w="57" w:type="dxa"/>
              <w:bottom w:w="57" w:type="dxa"/>
              <w:right w:w="57" w:type="dxa"/>
            </w:tcMar>
            <w:vAlign w:val="center"/>
          </w:tcPr>
          <w:p>
            <w:pPr>
              <w:widowControl/>
              <w:adjustRightInd w:val="0"/>
              <w:snapToGrid w:val="0"/>
              <w:jc w:val="left"/>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并处二万元以上三万元以下罚款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421" w:type="dxa"/>
            <w:vMerge w:val="continue"/>
            <w:tcBorders>
              <w:tl2br w:val="nil"/>
              <w:tr2bl w:val="nil"/>
            </w:tcBorders>
            <w:tcMar>
              <w:top w:w="57" w:type="dxa"/>
              <w:left w:w="57" w:type="dxa"/>
              <w:bottom w:w="57" w:type="dxa"/>
              <w:right w:w="57" w:type="dxa"/>
            </w:tcMar>
            <w:vAlign w:val="center"/>
          </w:tcPr>
          <w:p>
            <w:pPr>
              <w:adjustRightInd w:val="0"/>
              <w:snapToGrid w:val="0"/>
              <w:jc w:val="center"/>
              <w:rPr>
                <w:rFonts w:ascii="仿宋_GB2312" w:hAnsi="仿宋_GB2312" w:eastAsia="仿宋_GB2312" w:cs="仿宋_GB2312"/>
                <w:color w:val="000000"/>
                <w:sz w:val="21"/>
                <w:szCs w:val="21"/>
              </w:rPr>
            </w:pPr>
          </w:p>
        </w:tc>
        <w:tc>
          <w:tcPr>
            <w:tcW w:w="1098" w:type="dxa"/>
            <w:vMerge w:val="continue"/>
            <w:tcBorders>
              <w:tl2br w:val="nil"/>
              <w:tr2bl w:val="nil"/>
            </w:tcBorders>
            <w:tcMar>
              <w:top w:w="57" w:type="dxa"/>
              <w:left w:w="57" w:type="dxa"/>
              <w:bottom w:w="57" w:type="dxa"/>
              <w:right w:w="57" w:type="dxa"/>
            </w:tcMar>
            <w:vAlign w:val="center"/>
          </w:tcPr>
          <w:p>
            <w:pPr>
              <w:adjustRightInd w:val="0"/>
              <w:snapToGrid w:val="0"/>
              <w:jc w:val="left"/>
              <w:rPr>
                <w:rFonts w:ascii="仿宋_GB2312" w:hAnsi="仿宋_GB2312" w:eastAsia="仿宋_GB2312" w:cs="仿宋_GB2312"/>
                <w:color w:val="000000"/>
                <w:sz w:val="21"/>
                <w:szCs w:val="21"/>
              </w:rPr>
            </w:pPr>
          </w:p>
        </w:tc>
        <w:tc>
          <w:tcPr>
            <w:tcW w:w="3531"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730"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严重</w:t>
            </w:r>
          </w:p>
        </w:tc>
        <w:tc>
          <w:tcPr>
            <w:tcW w:w="2378" w:type="dxa"/>
            <w:tcBorders>
              <w:tl2br w:val="nil"/>
              <w:tr2bl w:val="nil"/>
            </w:tcBorders>
            <w:tcMar>
              <w:top w:w="57" w:type="dxa"/>
              <w:left w:w="57" w:type="dxa"/>
              <w:bottom w:w="57" w:type="dxa"/>
              <w:right w:w="57" w:type="dxa"/>
            </w:tcMar>
            <w:vAlign w:val="center"/>
          </w:tcPr>
          <w:p>
            <w:pPr>
              <w:widowControl/>
              <w:adjustRightInd w:val="0"/>
              <w:snapToGrid w:val="0"/>
              <w:spacing w:line="260" w:lineRule="exact"/>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伪造、变造、转让、出租、出借三个以上许可文件或者违法所得金额二万以上</w:t>
            </w:r>
          </w:p>
        </w:tc>
        <w:tc>
          <w:tcPr>
            <w:tcW w:w="2105" w:type="dxa"/>
            <w:vMerge w:val="continue"/>
            <w:tcBorders>
              <w:tl2br w:val="nil"/>
              <w:tr2bl w:val="nil"/>
            </w:tcBorders>
            <w:tcMar>
              <w:top w:w="57" w:type="dxa"/>
              <w:left w:w="57" w:type="dxa"/>
              <w:bottom w:w="57" w:type="dxa"/>
              <w:right w:w="57" w:type="dxa"/>
            </w:tcMar>
            <w:vAlign w:val="center"/>
          </w:tcPr>
          <w:p>
            <w:pPr>
              <w:adjustRightInd w:val="0"/>
              <w:snapToGrid w:val="0"/>
              <w:jc w:val="left"/>
              <w:rPr>
                <w:rFonts w:ascii="仿宋_GB2312" w:hAnsi="仿宋_GB2312" w:eastAsia="仿宋_GB2312" w:cs="仿宋_GB2312"/>
                <w:color w:val="000000"/>
                <w:sz w:val="21"/>
                <w:szCs w:val="21"/>
              </w:rPr>
            </w:pPr>
          </w:p>
        </w:tc>
        <w:tc>
          <w:tcPr>
            <w:tcW w:w="3737" w:type="dxa"/>
            <w:tcBorders>
              <w:tl2br w:val="nil"/>
              <w:tr2bl w:val="nil"/>
            </w:tcBorders>
            <w:tcMar>
              <w:top w:w="57" w:type="dxa"/>
              <w:left w:w="57" w:type="dxa"/>
              <w:bottom w:w="57" w:type="dxa"/>
              <w:right w:w="57" w:type="dxa"/>
            </w:tcMar>
            <w:vAlign w:val="center"/>
          </w:tcPr>
          <w:p>
            <w:pPr>
              <w:widowControl/>
              <w:adjustRightInd w:val="0"/>
              <w:snapToGrid w:val="0"/>
              <w:jc w:val="left"/>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并处三万元以上五万元以下罚款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421"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32</w:t>
            </w:r>
          </w:p>
        </w:tc>
        <w:tc>
          <w:tcPr>
            <w:tcW w:w="1098"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未取得农药生产许可证生产农药，未取得农药经营许可证经营农药，或者被吊销农药登记证、农药生产许可证、农药经营许可证的直接负责的主管人员</w:t>
            </w:r>
          </w:p>
        </w:tc>
        <w:tc>
          <w:tcPr>
            <w:tcW w:w="3531"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br w:type="textWrapping"/>
            </w:r>
            <w:r>
              <w:rPr>
                <w:rFonts w:hint="eastAsia" w:ascii="仿宋_GB2312" w:hAnsi="仿宋_GB2312" w:eastAsia="仿宋_GB2312" w:cs="仿宋_GB2312"/>
                <w:color w:val="000000"/>
                <w:kern w:val="0"/>
                <w:sz w:val="21"/>
                <w:szCs w:val="21"/>
              </w:rPr>
              <w:t>《农药管理条例》第六十三条第一款：未取得农药生产许可证生产农药，未取得农药经营许可证经营农药，或者被吊销农药登记证、农药生产许可证、农药经营许可证的，其直接负责的主管人员10年内不得从事农药生产、经营活动。</w:t>
            </w:r>
          </w:p>
        </w:tc>
        <w:tc>
          <w:tcPr>
            <w:tcW w:w="730"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一般</w:t>
            </w:r>
          </w:p>
        </w:tc>
        <w:tc>
          <w:tcPr>
            <w:tcW w:w="8220" w:type="dxa"/>
            <w:gridSpan w:val="3"/>
            <w:tcBorders>
              <w:tl2br w:val="nil"/>
              <w:tr2bl w:val="nil"/>
            </w:tcBorders>
            <w:tcMar>
              <w:top w:w="57" w:type="dxa"/>
              <w:left w:w="57" w:type="dxa"/>
              <w:bottom w:w="57" w:type="dxa"/>
              <w:right w:w="57" w:type="dxa"/>
            </w:tcMar>
            <w:vAlign w:val="center"/>
          </w:tcPr>
          <w:p>
            <w:pPr>
              <w:widowControl/>
              <w:adjustRightInd w:val="0"/>
              <w:snapToGrid w:val="0"/>
              <w:jc w:val="left"/>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直接负责主管人员10年内不得从事农药生产、经营活动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421"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33</w:t>
            </w:r>
          </w:p>
        </w:tc>
        <w:tc>
          <w:tcPr>
            <w:tcW w:w="1098" w:type="dxa"/>
            <w:tcBorders>
              <w:tl2br w:val="nil"/>
              <w:tr2bl w:val="nil"/>
            </w:tcBorders>
            <w:tcMar>
              <w:top w:w="57" w:type="dxa"/>
              <w:left w:w="57" w:type="dxa"/>
              <w:bottom w:w="57" w:type="dxa"/>
              <w:right w:w="57" w:type="dxa"/>
            </w:tcMar>
            <w:vAlign w:val="center"/>
          </w:tcPr>
          <w:p>
            <w:pPr>
              <w:widowControl/>
              <w:adjustRightInd w:val="0"/>
              <w:snapToGrid w:val="0"/>
              <w:jc w:val="left"/>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农药生产企业、农药经营者招用前款规定的人员从事农药生产、经营活动的</w:t>
            </w:r>
          </w:p>
        </w:tc>
        <w:tc>
          <w:tcPr>
            <w:tcW w:w="3531"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spacing w:val="-4"/>
                <w:kern w:val="0"/>
                <w:sz w:val="21"/>
                <w:szCs w:val="21"/>
              </w:rPr>
              <w:t>《农药管理条例》第六十三条：未取得农药生产许可证生产农药，未取得农药经营许可证经营农药，或者被吊销农药登记证、农药生产许可证、农药经营许可证的，其直接负责的主管人员10年内不得从事农药生产、经营活动。</w:t>
            </w:r>
            <w:r>
              <w:rPr>
                <w:rFonts w:hint="eastAsia" w:ascii="仿宋_GB2312" w:hAnsi="仿宋_GB2312" w:eastAsia="仿宋_GB2312" w:cs="仿宋_GB2312"/>
                <w:color w:val="000000"/>
                <w:kern w:val="0"/>
                <w:sz w:val="21"/>
                <w:szCs w:val="21"/>
              </w:rPr>
              <w:br w:type="textWrapping"/>
            </w:r>
            <w:r>
              <w:rPr>
                <w:rFonts w:hint="eastAsia" w:ascii="仿宋_GB2312" w:hAnsi="仿宋_GB2312" w:eastAsia="仿宋_GB2312" w:cs="仿宋_GB2312"/>
                <w:color w:val="000000"/>
                <w:kern w:val="0"/>
                <w:sz w:val="21"/>
                <w:szCs w:val="21"/>
              </w:rPr>
              <w:t>农药生产企业、农药经营者招用前款规定的人员从事农药生产、经营活动的，由发证机关吊销农药生产许可证、农药经营许可证。</w:t>
            </w:r>
          </w:p>
        </w:tc>
        <w:tc>
          <w:tcPr>
            <w:tcW w:w="730"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一般</w:t>
            </w:r>
          </w:p>
        </w:tc>
        <w:tc>
          <w:tcPr>
            <w:tcW w:w="8220" w:type="dxa"/>
            <w:gridSpan w:val="3"/>
            <w:tcBorders>
              <w:tl2br w:val="nil"/>
              <w:tr2bl w:val="nil"/>
            </w:tcBorders>
            <w:tcMar>
              <w:top w:w="57" w:type="dxa"/>
              <w:left w:w="57" w:type="dxa"/>
              <w:bottom w:w="57" w:type="dxa"/>
              <w:right w:w="57" w:type="dxa"/>
            </w:tcMar>
            <w:vAlign w:val="center"/>
          </w:tcPr>
          <w:p>
            <w:pPr>
              <w:widowControl/>
              <w:adjustRightInd w:val="0"/>
              <w:snapToGrid w:val="0"/>
              <w:jc w:val="left"/>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吊销农药生产许可证、农药经营许可证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51" w:hRule="atLeast"/>
          <w:jc w:val="center"/>
        </w:trPr>
        <w:tc>
          <w:tcPr>
            <w:tcW w:w="421" w:type="dxa"/>
            <w:vMerge w:val="restart"/>
            <w:tcBorders>
              <w:tl2br w:val="nil"/>
              <w:tr2bl w:val="nil"/>
            </w:tcBorders>
            <w:noWrap/>
            <w:tcMar>
              <w:top w:w="57" w:type="dxa"/>
              <w:left w:w="57" w:type="dxa"/>
              <w:bottom w:w="57" w:type="dxa"/>
              <w:right w:w="57" w:type="dxa"/>
            </w:tcMar>
            <w:vAlign w:val="center"/>
          </w:tcPr>
          <w:p>
            <w:pPr>
              <w:widowControl/>
              <w:adjustRightInd w:val="0"/>
              <w:snapToGrid w:val="0"/>
              <w:jc w:val="center"/>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34</w:t>
            </w:r>
          </w:p>
        </w:tc>
        <w:tc>
          <w:tcPr>
            <w:tcW w:w="1098" w:type="dxa"/>
            <w:vMerge w:val="restart"/>
            <w:tcBorders>
              <w:tl2br w:val="nil"/>
              <w:tr2bl w:val="nil"/>
            </w:tcBorders>
            <w:tcMar>
              <w:top w:w="57" w:type="dxa"/>
              <w:left w:w="57" w:type="dxa"/>
              <w:bottom w:w="57" w:type="dxa"/>
              <w:right w:w="57" w:type="dxa"/>
            </w:tcMar>
            <w:vAlign w:val="center"/>
          </w:tcPr>
          <w:p>
            <w:pPr>
              <w:widowControl/>
              <w:adjustRightInd w:val="0"/>
              <w:snapToGrid w:val="0"/>
              <w:spacing w:line="260" w:lineRule="exact"/>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农业投入品生产者、销售者、使用者未按照规定及时回收肥料等农业投入品的包装废弃物或者农用薄膜，或者未按照规定及时回收农药包装废弃物交由专门的机构或者组织进行无害化处理的</w:t>
            </w:r>
          </w:p>
        </w:tc>
        <w:tc>
          <w:tcPr>
            <w:tcW w:w="3531" w:type="dxa"/>
            <w:vMerge w:val="restart"/>
            <w:tcBorders>
              <w:tl2br w:val="nil"/>
              <w:tr2bl w:val="nil"/>
            </w:tcBorders>
            <w:tcMar>
              <w:top w:w="57" w:type="dxa"/>
              <w:left w:w="57" w:type="dxa"/>
              <w:bottom w:w="57" w:type="dxa"/>
              <w:right w:w="57" w:type="dxa"/>
            </w:tcMar>
            <w:vAlign w:val="center"/>
          </w:tcPr>
          <w:p>
            <w:pPr>
              <w:widowControl/>
              <w:adjustRightInd w:val="0"/>
              <w:snapToGrid w:val="0"/>
              <w:textAlignment w:val="center"/>
              <w:rPr>
                <w:rStyle w:val="10"/>
                <w:rFonts w:hint="default" w:hAnsi="仿宋_GB2312"/>
                <w:sz w:val="21"/>
                <w:szCs w:val="21"/>
              </w:rPr>
            </w:pPr>
            <w:r>
              <w:rPr>
                <w:rStyle w:val="10"/>
                <w:rFonts w:hint="default" w:hAnsi="仿宋_GB2312"/>
                <w:sz w:val="21"/>
                <w:szCs w:val="21"/>
              </w:rPr>
              <w:t>《中华人民共和国土壤污染防治法》  第八十八条：违反本法规定，农业投入品生产者、销售者、使用者未按照规定及时回收肥料等农业投入品的包装废弃物或者农用薄膜，或者未按照规定及时回收农药包装废弃物交由专门的机构或者组织进行无害化处理的，由地方人民政府农业农村主管部门责令改正，处一万元以上十万元以下的罚款；农业投入品使用者为个人的，可以处二百元以上二千元以下的罚款。</w:t>
            </w:r>
          </w:p>
          <w:p>
            <w:pPr>
              <w:widowControl/>
              <w:adjustRightInd w:val="0"/>
              <w:snapToGrid w:val="0"/>
              <w:textAlignment w:val="center"/>
              <w:rPr>
                <w:rFonts w:ascii="仿宋_GB2312" w:hAnsi="仿宋_GB2312" w:eastAsia="仿宋_GB2312" w:cs="仿宋_GB2312"/>
                <w:color w:val="000000"/>
                <w:sz w:val="21"/>
                <w:szCs w:val="21"/>
              </w:rPr>
            </w:pPr>
            <w:r>
              <w:rPr>
                <w:rStyle w:val="10"/>
                <w:rFonts w:hint="default" w:hAnsi="仿宋_GB2312"/>
                <w:sz w:val="21"/>
                <w:szCs w:val="21"/>
              </w:rPr>
              <w:t>《农药包装废弃物回收处理管理办法》第十九条 农药生产者、经营者、使用者未按规定履行农药包装废弃物回收处理义务的，由地方人民政府农业农村主管部门按照《中华人民共和国土壤污染防治法》第八十八条规定予以处罚。</w:t>
            </w:r>
            <w:r>
              <w:rPr>
                <w:rStyle w:val="12"/>
                <w:rFonts w:hint="eastAsia" w:ascii="仿宋_GB2312" w:hAnsi="仿宋_GB2312" w:eastAsia="仿宋_GB2312" w:cs="仿宋_GB2312"/>
                <w:sz w:val="21"/>
                <w:szCs w:val="21"/>
              </w:rPr>
              <w:t> </w:t>
            </w:r>
          </w:p>
        </w:tc>
        <w:tc>
          <w:tcPr>
            <w:tcW w:w="730"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较轻</w:t>
            </w:r>
          </w:p>
        </w:tc>
        <w:tc>
          <w:tcPr>
            <w:tcW w:w="2378"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初次违法</w:t>
            </w:r>
          </w:p>
        </w:tc>
        <w:tc>
          <w:tcPr>
            <w:tcW w:w="2105" w:type="dxa"/>
            <w:vMerge w:val="restart"/>
            <w:tcBorders>
              <w:tl2br w:val="nil"/>
              <w:tr2bl w:val="nil"/>
            </w:tcBorders>
            <w:tcMar>
              <w:top w:w="57" w:type="dxa"/>
              <w:left w:w="57" w:type="dxa"/>
              <w:bottom w:w="57" w:type="dxa"/>
              <w:right w:w="57" w:type="dxa"/>
            </w:tcMar>
            <w:vAlign w:val="center"/>
          </w:tcPr>
          <w:p>
            <w:pPr>
              <w:widowControl/>
              <w:adjustRightInd w:val="0"/>
              <w:snapToGrid w:val="0"/>
              <w:jc w:val="left"/>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责令改正</w:t>
            </w:r>
          </w:p>
        </w:tc>
        <w:tc>
          <w:tcPr>
            <w:tcW w:w="3737" w:type="dxa"/>
            <w:tcBorders>
              <w:tl2br w:val="nil"/>
              <w:tr2bl w:val="nil"/>
            </w:tcBorders>
            <w:tcMar>
              <w:top w:w="57" w:type="dxa"/>
              <w:left w:w="57" w:type="dxa"/>
              <w:bottom w:w="57" w:type="dxa"/>
              <w:right w:w="57" w:type="dxa"/>
            </w:tcMar>
            <w:vAlign w:val="center"/>
          </w:tcPr>
          <w:p>
            <w:pPr>
              <w:widowControl/>
              <w:adjustRightInd w:val="0"/>
              <w:snapToGrid w:val="0"/>
              <w:jc w:val="left"/>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对机构或组织，处一万元以上三万元以下罚款；</w:t>
            </w:r>
            <w:r>
              <w:rPr>
                <w:rFonts w:hint="eastAsia" w:ascii="仿宋_GB2312" w:hAnsi="仿宋_GB2312" w:eastAsia="仿宋_GB2312" w:cs="仿宋_GB2312"/>
                <w:color w:val="000000"/>
                <w:kern w:val="0"/>
                <w:sz w:val="21"/>
                <w:szCs w:val="21"/>
              </w:rPr>
              <w:br w:type="textWrapping"/>
            </w:r>
            <w:r>
              <w:rPr>
                <w:rFonts w:hint="eastAsia" w:ascii="仿宋_GB2312" w:hAnsi="仿宋_GB2312" w:eastAsia="仿宋_GB2312" w:cs="仿宋_GB2312"/>
                <w:color w:val="000000"/>
                <w:kern w:val="0"/>
                <w:sz w:val="21"/>
                <w:szCs w:val="21"/>
              </w:rPr>
              <w:t>对个人，处二百元以上六百元以下罚款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78" w:hRule="atLeast"/>
          <w:jc w:val="center"/>
        </w:trPr>
        <w:tc>
          <w:tcPr>
            <w:tcW w:w="421" w:type="dxa"/>
            <w:vMerge w:val="continue"/>
            <w:tcBorders>
              <w:tl2br w:val="nil"/>
              <w:tr2bl w:val="nil"/>
            </w:tcBorders>
            <w:noWrap/>
            <w:tcMar>
              <w:top w:w="57" w:type="dxa"/>
              <w:left w:w="57" w:type="dxa"/>
              <w:bottom w:w="57" w:type="dxa"/>
              <w:right w:w="57" w:type="dxa"/>
            </w:tcMar>
            <w:vAlign w:val="center"/>
          </w:tcPr>
          <w:p>
            <w:pPr>
              <w:adjustRightInd w:val="0"/>
              <w:snapToGrid w:val="0"/>
              <w:jc w:val="center"/>
              <w:rPr>
                <w:rFonts w:ascii="仿宋_GB2312" w:hAnsi="仿宋_GB2312" w:eastAsia="仿宋_GB2312" w:cs="仿宋_GB2312"/>
                <w:color w:val="000000"/>
                <w:sz w:val="21"/>
                <w:szCs w:val="21"/>
              </w:rPr>
            </w:pPr>
          </w:p>
        </w:tc>
        <w:tc>
          <w:tcPr>
            <w:tcW w:w="1098" w:type="dxa"/>
            <w:vMerge w:val="continue"/>
            <w:tcBorders>
              <w:tl2br w:val="nil"/>
              <w:tr2bl w:val="nil"/>
            </w:tcBorders>
            <w:tcMar>
              <w:top w:w="57" w:type="dxa"/>
              <w:left w:w="57" w:type="dxa"/>
              <w:bottom w:w="57" w:type="dxa"/>
              <w:right w:w="57" w:type="dxa"/>
            </w:tcMar>
            <w:vAlign w:val="center"/>
          </w:tcPr>
          <w:p>
            <w:pPr>
              <w:adjustRightInd w:val="0"/>
              <w:snapToGrid w:val="0"/>
              <w:jc w:val="left"/>
              <w:rPr>
                <w:rFonts w:ascii="仿宋_GB2312" w:hAnsi="仿宋_GB2312" w:eastAsia="仿宋_GB2312" w:cs="仿宋_GB2312"/>
                <w:color w:val="000000"/>
                <w:sz w:val="21"/>
                <w:szCs w:val="21"/>
              </w:rPr>
            </w:pPr>
          </w:p>
        </w:tc>
        <w:tc>
          <w:tcPr>
            <w:tcW w:w="3531"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730"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一般</w:t>
            </w:r>
          </w:p>
        </w:tc>
        <w:tc>
          <w:tcPr>
            <w:tcW w:w="2378"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再次违法</w:t>
            </w:r>
          </w:p>
        </w:tc>
        <w:tc>
          <w:tcPr>
            <w:tcW w:w="2105" w:type="dxa"/>
            <w:vMerge w:val="continue"/>
            <w:tcBorders>
              <w:tl2br w:val="nil"/>
              <w:tr2bl w:val="nil"/>
            </w:tcBorders>
            <w:tcMar>
              <w:top w:w="57" w:type="dxa"/>
              <w:left w:w="57" w:type="dxa"/>
              <w:bottom w:w="57" w:type="dxa"/>
              <w:right w:w="57" w:type="dxa"/>
            </w:tcMar>
            <w:vAlign w:val="center"/>
          </w:tcPr>
          <w:p>
            <w:pPr>
              <w:adjustRightInd w:val="0"/>
              <w:snapToGrid w:val="0"/>
              <w:jc w:val="left"/>
              <w:rPr>
                <w:rFonts w:ascii="仿宋_GB2312" w:hAnsi="仿宋_GB2312" w:eastAsia="仿宋_GB2312" w:cs="仿宋_GB2312"/>
                <w:color w:val="000000"/>
                <w:sz w:val="21"/>
                <w:szCs w:val="21"/>
              </w:rPr>
            </w:pPr>
          </w:p>
        </w:tc>
        <w:tc>
          <w:tcPr>
            <w:tcW w:w="3737" w:type="dxa"/>
            <w:tcBorders>
              <w:tl2br w:val="nil"/>
              <w:tr2bl w:val="nil"/>
            </w:tcBorders>
            <w:tcMar>
              <w:top w:w="57" w:type="dxa"/>
              <w:left w:w="57" w:type="dxa"/>
              <w:bottom w:w="57" w:type="dxa"/>
              <w:right w:w="57" w:type="dxa"/>
            </w:tcMar>
            <w:vAlign w:val="center"/>
          </w:tcPr>
          <w:p>
            <w:pPr>
              <w:widowControl/>
              <w:adjustRightInd w:val="0"/>
              <w:snapToGrid w:val="0"/>
              <w:jc w:val="left"/>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对机构或组织，处三万元以上六万元以下的罚款；</w:t>
            </w:r>
            <w:r>
              <w:rPr>
                <w:rFonts w:hint="eastAsia" w:ascii="仿宋_GB2312" w:hAnsi="仿宋_GB2312" w:eastAsia="仿宋_GB2312" w:cs="仿宋_GB2312"/>
                <w:color w:val="000000"/>
                <w:kern w:val="0"/>
                <w:sz w:val="21"/>
                <w:szCs w:val="21"/>
              </w:rPr>
              <w:br w:type="textWrapping"/>
            </w:r>
            <w:r>
              <w:rPr>
                <w:rFonts w:hint="eastAsia" w:ascii="仿宋_GB2312" w:hAnsi="仿宋_GB2312" w:eastAsia="仿宋_GB2312" w:cs="仿宋_GB2312"/>
                <w:color w:val="000000"/>
                <w:kern w:val="0"/>
                <w:sz w:val="21"/>
                <w:szCs w:val="21"/>
              </w:rPr>
              <w:t>对个人，处六百元以上一千二百元以下的罚款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55" w:hRule="atLeast"/>
          <w:jc w:val="center"/>
        </w:trPr>
        <w:tc>
          <w:tcPr>
            <w:tcW w:w="421" w:type="dxa"/>
            <w:vMerge w:val="continue"/>
            <w:tcBorders>
              <w:tl2br w:val="nil"/>
              <w:tr2bl w:val="nil"/>
            </w:tcBorders>
            <w:noWrap/>
            <w:tcMar>
              <w:top w:w="57" w:type="dxa"/>
              <w:left w:w="57" w:type="dxa"/>
              <w:bottom w:w="57" w:type="dxa"/>
              <w:right w:w="57" w:type="dxa"/>
            </w:tcMar>
            <w:vAlign w:val="center"/>
          </w:tcPr>
          <w:p>
            <w:pPr>
              <w:adjustRightInd w:val="0"/>
              <w:snapToGrid w:val="0"/>
              <w:jc w:val="center"/>
              <w:rPr>
                <w:rFonts w:ascii="仿宋_GB2312" w:hAnsi="仿宋_GB2312" w:eastAsia="仿宋_GB2312" w:cs="仿宋_GB2312"/>
                <w:color w:val="000000"/>
                <w:sz w:val="21"/>
                <w:szCs w:val="21"/>
              </w:rPr>
            </w:pPr>
          </w:p>
        </w:tc>
        <w:tc>
          <w:tcPr>
            <w:tcW w:w="1098" w:type="dxa"/>
            <w:vMerge w:val="continue"/>
            <w:tcBorders>
              <w:tl2br w:val="nil"/>
              <w:tr2bl w:val="nil"/>
            </w:tcBorders>
            <w:tcMar>
              <w:top w:w="57" w:type="dxa"/>
              <w:left w:w="57" w:type="dxa"/>
              <w:bottom w:w="57" w:type="dxa"/>
              <w:right w:w="57" w:type="dxa"/>
            </w:tcMar>
            <w:vAlign w:val="center"/>
          </w:tcPr>
          <w:p>
            <w:pPr>
              <w:adjustRightInd w:val="0"/>
              <w:snapToGrid w:val="0"/>
              <w:jc w:val="left"/>
              <w:rPr>
                <w:rFonts w:ascii="仿宋_GB2312" w:hAnsi="仿宋_GB2312" w:eastAsia="仿宋_GB2312" w:cs="仿宋_GB2312"/>
                <w:color w:val="000000"/>
                <w:sz w:val="21"/>
                <w:szCs w:val="21"/>
              </w:rPr>
            </w:pPr>
          </w:p>
        </w:tc>
        <w:tc>
          <w:tcPr>
            <w:tcW w:w="3531"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730"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较重</w:t>
            </w:r>
          </w:p>
        </w:tc>
        <w:tc>
          <w:tcPr>
            <w:tcW w:w="2378"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三次以上违法</w:t>
            </w:r>
          </w:p>
        </w:tc>
        <w:tc>
          <w:tcPr>
            <w:tcW w:w="2105" w:type="dxa"/>
            <w:vMerge w:val="continue"/>
            <w:tcBorders>
              <w:tl2br w:val="nil"/>
              <w:tr2bl w:val="nil"/>
            </w:tcBorders>
            <w:tcMar>
              <w:top w:w="57" w:type="dxa"/>
              <w:left w:w="57" w:type="dxa"/>
              <w:bottom w:w="57" w:type="dxa"/>
              <w:right w:w="57" w:type="dxa"/>
            </w:tcMar>
            <w:vAlign w:val="center"/>
          </w:tcPr>
          <w:p>
            <w:pPr>
              <w:adjustRightInd w:val="0"/>
              <w:snapToGrid w:val="0"/>
              <w:jc w:val="left"/>
              <w:rPr>
                <w:rFonts w:ascii="仿宋_GB2312" w:hAnsi="仿宋_GB2312" w:eastAsia="仿宋_GB2312" w:cs="仿宋_GB2312"/>
                <w:color w:val="000000"/>
                <w:sz w:val="21"/>
                <w:szCs w:val="21"/>
              </w:rPr>
            </w:pPr>
          </w:p>
        </w:tc>
        <w:tc>
          <w:tcPr>
            <w:tcW w:w="3737" w:type="dxa"/>
            <w:tcBorders>
              <w:tl2br w:val="nil"/>
              <w:tr2bl w:val="nil"/>
            </w:tcBorders>
            <w:tcMar>
              <w:top w:w="57" w:type="dxa"/>
              <w:left w:w="57" w:type="dxa"/>
              <w:bottom w:w="57" w:type="dxa"/>
              <w:right w:w="57" w:type="dxa"/>
            </w:tcMar>
            <w:vAlign w:val="center"/>
          </w:tcPr>
          <w:p>
            <w:pPr>
              <w:widowControl/>
              <w:adjustRightInd w:val="0"/>
              <w:snapToGrid w:val="0"/>
              <w:jc w:val="left"/>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对机构或组织，处六万元以上十万元以下罚款；</w:t>
            </w:r>
            <w:r>
              <w:rPr>
                <w:rFonts w:hint="eastAsia" w:ascii="仿宋_GB2312" w:hAnsi="仿宋_GB2312" w:eastAsia="仿宋_GB2312" w:cs="仿宋_GB2312"/>
                <w:color w:val="000000"/>
                <w:kern w:val="0"/>
                <w:sz w:val="21"/>
                <w:szCs w:val="21"/>
              </w:rPr>
              <w:br w:type="textWrapping"/>
            </w:r>
            <w:r>
              <w:rPr>
                <w:rFonts w:hint="eastAsia" w:ascii="仿宋_GB2312" w:hAnsi="仿宋_GB2312" w:eastAsia="仿宋_GB2312" w:cs="仿宋_GB2312"/>
                <w:color w:val="000000"/>
                <w:kern w:val="0"/>
                <w:sz w:val="21"/>
                <w:szCs w:val="21"/>
              </w:rPr>
              <w:t>对个人，处一千二百元以上二千元以下罚款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18" w:hRule="atLeast"/>
          <w:jc w:val="center"/>
        </w:trPr>
        <w:tc>
          <w:tcPr>
            <w:tcW w:w="421" w:type="dxa"/>
            <w:vMerge w:val="restart"/>
            <w:tcBorders>
              <w:tl2br w:val="nil"/>
              <w:tr2bl w:val="nil"/>
            </w:tcBorders>
            <w:noWrap/>
            <w:tcMar>
              <w:top w:w="57" w:type="dxa"/>
              <w:left w:w="57" w:type="dxa"/>
              <w:bottom w:w="57" w:type="dxa"/>
              <w:right w:w="57" w:type="dxa"/>
            </w:tcMar>
            <w:vAlign w:val="center"/>
          </w:tcPr>
          <w:p>
            <w:pPr>
              <w:widowControl/>
              <w:adjustRightInd w:val="0"/>
              <w:snapToGrid w:val="0"/>
              <w:jc w:val="center"/>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35</w:t>
            </w:r>
          </w:p>
        </w:tc>
        <w:tc>
          <w:tcPr>
            <w:tcW w:w="1098" w:type="dxa"/>
            <w:vMerge w:val="restart"/>
            <w:tcBorders>
              <w:tl2br w:val="nil"/>
              <w:tr2bl w:val="nil"/>
            </w:tcBorders>
            <w:tcMar>
              <w:top w:w="57" w:type="dxa"/>
              <w:left w:w="57" w:type="dxa"/>
              <w:bottom w:w="57" w:type="dxa"/>
              <w:right w:w="57" w:type="dxa"/>
            </w:tcMar>
            <w:vAlign w:val="center"/>
          </w:tcPr>
          <w:p>
            <w:pPr>
              <w:widowControl/>
              <w:adjustRightInd w:val="0"/>
              <w:snapToGrid w:val="0"/>
              <w:jc w:val="left"/>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未按规定建立农药包装废弃物回收台账的</w:t>
            </w:r>
          </w:p>
        </w:tc>
        <w:tc>
          <w:tcPr>
            <w:tcW w:w="3531" w:type="dxa"/>
            <w:vMerge w:val="restart"/>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 xml:space="preserve"> 《农药包装废弃物回收处理管理办法》第二十一条 农药经营者和农药包装废弃物回收站（点）未按规定建立农药包装废弃物回收台账的，由地方人民政府农业农村主管部门责令改正；拒不改正或者情节严重的，可处二千元以上二万元以下罚款。</w:t>
            </w:r>
          </w:p>
        </w:tc>
        <w:tc>
          <w:tcPr>
            <w:tcW w:w="730"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较轻</w:t>
            </w:r>
          </w:p>
        </w:tc>
        <w:tc>
          <w:tcPr>
            <w:tcW w:w="2378"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初次违法</w:t>
            </w:r>
          </w:p>
        </w:tc>
        <w:tc>
          <w:tcPr>
            <w:tcW w:w="2105" w:type="dxa"/>
            <w:vMerge w:val="restart"/>
            <w:tcBorders>
              <w:tl2br w:val="nil"/>
              <w:tr2bl w:val="nil"/>
            </w:tcBorders>
            <w:tcMar>
              <w:top w:w="57" w:type="dxa"/>
              <w:left w:w="57" w:type="dxa"/>
              <w:bottom w:w="57" w:type="dxa"/>
              <w:right w:w="57" w:type="dxa"/>
            </w:tcMar>
            <w:vAlign w:val="center"/>
          </w:tcPr>
          <w:p>
            <w:pPr>
              <w:widowControl/>
              <w:adjustRightInd w:val="0"/>
              <w:snapToGrid w:val="0"/>
              <w:jc w:val="left"/>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责令改正，拒不改正的</w:t>
            </w:r>
          </w:p>
        </w:tc>
        <w:tc>
          <w:tcPr>
            <w:tcW w:w="3737" w:type="dxa"/>
            <w:tcBorders>
              <w:tl2br w:val="nil"/>
              <w:tr2bl w:val="nil"/>
            </w:tcBorders>
            <w:tcMar>
              <w:top w:w="57" w:type="dxa"/>
              <w:left w:w="57" w:type="dxa"/>
              <w:bottom w:w="57" w:type="dxa"/>
              <w:right w:w="57" w:type="dxa"/>
            </w:tcMar>
            <w:vAlign w:val="center"/>
          </w:tcPr>
          <w:p>
            <w:pPr>
              <w:widowControl/>
              <w:adjustRightInd w:val="0"/>
              <w:snapToGrid w:val="0"/>
              <w:jc w:val="left"/>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处二千元以上六千元以下罚款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jc w:val="center"/>
        </w:trPr>
        <w:tc>
          <w:tcPr>
            <w:tcW w:w="421" w:type="dxa"/>
            <w:vMerge w:val="continue"/>
            <w:tcBorders>
              <w:tl2br w:val="nil"/>
              <w:tr2bl w:val="nil"/>
            </w:tcBorders>
            <w:noWrap/>
            <w:tcMar>
              <w:top w:w="57" w:type="dxa"/>
              <w:left w:w="57" w:type="dxa"/>
              <w:bottom w:w="57" w:type="dxa"/>
              <w:right w:w="57" w:type="dxa"/>
            </w:tcMar>
            <w:vAlign w:val="center"/>
          </w:tcPr>
          <w:p>
            <w:pPr>
              <w:adjustRightInd w:val="0"/>
              <w:snapToGrid w:val="0"/>
              <w:jc w:val="center"/>
              <w:rPr>
                <w:rFonts w:ascii="仿宋_GB2312" w:hAnsi="仿宋_GB2312" w:eastAsia="仿宋_GB2312" w:cs="仿宋_GB2312"/>
                <w:color w:val="000000"/>
                <w:sz w:val="21"/>
                <w:szCs w:val="21"/>
              </w:rPr>
            </w:pPr>
          </w:p>
        </w:tc>
        <w:tc>
          <w:tcPr>
            <w:tcW w:w="1098" w:type="dxa"/>
            <w:vMerge w:val="continue"/>
            <w:tcBorders>
              <w:tl2br w:val="nil"/>
              <w:tr2bl w:val="nil"/>
            </w:tcBorders>
            <w:tcMar>
              <w:top w:w="57" w:type="dxa"/>
              <w:left w:w="57" w:type="dxa"/>
              <w:bottom w:w="57" w:type="dxa"/>
              <w:right w:w="57" w:type="dxa"/>
            </w:tcMar>
            <w:vAlign w:val="center"/>
          </w:tcPr>
          <w:p>
            <w:pPr>
              <w:adjustRightInd w:val="0"/>
              <w:snapToGrid w:val="0"/>
              <w:jc w:val="left"/>
              <w:rPr>
                <w:rFonts w:ascii="仿宋_GB2312" w:hAnsi="仿宋_GB2312" w:eastAsia="仿宋_GB2312" w:cs="仿宋_GB2312"/>
                <w:color w:val="000000"/>
                <w:sz w:val="21"/>
                <w:szCs w:val="21"/>
              </w:rPr>
            </w:pPr>
          </w:p>
        </w:tc>
        <w:tc>
          <w:tcPr>
            <w:tcW w:w="3531"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730"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一般</w:t>
            </w:r>
          </w:p>
        </w:tc>
        <w:tc>
          <w:tcPr>
            <w:tcW w:w="2378"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再次违法</w:t>
            </w:r>
          </w:p>
        </w:tc>
        <w:tc>
          <w:tcPr>
            <w:tcW w:w="2105" w:type="dxa"/>
            <w:vMerge w:val="continue"/>
            <w:tcBorders>
              <w:tl2br w:val="nil"/>
              <w:tr2bl w:val="nil"/>
            </w:tcBorders>
            <w:tcMar>
              <w:top w:w="57" w:type="dxa"/>
              <w:left w:w="57" w:type="dxa"/>
              <w:bottom w:w="57" w:type="dxa"/>
              <w:right w:w="57" w:type="dxa"/>
            </w:tcMar>
            <w:vAlign w:val="center"/>
          </w:tcPr>
          <w:p>
            <w:pPr>
              <w:adjustRightInd w:val="0"/>
              <w:snapToGrid w:val="0"/>
              <w:jc w:val="left"/>
              <w:rPr>
                <w:rFonts w:ascii="仿宋_GB2312" w:hAnsi="仿宋_GB2312" w:eastAsia="仿宋_GB2312" w:cs="仿宋_GB2312"/>
                <w:color w:val="000000"/>
                <w:sz w:val="21"/>
                <w:szCs w:val="21"/>
              </w:rPr>
            </w:pPr>
          </w:p>
        </w:tc>
        <w:tc>
          <w:tcPr>
            <w:tcW w:w="3737" w:type="dxa"/>
            <w:tcBorders>
              <w:tl2br w:val="nil"/>
              <w:tr2bl w:val="nil"/>
            </w:tcBorders>
            <w:tcMar>
              <w:top w:w="57" w:type="dxa"/>
              <w:left w:w="57" w:type="dxa"/>
              <w:bottom w:w="57" w:type="dxa"/>
              <w:right w:w="57" w:type="dxa"/>
            </w:tcMar>
            <w:vAlign w:val="center"/>
          </w:tcPr>
          <w:p>
            <w:pPr>
              <w:widowControl/>
              <w:adjustRightInd w:val="0"/>
              <w:snapToGrid w:val="0"/>
              <w:jc w:val="left"/>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处六千元以上一万两千元以下罚款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9" w:hRule="atLeast"/>
          <w:jc w:val="center"/>
        </w:trPr>
        <w:tc>
          <w:tcPr>
            <w:tcW w:w="421" w:type="dxa"/>
            <w:vMerge w:val="continue"/>
            <w:tcBorders>
              <w:tl2br w:val="nil"/>
              <w:tr2bl w:val="nil"/>
            </w:tcBorders>
            <w:noWrap/>
            <w:tcMar>
              <w:top w:w="57" w:type="dxa"/>
              <w:left w:w="57" w:type="dxa"/>
              <w:bottom w:w="57" w:type="dxa"/>
              <w:right w:w="57" w:type="dxa"/>
            </w:tcMar>
            <w:vAlign w:val="center"/>
          </w:tcPr>
          <w:p>
            <w:pPr>
              <w:adjustRightInd w:val="0"/>
              <w:snapToGrid w:val="0"/>
              <w:jc w:val="center"/>
              <w:rPr>
                <w:rFonts w:ascii="仿宋_GB2312" w:hAnsi="仿宋_GB2312" w:eastAsia="仿宋_GB2312" w:cs="仿宋_GB2312"/>
                <w:color w:val="000000"/>
                <w:sz w:val="21"/>
                <w:szCs w:val="21"/>
              </w:rPr>
            </w:pPr>
          </w:p>
        </w:tc>
        <w:tc>
          <w:tcPr>
            <w:tcW w:w="1098" w:type="dxa"/>
            <w:vMerge w:val="continue"/>
            <w:tcBorders>
              <w:tl2br w:val="nil"/>
              <w:tr2bl w:val="nil"/>
            </w:tcBorders>
            <w:tcMar>
              <w:top w:w="57" w:type="dxa"/>
              <w:left w:w="57" w:type="dxa"/>
              <w:bottom w:w="57" w:type="dxa"/>
              <w:right w:w="57" w:type="dxa"/>
            </w:tcMar>
            <w:vAlign w:val="center"/>
          </w:tcPr>
          <w:p>
            <w:pPr>
              <w:adjustRightInd w:val="0"/>
              <w:snapToGrid w:val="0"/>
              <w:jc w:val="left"/>
              <w:rPr>
                <w:rFonts w:ascii="仿宋_GB2312" w:hAnsi="仿宋_GB2312" w:eastAsia="仿宋_GB2312" w:cs="仿宋_GB2312"/>
                <w:color w:val="000000"/>
                <w:sz w:val="21"/>
                <w:szCs w:val="21"/>
              </w:rPr>
            </w:pPr>
          </w:p>
        </w:tc>
        <w:tc>
          <w:tcPr>
            <w:tcW w:w="3531"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730"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严重</w:t>
            </w:r>
          </w:p>
        </w:tc>
        <w:tc>
          <w:tcPr>
            <w:tcW w:w="2378"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三次以上违法</w:t>
            </w:r>
          </w:p>
        </w:tc>
        <w:tc>
          <w:tcPr>
            <w:tcW w:w="2105" w:type="dxa"/>
            <w:vMerge w:val="continue"/>
            <w:tcBorders>
              <w:tl2br w:val="nil"/>
              <w:tr2bl w:val="nil"/>
            </w:tcBorders>
            <w:tcMar>
              <w:top w:w="57" w:type="dxa"/>
              <w:left w:w="57" w:type="dxa"/>
              <w:bottom w:w="57" w:type="dxa"/>
              <w:right w:w="57" w:type="dxa"/>
            </w:tcMar>
            <w:vAlign w:val="center"/>
          </w:tcPr>
          <w:p>
            <w:pPr>
              <w:adjustRightInd w:val="0"/>
              <w:snapToGrid w:val="0"/>
              <w:jc w:val="left"/>
              <w:rPr>
                <w:rFonts w:ascii="仿宋_GB2312" w:hAnsi="仿宋_GB2312" w:eastAsia="仿宋_GB2312" w:cs="仿宋_GB2312"/>
                <w:color w:val="000000"/>
                <w:sz w:val="21"/>
                <w:szCs w:val="21"/>
              </w:rPr>
            </w:pPr>
          </w:p>
        </w:tc>
        <w:tc>
          <w:tcPr>
            <w:tcW w:w="3737" w:type="dxa"/>
            <w:tcBorders>
              <w:tl2br w:val="nil"/>
              <w:tr2bl w:val="nil"/>
            </w:tcBorders>
            <w:tcMar>
              <w:top w:w="57" w:type="dxa"/>
              <w:left w:w="57" w:type="dxa"/>
              <w:bottom w:w="57" w:type="dxa"/>
              <w:right w:w="57" w:type="dxa"/>
            </w:tcMar>
            <w:vAlign w:val="center"/>
          </w:tcPr>
          <w:p>
            <w:pPr>
              <w:widowControl/>
              <w:adjustRightInd w:val="0"/>
              <w:snapToGrid w:val="0"/>
              <w:jc w:val="left"/>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处一万两千元以上二万元以下罚款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18" w:hRule="atLeast"/>
          <w:jc w:val="center"/>
        </w:trPr>
        <w:tc>
          <w:tcPr>
            <w:tcW w:w="421" w:type="dxa"/>
            <w:vMerge w:val="restart"/>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36</w:t>
            </w:r>
          </w:p>
        </w:tc>
        <w:tc>
          <w:tcPr>
            <w:tcW w:w="1098" w:type="dxa"/>
            <w:vMerge w:val="restart"/>
            <w:tcBorders>
              <w:tl2br w:val="nil"/>
              <w:tr2bl w:val="nil"/>
            </w:tcBorders>
            <w:tcMar>
              <w:top w:w="57" w:type="dxa"/>
              <w:left w:w="57" w:type="dxa"/>
              <w:bottom w:w="57" w:type="dxa"/>
              <w:right w:w="57" w:type="dxa"/>
            </w:tcMar>
            <w:vAlign w:val="center"/>
          </w:tcPr>
          <w:p>
            <w:pPr>
              <w:widowControl/>
              <w:adjustRightInd w:val="0"/>
              <w:snapToGrid w:val="0"/>
              <w:jc w:val="left"/>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农药经营者未按规定要求购买者退回和回收剧毒、高毒农药的容器、包装物的</w:t>
            </w:r>
          </w:p>
        </w:tc>
        <w:tc>
          <w:tcPr>
            <w:tcW w:w="3531" w:type="dxa"/>
            <w:vMerge w:val="restart"/>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山东省农产品质量安全监督管理规定》第二十五条：违反本规定，农药、兽药经营者未按规定执行经营告知制度，或者未按规定要求购买者退回和回收剧毒、高毒农药的容器、包装物的，由县级以上人民政府农业、畜牧兽医主管部门按照职责分工责令限期改正；逾期不改正的，处两千元以上五千元以下罚款。</w:t>
            </w:r>
          </w:p>
        </w:tc>
        <w:tc>
          <w:tcPr>
            <w:tcW w:w="730"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轻微</w:t>
            </w:r>
          </w:p>
        </w:tc>
        <w:tc>
          <w:tcPr>
            <w:tcW w:w="2378"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初次违法</w:t>
            </w:r>
          </w:p>
        </w:tc>
        <w:tc>
          <w:tcPr>
            <w:tcW w:w="5842" w:type="dxa"/>
            <w:gridSpan w:val="2"/>
            <w:tcBorders>
              <w:tl2br w:val="nil"/>
              <w:tr2bl w:val="nil"/>
            </w:tcBorders>
            <w:tcMar>
              <w:top w:w="57" w:type="dxa"/>
              <w:left w:w="57" w:type="dxa"/>
              <w:bottom w:w="57" w:type="dxa"/>
              <w:right w:w="57" w:type="dxa"/>
            </w:tcMar>
            <w:vAlign w:val="center"/>
          </w:tcPr>
          <w:p>
            <w:pPr>
              <w:widowControl/>
              <w:adjustRightInd w:val="0"/>
              <w:snapToGrid w:val="0"/>
              <w:jc w:val="left"/>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责令限期改正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18" w:hRule="atLeast"/>
          <w:jc w:val="center"/>
        </w:trPr>
        <w:tc>
          <w:tcPr>
            <w:tcW w:w="421" w:type="dxa"/>
            <w:vMerge w:val="continue"/>
            <w:tcBorders>
              <w:tl2br w:val="nil"/>
              <w:tr2bl w:val="nil"/>
            </w:tcBorders>
            <w:tcMar>
              <w:top w:w="57" w:type="dxa"/>
              <w:left w:w="57" w:type="dxa"/>
              <w:bottom w:w="57" w:type="dxa"/>
              <w:right w:w="57" w:type="dxa"/>
            </w:tcMar>
            <w:vAlign w:val="center"/>
          </w:tcPr>
          <w:p>
            <w:pPr>
              <w:adjustRightInd w:val="0"/>
              <w:snapToGrid w:val="0"/>
              <w:jc w:val="center"/>
              <w:rPr>
                <w:rFonts w:ascii="仿宋_GB2312" w:hAnsi="仿宋_GB2312" w:eastAsia="仿宋_GB2312" w:cs="仿宋_GB2312"/>
                <w:color w:val="000000"/>
                <w:sz w:val="21"/>
                <w:szCs w:val="21"/>
              </w:rPr>
            </w:pPr>
          </w:p>
        </w:tc>
        <w:tc>
          <w:tcPr>
            <w:tcW w:w="1098" w:type="dxa"/>
            <w:vMerge w:val="continue"/>
            <w:tcBorders>
              <w:tl2br w:val="nil"/>
              <w:tr2bl w:val="nil"/>
            </w:tcBorders>
            <w:tcMar>
              <w:top w:w="57" w:type="dxa"/>
              <w:left w:w="57" w:type="dxa"/>
              <w:bottom w:w="57" w:type="dxa"/>
              <w:right w:w="57" w:type="dxa"/>
            </w:tcMar>
            <w:vAlign w:val="center"/>
          </w:tcPr>
          <w:p>
            <w:pPr>
              <w:adjustRightInd w:val="0"/>
              <w:snapToGrid w:val="0"/>
              <w:jc w:val="left"/>
              <w:rPr>
                <w:rFonts w:ascii="仿宋_GB2312" w:hAnsi="仿宋_GB2312" w:eastAsia="仿宋_GB2312" w:cs="仿宋_GB2312"/>
                <w:color w:val="000000"/>
                <w:sz w:val="21"/>
                <w:szCs w:val="21"/>
              </w:rPr>
            </w:pPr>
          </w:p>
        </w:tc>
        <w:tc>
          <w:tcPr>
            <w:tcW w:w="3531" w:type="dxa"/>
            <w:vMerge w:val="continue"/>
            <w:tcBorders>
              <w:tl2br w:val="nil"/>
              <w:tr2bl w:val="nil"/>
            </w:tcBorders>
            <w:tcMar>
              <w:top w:w="57" w:type="dxa"/>
              <w:left w:w="57" w:type="dxa"/>
              <w:bottom w:w="57" w:type="dxa"/>
              <w:right w:w="57" w:type="dxa"/>
            </w:tcMar>
            <w:vAlign w:val="center"/>
          </w:tcPr>
          <w:p>
            <w:pPr>
              <w:adjustRightInd w:val="0"/>
              <w:snapToGrid w:val="0"/>
              <w:jc w:val="left"/>
              <w:rPr>
                <w:rFonts w:ascii="仿宋_GB2312" w:hAnsi="仿宋_GB2312" w:eastAsia="仿宋_GB2312" w:cs="仿宋_GB2312"/>
                <w:color w:val="000000"/>
                <w:sz w:val="21"/>
                <w:szCs w:val="21"/>
              </w:rPr>
            </w:pPr>
          </w:p>
        </w:tc>
        <w:tc>
          <w:tcPr>
            <w:tcW w:w="730"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一般</w:t>
            </w:r>
          </w:p>
        </w:tc>
        <w:tc>
          <w:tcPr>
            <w:tcW w:w="2378"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逾期不改正</w:t>
            </w:r>
          </w:p>
        </w:tc>
        <w:tc>
          <w:tcPr>
            <w:tcW w:w="5842" w:type="dxa"/>
            <w:gridSpan w:val="2"/>
            <w:tcBorders>
              <w:tl2br w:val="nil"/>
              <w:tr2bl w:val="nil"/>
            </w:tcBorders>
            <w:tcMar>
              <w:top w:w="57" w:type="dxa"/>
              <w:left w:w="57" w:type="dxa"/>
              <w:bottom w:w="57" w:type="dxa"/>
              <w:right w:w="57" w:type="dxa"/>
            </w:tcMar>
            <w:vAlign w:val="center"/>
          </w:tcPr>
          <w:p>
            <w:pPr>
              <w:widowControl/>
              <w:adjustRightInd w:val="0"/>
              <w:snapToGrid w:val="0"/>
              <w:jc w:val="left"/>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处两千元以上五千元以下罚款</w:t>
            </w:r>
          </w:p>
        </w:tc>
      </w:tr>
    </w:tbl>
    <w:p>
      <w:pPr>
        <w:pStyle w:val="2"/>
      </w:pPr>
      <w:r>
        <w:br w:type="page"/>
      </w:r>
    </w:p>
    <w:p>
      <w:pPr>
        <w:ind w:firstLine="640" w:firstLineChars="200"/>
      </w:pPr>
      <w:r>
        <w:rPr>
          <w:rFonts w:hint="eastAsia" w:ascii="黑体" w:hAnsi="黑体" w:eastAsia="黑体" w:cs="黑体"/>
          <w:color w:val="000000"/>
          <w:kern w:val="0"/>
          <w:sz w:val="32"/>
          <w:szCs w:val="32"/>
        </w:rPr>
        <w:t>三、肥料</w:t>
      </w:r>
    </w:p>
    <w:tbl>
      <w:tblPr>
        <w:tblStyle w:val="7"/>
        <w:tblW w:w="140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21"/>
        <w:gridCol w:w="1098"/>
        <w:gridCol w:w="3531"/>
        <w:gridCol w:w="730"/>
        <w:gridCol w:w="2378"/>
        <w:gridCol w:w="2105"/>
        <w:gridCol w:w="373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blHeader/>
          <w:jc w:val="center"/>
        </w:trPr>
        <w:tc>
          <w:tcPr>
            <w:tcW w:w="421"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黑体" w:hAnsi="黑体" w:eastAsia="黑体" w:cs="黑体"/>
                <w:color w:val="000000"/>
                <w:sz w:val="24"/>
                <w:szCs w:val="24"/>
              </w:rPr>
            </w:pPr>
            <w:r>
              <w:rPr>
                <w:rFonts w:hint="eastAsia" w:ascii="黑体" w:hAnsi="黑体" w:eastAsia="黑体" w:cs="黑体"/>
                <w:color w:val="000000"/>
                <w:kern w:val="0"/>
                <w:sz w:val="24"/>
                <w:szCs w:val="24"/>
              </w:rPr>
              <w:t>序号</w:t>
            </w:r>
          </w:p>
        </w:tc>
        <w:tc>
          <w:tcPr>
            <w:tcW w:w="1098"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黑体" w:hAnsi="黑体" w:eastAsia="黑体" w:cs="黑体"/>
                <w:color w:val="000000"/>
                <w:sz w:val="24"/>
                <w:szCs w:val="24"/>
              </w:rPr>
            </w:pPr>
            <w:r>
              <w:rPr>
                <w:rFonts w:hint="eastAsia" w:ascii="黑体" w:hAnsi="黑体" w:eastAsia="黑体" w:cs="黑体"/>
                <w:color w:val="000000"/>
                <w:kern w:val="0"/>
                <w:sz w:val="24"/>
                <w:szCs w:val="24"/>
              </w:rPr>
              <w:t>违法行为</w:t>
            </w:r>
          </w:p>
        </w:tc>
        <w:tc>
          <w:tcPr>
            <w:tcW w:w="3531"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黑体" w:hAnsi="黑体" w:eastAsia="黑体" w:cs="黑体"/>
                <w:color w:val="000000"/>
                <w:sz w:val="24"/>
                <w:szCs w:val="24"/>
              </w:rPr>
            </w:pPr>
            <w:r>
              <w:rPr>
                <w:rFonts w:hint="eastAsia" w:ascii="黑体" w:hAnsi="黑体" w:eastAsia="黑体" w:cs="黑体"/>
                <w:color w:val="000000"/>
                <w:kern w:val="0"/>
                <w:sz w:val="24"/>
                <w:szCs w:val="24"/>
              </w:rPr>
              <w:t>处罚依据</w:t>
            </w:r>
          </w:p>
        </w:tc>
        <w:tc>
          <w:tcPr>
            <w:tcW w:w="730"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黑体" w:hAnsi="黑体" w:eastAsia="黑体" w:cs="黑体"/>
                <w:color w:val="000000"/>
                <w:sz w:val="24"/>
                <w:szCs w:val="24"/>
              </w:rPr>
            </w:pPr>
            <w:r>
              <w:rPr>
                <w:rFonts w:hint="eastAsia" w:ascii="黑体" w:hAnsi="黑体" w:eastAsia="黑体" w:cs="黑体"/>
                <w:color w:val="000000"/>
                <w:kern w:val="0"/>
                <w:sz w:val="24"/>
                <w:szCs w:val="24"/>
              </w:rPr>
              <w:t>违法程度</w:t>
            </w:r>
          </w:p>
        </w:tc>
        <w:tc>
          <w:tcPr>
            <w:tcW w:w="2378"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黑体" w:hAnsi="黑体" w:eastAsia="黑体" w:cs="黑体"/>
                <w:color w:val="000000"/>
                <w:sz w:val="24"/>
                <w:szCs w:val="24"/>
              </w:rPr>
            </w:pPr>
            <w:r>
              <w:rPr>
                <w:rFonts w:hint="eastAsia" w:ascii="黑体" w:hAnsi="黑体" w:eastAsia="黑体" w:cs="黑体"/>
                <w:color w:val="000000"/>
                <w:kern w:val="0"/>
                <w:sz w:val="24"/>
                <w:szCs w:val="24"/>
              </w:rPr>
              <w:t>违法情节</w:t>
            </w:r>
          </w:p>
        </w:tc>
        <w:tc>
          <w:tcPr>
            <w:tcW w:w="5842" w:type="dxa"/>
            <w:gridSpan w:val="2"/>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黑体" w:hAnsi="黑体" w:eastAsia="黑体" w:cs="黑体"/>
                <w:color w:val="000000"/>
                <w:sz w:val="24"/>
                <w:szCs w:val="24"/>
              </w:rPr>
            </w:pPr>
            <w:r>
              <w:rPr>
                <w:rFonts w:hint="eastAsia" w:ascii="黑体" w:hAnsi="黑体" w:eastAsia="黑体" w:cs="黑体"/>
                <w:color w:val="000000"/>
                <w:kern w:val="0"/>
                <w:sz w:val="24"/>
                <w:szCs w:val="24"/>
              </w:rPr>
              <w:t>裁量标准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3" w:hRule="atLeast"/>
          <w:jc w:val="center"/>
        </w:trPr>
        <w:tc>
          <w:tcPr>
            <w:tcW w:w="421" w:type="dxa"/>
            <w:vMerge w:val="restart"/>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1</w:t>
            </w:r>
          </w:p>
        </w:tc>
        <w:tc>
          <w:tcPr>
            <w:tcW w:w="1098" w:type="dxa"/>
            <w:vMerge w:val="restart"/>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生产、销售未取得登记证的肥料产品的　</w:t>
            </w:r>
          </w:p>
        </w:tc>
        <w:tc>
          <w:tcPr>
            <w:tcW w:w="3531" w:type="dxa"/>
            <w:vMerge w:val="restart"/>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《肥料登记管理办法》第二十六条第（一）项，有下列情形之一的，由县级以上农业行政主管部门给予警告，并处违法所得3倍以下罚款，但最高不得超过30000元；没有违法所得的，处10000元以下罚款：</w:t>
            </w:r>
            <w:r>
              <w:rPr>
                <w:rFonts w:hint="eastAsia" w:ascii="仿宋_GB2312" w:hAnsi="仿宋_GB2312" w:eastAsia="仿宋_GB2312" w:cs="仿宋_GB2312"/>
                <w:color w:val="000000"/>
                <w:kern w:val="0"/>
                <w:sz w:val="21"/>
                <w:szCs w:val="21"/>
              </w:rPr>
              <w:br w:type="textWrapping"/>
            </w:r>
            <w:r>
              <w:rPr>
                <w:rFonts w:hint="eastAsia" w:ascii="仿宋_GB2312" w:hAnsi="仿宋_GB2312" w:eastAsia="仿宋_GB2312" w:cs="仿宋_GB2312"/>
                <w:color w:val="000000"/>
                <w:kern w:val="0"/>
                <w:sz w:val="21"/>
                <w:szCs w:val="21"/>
              </w:rPr>
              <w:t xml:space="preserve">    （一）生产、销售未取得登记证的肥料产品。</w:t>
            </w:r>
            <w:r>
              <w:rPr>
                <w:rFonts w:hint="eastAsia" w:ascii="仿宋_GB2312" w:hAnsi="仿宋_GB2312" w:eastAsia="仿宋_GB2312" w:cs="仿宋_GB2312"/>
                <w:color w:val="000000"/>
                <w:kern w:val="0"/>
                <w:sz w:val="21"/>
                <w:szCs w:val="21"/>
              </w:rPr>
              <w:br w:type="textWrapping"/>
            </w:r>
            <w:r>
              <w:rPr>
                <w:rFonts w:hint="eastAsia" w:ascii="仿宋_GB2312" w:hAnsi="仿宋_GB2312" w:eastAsia="仿宋_GB2312" w:cs="仿宋_GB2312"/>
                <w:color w:val="000000"/>
                <w:kern w:val="0"/>
                <w:sz w:val="21"/>
                <w:szCs w:val="21"/>
              </w:rPr>
              <w:t>《行政处罚法》第二十八条第二款当事人有违法所得，除依法应当退赔的外，应当予以没收。违法所得是指实施违法行为所取得的款项。法律、行政法规、部门规章对违法所得的计算另有规定的，从其规定。</w:t>
            </w:r>
          </w:p>
        </w:tc>
        <w:tc>
          <w:tcPr>
            <w:tcW w:w="730"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较轻</w:t>
            </w:r>
          </w:p>
        </w:tc>
        <w:tc>
          <w:tcPr>
            <w:tcW w:w="2378"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 xml:space="preserve">生产、销售肥料五吨以下（含五吨）的，或货值金额一万元以下的 </w:t>
            </w:r>
          </w:p>
        </w:tc>
        <w:tc>
          <w:tcPr>
            <w:tcW w:w="2105" w:type="dxa"/>
            <w:vMerge w:val="restart"/>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警告；没收违法所得</w:t>
            </w:r>
          </w:p>
        </w:tc>
        <w:tc>
          <w:tcPr>
            <w:tcW w:w="3737"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有违法所得的，并处违法所得一倍以下罚款，但最高不得超过一万元；没有违法所得的，处四千元以下罚款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421" w:type="dxa"/>
            <w:vMerge w:val="continue"/>
            <w:tcBorders>
              <w:tl2br w:val="nil"/>
              <w:tr2bl w:val="nil"/>
            </w:tcBorders>
            <w:tcMar>
              <w:top w:w="57" w:type="dxa"/>
              <w:left w:w="57" w:type="dxa"/>
              <w:bottom w:w="57" w:type="dxa"/>
              <w:right w:w="57" w:type="dxa"/>
            </w:tcMar>
            <w:vAlign w:val="center"/>
          </w:tcPr>
          <w:p>
            <w:pPr>
              <w:adjustRightInd w:val="0"/>
              <w:snapToGrid w:val="0"/>
              <w:jc w:val="center"/>
              <w:rPr>
                <w:rFonts w:ascii="仿宋_GB2312" w:hAnsi="仿宋_GB2312" w:eastAsia="仿宋_GB2312" w:cs="仿宋_GB2312"/>
                <w:color w:val="000000"/>
                <w:sz w:val="21"/>
                <w:szCs w:val="21"/>
              </w:rPr>
            </w:pPr>
          </w:p>
        </w:tc>
        <w:tc>
          <w:tcPr>
            <w:tcW w:w="1098"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3531"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730"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一般</w:t>
            </w:r>
          </w:p>
        </w:tc>
        <w:tc>
          <w:tcPr>
            <w:tcW w:w="2378"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生产、销售肥料五吨以上十吨（含十吨）以下的，或货值金额一万元以上三万元以下的</w:t>
            </w:r>
          </w:p>
        </w:tc>
        <w:tc>
          <w:tcPr>
            <w:tcW w:w="2105"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3737"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有违法所得的，并处违法所得一倍以上二倍以下罚款，但最高不得超过二万元；没有违法所得的，处四千元以上七千元以下罚款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1" w:hRule="atLeast"/>
          <w:jc w:val="center"/>
        </w:trPr>
        <w:tc>
          <w:tcPr>
            <w:tcW w:w="421" w:type="dxa"/>
            <w:vMerge w:val="continue"/>
            <w:tcBorders>
              <w:tl2br w:val="nil"/>
              <w:tr2bl w:val="nil"/>
            </w:tcBorders>
            <w:tcMar>
              <w:top w:w="57" w:type="dxa"/>
              <w:left w:w="57" w:type="dxa"/>
              <w:bottom w:w="57" w:type="dxa"/>
              <w:right w:w="57" w:type="dxa"/>
            </w:tcMar>
            <w:vAlign w:val="center"/>
          </w:tcPr>
          <w:p>
            <w:pPr>
              <w:adjustRightInd w:val="0"/>
              <w:snapToGrid w:val="0"/>
              <w:jc w:val="center"/>
              <w:rPr>
                <w:rFonts w:ascii="仿宋_GB2312" w:hAnsi="仿宋_GB2312" w:eastAsia="仿宋_GB2312" w:cs="仿宋_GB2312"/>
                <w:color w:val="000000"/>
                <w:sz w:val="21"/>
                <w:szCs w:val="21"/>
              </w:rPr>
            </w:pPr>
          </w:p>
        </w:tc>
        <w:tc>
          <w:tcPr>
            <w:tcW w:w="1098"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3531"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730"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严重</w:t>
            </w:r>
          </w:p>
        </w:tc>
        <w:tc>
          <w:tcPr>
            <w:tcW w:w="2378"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生产、销售肥料十吨以上，或货值金额三万元以上的</w:t>
            </w:r>
          </w:p>
        </w:tc>
        <w:tc>
          <w:tcPr>
            <w:tcW w:w="2105"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3737"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有违法所得的，并处违法所得二倍以上三倍以下的罚款，但最高不得超过三万元；没有违法所得的，处七千元以上一万元以下的罚款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82" w:hRule="atLeast"/>
          <w:jc w:val="center"/>
        </w:trPr>
        <w:tc>
          <w:tcPr>
            <w:tcW w:w="421" w:type="dxa"/>
            <w:vMerge w:val="restart"/>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2</w:t>
            </w:r>
          </w:p>
        </w:tc>
        <w:tc>
          <w:tcPr>
            <w:tcW w:w="1098" w:type="dxa"/>
            <w:vMerge w:val="restart"/>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假冒、伪造肥料登记证、登记证号的</w:t>
            </w:r>
          </w:p>
        </w:tc>
        <w:tc>
          <w:tcPr>
            <w:tcW w:w="3531" w:type="dxa"/>
            <w:vMerge w:val="restart"/>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《肥料登记管理办法》第二十六条第（二）项，有下列情形之一的，由县级以上农业行政主管部门给予警告，并处违法所得3倍以下罚款，但最高不得超过30000元；没有违法所得的，处10000元以下罚款：</w:t>
            </w:r>
            <w:r>
              <w:rPr>
                <w:rFonts w:hint="eastAsia" w:ascii="仿宋_GB2312" w:hAnsi="仿宋_GB2312" w:eastAsia="仿宋_GB2312" w:cs="仿宋_GB2312"/>
                <w:color w:val="000000"/>
                <w:kern w:val="0"/>
                <w:sz w:val="21"/>
                <w:szCs w:val="21"/>
              </w:rPr>
              <w:br w:type="textWrapping"/>
            </w:r>
            <w:r>
              <w:rPr>
                <w:rFonts w:hint="eastAsia" w:ascii="仿宋_GB2312" w:hAnsi="仿宋_GB2312" w:eastAsia="仿宋_GB2312" w:cs="仿宋_GB2312"/>
                <w:color w:val="000000"/>
                <w:kern w:val="0"/>
                <w:sz w:val="21"/>
                <w:szCs w:val="21"/>
              </w:rPr>
              <w:t xml:space="preserve">    （二）假冒、伪造肥料登记证、登记证号的。</w:t>
            </w:r>
            <w:r>
              <w:rPr>
                <w:rFonts w:hint="eastAsia" w:ascii="仿宋_GB2312" w:hAnsi="仿宋_GB2312" w:eastAsia="仿宋_GB2312" w:cs="仿宋_GB2312"/>
                <w:color w:val="000000"/>
                <w:kern w:val="0"/>
                <w:sz w:val="21"/>
                <w:szCs w:val="21"/>
              </w:rPr>
              <w:br w:type="textWrapping"/>
            </w:r>
            <w:r>
              <w:rPr>
                <w:rFonts w:hint="eastAsia" w:ascii="仿宋_GB2312" w:hAnsi="仿宋_GB2312" w:eastAsia="仿宋_GB2312" w:cs="仿宋_GB2312"/>
                <w:color w:val="000000"/>
                <w:kern w:val="0"/>
                <w:sz w:val="21"/>
                <w:szCs w:val="21"/>
              </w:rPr>
              <w:t>《行政处罚法》第二十八条第二款当事人有违法所得，除依法应当退赔的外，应当予以没收。违法所得是指实施违法行为所取得的款项。法律、行政法规、部门规章对违法所得的计算另有规定的，从其规定。</w:t>
            </w:r>
          </w:p>
        </w:tc>
        <w:tc>
          <w:tcPr>
            <w:tcW w:w="730"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较轻</w:t>
            </w:r>
          </w:p>
        </w:tc>
        <w:tc>
          <w:tcPr>
            <w:tcW w:w="2378"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 xml:space="preserve">生产、销售肥料五吨以下（含五吨）的，或货值金额一万元以下的 </w:t>
            </w:r>
          </w:p>
        </w:tc>
        <w:tc>
          <w:tcPr>
            <w:tcW w:w="2105" w:type="dxa"/>
            <w:vMerge w:val="restart"/>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警告；没收违法所得</w:t>
            </w:r>
          </w:p>
        </w:tc>
        <w:tc>
          <w:tcPr>
            <w:tcW w:w="3737"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有违法所得的，并处违法所得一倍以下罚款，但最高不得超过一万元；没有违法所得的，处四千元以下罚款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1" w:hRule="atLeast"/>
          <w:jc w:val="center"/>
        </w:trPr>
        <w:tc>
          <w:tcPr>
            <w:tcW w:w="421" w:type="dxa"/>
            <w:vMerge w:val="continue"/>
            <w:tcBorders>
              <w:tl2br w:val="nil"/>
              <w:tr2bl w:val="nil"/>
            </w:tcBorders>
            <w:tcMar>
              <w:top w:w="57" w:type="dxa"/>
              <w:left w:w="57" w:type="dxa"/>
              <w:bottom w:w="57" w:type="dxa"/>
              <w:right w:w="57" w:type="dxa"/>
            </w:tcMar>
            <w:vAlign w:val="center"/>
          </w:tcPr>
          <w:p>
            <w:pPr>
              <w:adjustRightInd w:val="0"/>
              <w:snapToGrid w:val="0"/>
              <w:jc w:val="center"/>
              <w:rPr>
                <w:rFonts w:ascii="仿宋_GB2312" w:hAnsi="仿宋_GB2312" w:eastAsia="仿宋_GB2312" w:cs="仿宋_GB2312"/>
                <w:color w:val="000000"/>
                <w:sz w:val="21"/>
                <w:szCs w:val="21"/>
              </w:rPr>
            </w:pPr>
          </w:p>
        </w:tc>
        <w:tc>
          <w:tcPr>
            <w:tcW w:w="1098"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3531"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730"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一般</w:t>
            </w:r>
          </w:p>
        </w:tc>
        <w:tc>
          <w:tcPr>
            <w:tcW w:w="2378"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生产、销售肥料五吨以上十吨（含十吨）以下的，或货值金额一万元以上三万元以下的</w:t>
            </w:r>
          </w:p>
        </w:tc>
        <w:tc>
          <w:tcPr>
            <w:tcW w:w="2105"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3737"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有违法所得的，并处违法所得一倍以上二倍以下罚款，但最高不得超过二万元；没有违法所得的，处四千元以上七千元以下罚款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421" w:type="dxa"/>
            <w:vMerge w:val="continue"/>
            <w:tcBorders>
              <w:tl2br w:val="nil"/>
              <w:tr2bl w:val="nil"/>
            </w:tcBorders>
            <w:tcMar>
              <w:top w:w="57" w:type="dxa"/>
              <w:left w:w="57" w:type="dxa"/>
              <w:bottom w:w="57" w:type="dxa"/>
              <w:right w:w="57" w:type="dxa"/>
            </w:tcMar>
            <w:vAlign w:val="center"/>
          </w:tcPr>
          <w:p>
            <w:pPr>
              <w:adjustRightInd w:val="0"/>
              <w:snapToGrid w:val="0"/>
              <w:jc w:val="center"/>
              <w:rPr>
                <w:rFonts w:ascii="仿宋_GB2312" w:hAnsi="仿宋_GB2312" w:eastAsia="仿宋_GB2312" w:cs="仿宋_GB2312"/>
                <w:color w:val="000000"/>
                <w:sz w:val="21"/>
                <w:szCs w:val="21"/>
              </w:rPr>
            </w:pPr>
          </w:p>
        </w:tc>
        <w:tc>
          <w:tcPr>
            <w:tcW w:w="1098"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3531"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730"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严重</w:t>
            </w:r>
          </w:p>
        </w:tc>
        <w:tc>
          <w:tcPr>
            <w:tcW w:w="2378"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生产、销售肥料十吨以上，或货值金额三万元以上的</w:t>
            </w:r>
          </w:p>
        </w:tc>
        <w:tc>
          <w:tcPr>
            <w:tcW w:w="2105"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3737"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有违法所得的，并处违法所得二倍以上三倍以下的罚款，但最高不得超过三万元；没有违法所得的，处七千元以上一万元以下的罚款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8" w:hRule="atLeast"/>
          <w:jc w:val="center"/>
        </w:trPr>
        <w:tc>
          <w:tcPr>
            <w:tcW w:w="421" w:type="dxa"/>
            <w:vMerge w:val="restart"/>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3</w:t>
            </w:r>
          </w:p>
        </w:tc>
        <w:tc>
          <w:tcPr>
            <w:tcW w:w="1098" w:type="dxa"/>
            <w:vMerge w:val="restart"/>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生产、销售的肥料产品有效成分或含量与登记批准的内容不符的</w:t>
            </w:r>
          </w:p>
        </w:tc>
        <w:tc>
          <w:tcPr>
            <w:tcW w:w="3531" w:type="dxa"/>
            <w:vMerge w:val="restart"/>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《肥料登记管理办法》第二十六条第（三）项，有下列情形之一的，由县级以上农业行政主管部门给予警告，并处违法所得3倍以下罚款，但最高不得超过30000元；没有违法所得的，处10000元以下罚款：</w:t>
            </w:r>
            <w:r>
              <w:rPr>
                <w:rFonts w:hint="eastAsia" w:ascii="仿宋_GB2312" w:hAnsi="仿宋_GB2312" w:eastAsia="仿宋_GB2312" w:cs="仿宋_GB2312"/>
                <w:color w:val="000000"/>
                <w:kern w:val="0"/>
                <w:sz w:val="21"/>
                <w:szCs w:val="21"/>
              </w:rPr>
              <w:br w:type="textWrapping"/>
            </w:r>
            <w:r>
              <w:rPr>
                <w:rFonts w:hint="eastAsia" w:ascii="仿宋_GB2312" w:hAnsi="仿宋_GB2312" w:eastAsia="仿宋_GB2312" w:cs="仿宋_GB2312"/>
                <w:color w:val="000000"/>
                <w:kern w:val="0"/>
                <w:sz w:val="21"/>
                <w:szCs w:val="21"/>
              </w:rPr>
              <w:t xml:space="preserve">    （三）生产、销售的肥料产品有效成分或含量与登记批准的内容不符的。</w:t>
            </w:r>
            <w:r>
              <w:rPr>
                <w:rFonts w:hint="eastAsia" w:ascii="仿宋_GB2312" w:hAnsi="仿宋_GB2312" w:eastAsia="仿宋_GB2312" w:cs="仿宋_GB2312"/>
                <w:color w:val="000000"/>
                <w:kern w:val="0"/>
                <w:sz w:val="21"/>
                <w:szCs w:val="21"/>
              </w:rPr>
              <w:br w:type="textWrapping"/>
            </w:r>
            <w:r>
              <w:rPr>
                <w:rFonts w:hint="eastAsia" w:ascii="仿宋_GB2312" w:hAnsi="仿宋_GB2312" w:eastAsia="仿宋_GB2312" w:cs="仿宋_GB2312"/>
                <w:color w:val="000000"/>
                <w:kern w:val="0"/>
                <w:sz w:val="21"/>
                <w:szCs w:val="21"/>
              </w:rPr>
              <w:t xml:space="preserve">    《行政处罚法》第二十八条第二款当事人有违法所得，除依法应当退赔的外，应当予以没收。违法所得是指实施违法行为所取得的款项。法律、行政法规、部门规章对违法所得的计算另有规定的，从其规定。</w:t>
            </w:r>
          </w:p>
        </w:tc>
        <w:tc>
          <w:tcPr>
            <w:tcW w:w="730"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较轻</w:t>
            </w:r>
          </w:p>
        </w:tc>
        <w:tc>
          <w:tcPr>
            <w:tcW w:w="2378"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 xml:space="preserve">生产、销售肥料五吨以下（含五吨）的，或货值金额一万元以下的 </w:t>
            </w:r>
          </w:p>
        </w:tc>
        <w:tc>
          <w:tcPr>
            <w:tcW w:w="2105" w:type="dxa"/>
            <w:vMerge w:val="restart"/>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警告；没收违法所得</w:t>
            </w:r>
          </w:p>
        </w:tc>
        <w:tc>
          <w:tcPr>
            <w:tcW w:w="3737"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有违法所得的，并处违法所得一倍以下罚款，但最高不得超过一万元；没有违法所得的，处四千元以下罚款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4" w:hRule="atLeast"/>
          <w:jc w:val="center"/>
        </w:trPr>
        <w:tc>
          <w:tcPr>
            <w:tcW w:w="421" w:type="dxa"/>
            <w:vMerge w:val="continue"/>
            <w:tcBorders>
              <w:tl2br w:val="nil"/>
              <w:tr2bl w:val="nil"/>
            </w:tcBorders>
            <w:tcMar>
              <w:top w:w="57" w:type="dxa"/>
              <w:left w:w="57" w:type="dxa"/>
              <w:bottom w:w="57" w:type="dxa"/>
              <w:right w:w="57" w:type="dxa"/>
            </w:tcMar>
            <w:vAlign w:val="center"/>
          </w:tcPr>
          <w:p>
            <w:pPr>
              <w:adjustRightInd w:val="0"/>
              <w:snapToGrid w:val="0"/>
              <w:jc w:val="center"/>
              <w:rPr>
                <w:rFonts w:ascii="仿宋_GB2312" w:hAnsi="仿宋_GB2312" w:eastAsia="仿宋_GB2312" w:cs="仿宋_GB2312"/>
                <w:color w:val="000000"/>
                <w:sz w:val="24"/>
                <w:szCs w:val="24"/>
              </w:rPr>
            </w:pPr>
          </w:p>
        </w:tc>
        <w:tc>
          <w:tcPr>
            <w:tcW w:w="1098"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3531"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730"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一般</w:t>
            </w:r>
          </w:p>
        </w:tc>
        <w:tc>
          <w:tcPr>
            <w:tcW w:w="2378"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生产、销售肥料五吨以上十吨（含十吨）以下的，或货值金额一万元以上三万元以下的</w:t>
            </w:r>
          </w:p>
        </w:tc>
        <w:tc>
          <w:tcPr>
            <w:tcW w:w="2105"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3737"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有违法所得的，并处违法所得一倍以上二倍以下罚款，但最高不得超过二万元；没有违法所得的，处四千元以上七千元以下罚款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7" w:hRule="atLeast"/>
          <w:jc w:val="center"/>
        </w:trPr>
        <w:tc>
          <w:tcPr>
            <w:tcW w:w="421" w:type="dxa"/>
            <w:vMerge w:val="continue"/>
            <w:tcBorders>
              <w:tl2br w:val="nil"/>
              <w:tr2bl w:val="nil"/>
            </w:tcBorders>
            <w:tcMar>
              <w:top w:w="57" w:type="dxa"/>
              <w:left w:w="57" w:type="dxa"/>
              <w:bottom w:w="57" w:type="dxa"/>
              <w:right w:w="57" w:type="dxa"/>
            </w:tcMar>
            <w:vAlign w:val="center"/>
          </w:tcPr>
          <w:p>
            <w:pPr>
              <w:adjustRightInd w:val="0"/>
              <w:snapToGrid w:val="0"/>
              <w:jc w:val="center"/>
              <w:rPr>
                <w:rFonts w:ascii="仿宋_GB2312" w:hAnsi="仿宋_GB2312" w:eastAsia="仿宋_GB2312" w:cs="仿宋_GB2312"/>
                <w:color w:val="000000"/>
                <w:sz w:val="24"/>
                <w:szCs w:val="24"/>
              </w:rPr>
            </w:pPr>
          </w:p>
        </w:tc>
        <w:tc>
          <w:tcPr>
            <w:tcW w:w="1098"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3531"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730"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严重</w:t>
            </w:r>
          </w:p>
        </w:tc>
        <w:tc>
          <w:tcPr>
            <w:tcW w:w="2378"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生产、销售肥料十吨以上，或货值金额三万元以上的</w:t>
            </w:r>
          </w:p>
        </w:tc>
        <w:tc>
          <w:tcPr>
            <w:tcW w:w="2105"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3737"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有违法所得的，并处违法所得二倍以上三倍以下的罚款，但最高不得超过三万元；没有违法所得的，处七千元以上一万元以下的罚款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64" w:hRule="atLeast"/>
          <w:jc w:val="center"/>
        </w:trPr>
        <w:tc>
          <w:tcPr>
            <w:tcW w:w="421" w:type="dxa"/>
            <w:vMerge w:val="restart"/>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4</w:t>
            </w:r>
          </w:p>
        </w:tc>
        <w:tc>
          <w:tcPr>
            <w:tcW w:w="1098" w:type="dxa"/>
            <w:vMerge w:val="restart"/>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转让肥料登记证或登记证号的</w:t>
            </w:r>
          </w:p>
        </w:tc>
        <w:tc>
          <w:tcPr>
            <w:tcW w:w="3531" w:type="dxa"/>
            <w:vMerge w:val="restart"/>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《肥料登记管理办法》第二十七条第（一）项，有下列情形之一的，由县级以上农业行政主管部门给予警告，并处违法所得3倍以下罚款，但最高不得超过20000元；没有违法所得的，处10000元以下罚款：</w:t>
            </w:r>
            <w:r>
              <w:rPr>
                <w:rFonts w:hint="eastAsia" w:ascii="仿宋_GB2312" w:hAnsi="仿宋_GB2312" w:eastAsia="仿宋_GB2312" w:cs="仿宋_GB2312"/>
                <w:color w:val="000000"/>
                <w:kern w:val="0"/>
                <w:sz w:val="21"/>
                <w:szCs w:val="21"/>
              </w:rPr>
              <w:br w:type="textWrapping"/>
            </w:r>
            <w:r>
              <w:rPr>
                <w:rFonts w:hint="eastAsia" w:ascii="仿宋_GB2312" w:hAnsi="仿宋_GB2312" w:eastAsia="仿宋_GB2312" w:cs="仿宋_GB2312"/>
                <w:color w:val="000000"/>
                <w:kern w:val="0"/>
                <w:sz w:val="21"/>
                <w:szCs w:val="21"/>
              </w:rPr>
              <w:t xml:space="preserve">    （一）转让肥料登记证或登记证号的。</w:t>
            </w:r>
            <w:r>
              <w:rPr>
                <w:rFonts w:hint="eastAsia" w:ascii="仿宋_GB2312" w:hAnsi="仿宋_GB2312" w:eastAsia="仿宋_GB2312" w:cs="仿宋_GB2312"/>
                <w:color w:val="000000"/>
                <w:kern w:val="0"/>
                <w:sz w:val="21"/>
                <w:szCs w:val="21"/>
              </w:rPr>
              <w:br w:type="textWrapping"/>
            </w:r>
            <w:r>
              <w:rPr>
                <w:rFonts w:hint="eastAsia" w:ascii="仿宋_GB2312" w:hAnsi="仿宋_GB2312" w:eastAsia="仿宋_GB2312" w:cs="仿宋_GB2312"/>
                <w:color w:val="000000"/>
                <w:kern w:val="0"/>
                <w:sz w:val="21"/>
                <w:szCs w:val="21"/>
              </w:rPr>
              <w:t>《行政处罚法》第二十八条第二款当事人有违法所得，除依法应当退赔的外，应当予以没收。违法所得是指实施违法行为所取得的款项。法律、行政法规、部门规章对违法所得的计算另有规定的，从其规定。</w:t>
            </w:r>
          </w:p>
        </w:tc>
        <w:tc>
          <w:tcPr>
            <w:tcW w:w="730"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较轻</w:t>
            </w:r>
          </w:p>
        </w:tc>
        <w:tc>
          <w:tcPr>
            <w:tcW w:w="2378"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 xml:space="preserve">生产、销售肥料五吨以下（含五吨）的，或货值金额一万元以下的 </w:t>
            </w:r>
          </w:p>
        </w:tc>
        <w:tc>
          <w:tcPr>
            <w:tcW w:w="2105" w:type="dxa"/>
            <w:vMerge w:val="restart"/>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警告；没收违法所得</w:t>
            </w:r>
          </w:p>
        </w:tc>
        <w:tc>
          <w:tcPr>
            <w:tcW w:w="3737"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有违法所得的，并处违法所得一倍以下罚款，但最高不得超过一万元；没有违法所得的，处二千元以下罚款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1" w:hRule="atLeast"/>
          <w:jc w:val="center"/>
        </w:trPr>
        <w:tc>
          <w:tcPr>
            <w:tcW w:w="421" w:type="dxa"/>
            <w:vMerge w:val="continue"/>
            <w:tcBorders>
              <w:tl2br w:val="nil"/>
              <w:tr2bl w:val="nil"/>
            </w:tcBorders>
            <w:tcMar>
              <w:top w:w="57" w:type="dxa"/>
              <w:left w:w="57" w:type="dxa"/>
              <w:bottom w:w="57" w:type="dxa"/>
              <w:right w:w="57" w:type="dxa"/>
            </w:tcMar>
            <w:vAlign w:val="center"/>
          </w:tcPr>
          <w:p>
            <w:pPr>
              <w:adjustRightInd w:val="0"/>
              <w:snapToGrid w:val="0"/>
              <w:jc w:val="center"/>
              <w:rPr>
                <w:rFonts w:ascii="仿宋_GB2312" w:hAnsi="仿宋_GB2312" w:eastAsia="仿宋_GB2312" w:cs="仿宋_GB2312"/>
                <w:color w:val="000000"/>
                <w:sz w:val="24"/>
                <w:szCs w:val="24"/>
              </w:rPr>
            </w:pPr>
          </w:p>
        </w:tc>
        <w:tc>
          <w:tcPr>
            <w:tcW w:w="1098"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3531"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730"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一般</w:t>
            </w:r>
          </w:p>
        </w:tc>
        <w:tc>
          <w:tcPr>
            <w:tcW w:w="2378"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生产、销售肥料五吨以上十吨（含十吨）以下的，或货值金额一万元以上三万元以下的</w:t>
            </w:r>
          </w:p>
        </w:tc>
        <w:tc>
          <w:tcPr>
            <w:tcW w:w="2105"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3737"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有违法所得的，并处违法所得一倍以上二倍以下罚款，但最高不得超过一万五千元；没有违法所得的，处二千元以上五千元以下罚款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4" w:hRule="atLeast"/>
          <w:jc w:val="center"/>
        </w:trPr>
        <w:tc>
          <w:tcPr>
            <w:tcW w:w="421" w:type="dxa"/>
            <w:vMerge w:val="continue"/>
            <w:tcBorders>
              <w:tl2br w:val="nil"/>
              <w:tr2bl w:val="nil"/>
            </w:tcBorders>
            <w:tcMar>
              <w:top w:w="57" w:type="dxa"/>
              <w:left w:w="57" w:type="dxa"/>
              <w:bottom w:w="57" w:type="dxa"/>
              <w:right w:w="57" w:type="dxa"/>
            </w:tcMar>
            <w:vAlign w:val="center"/>
          </w:tcPr>
          <w:p>
            <w:pPr>
              <w:adjustRightInd w:val="0"/>
              <w:snapToGrid w:val="0"/>
              <w:jc w:val="center"/>
              <w:rPr>
                <w:rFonts w:ascii="仿宋_GB2312" w:hAnsi="仿宋_GB2312" w:eastAsia="仿宋_GB2312" w:cs="仿宋_GB2312"/>
                <w:color w:val="000000"/>
                <w:sz w:val="24"/>
                <w:szCs w:val="24"/>
              </w:rPr>
            </w:pPr>
          </w:p>
        </w:tc>
        <w:tc>
          <w:tcPr>
            <w:tcW w:w="1098"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3531"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730"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严重</w:t>
            </w:r>
          </w:p>
        </w:tc>
        <w:tc>
          <w:tcPr>
            <w:tcW w:w="2378"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生产、销售肥料十吨以上，或货值金额三万元以上的</w:t>
            </w:r>
          </w:p>
        </w:tc>
        <w:tc>
          <w:tcPr>
            <w:tcW w:w="2105"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3737"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有违法所得的，并处违法所得二倍以上三倍以下的罚款，但最高不得超过二万元；没有违法所得的，处五千元以上一万元以下的罚款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82" w:hRule="atLeast"/>
          <w:jc w:val="center"/>
        </w:trPr>
        <w:tc>
          <w:tcPr>
            <w:tcW w:w="421" w:type="dxa"/>
            <w:vMerge w:val="restart"/>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5</w:t>
            </w:r>
          </w:p>
        </w:tc>
        <w:tc>
          <w:tcPr>
            <w:tcW w:w="1098" w:type="dxa"/>
            <w:vMerge w:val="restart"/>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登记证有效期满未经批准续展登记而继续生产该肥料产品的</w:t>
            </w:r>
          </w:p>
        </w:tc>
        <w:tc>
          <w:tcPr>
            <w:tcW w:w="3531" w:type="dxa"/>
            <w:vMerge w:val="restart"/>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《肥料登记管理办法》第二十七条第（二）项，有下列情形之一的，由县级以上农业行政主管部门给予警告，并处违法所得3倍以下罚款，但最高不得超过20000元；没有违法所得的，处10000元以下罚款：</w:t>
            </w:r>
            <w:r>
              <w:rPr>
                <w:rFonts w:hint="eastAsia" w:ascii="仿宋_GB2312" w:hAnsi="仿宋_GB2312" w:eastAsia="仿宋_GB2312" w:cs="仿宋_GB2312"/>
                <w:color w:val="000000"/>
                <w:kern w:val="0"/>
                <w:sz w:val="21"/>
                <w:szCs w:val="21"/>
              </w:rPr>
              <w:br w:type="textWrapping"/>
            </w:r>
            <w:r>
              <w:rPr>
                <w:rFonts w:hint="eastAsia" w:ascii="仿宋_GB2312" w:hAnsi="仿宋_GB2312" w:eastAsia="仿宋_GB2312" w:cs="仿宋_GB2312"/>
                <w:color w:val="000000"/>
                <w:kern w:val="0"/>
                <w:sz w:val="21"/>
                <w:szCs w:val="21"/>
              </w:rPr>
              <w:t xml:space="preserve">    （二）登记证有效期满未经批准续展登记而继续生产该肥料产品的。</w:t>
            </w:r>
            <w:r>
              <w:rPr>
                <w:rFonts w:hint="eastAsia" w:ascii="仿宋_GB2312" w:hAnsi="仿宋_GB2312" w:eastAsia="仿宋_GB2312" w:cs="仿宋_GB2312"/>
                <w:color w:val="000000"/>
                <w:kern w:val="0"/>
                <w:sz w:val="21"/>
                <w:szCs w:val="21"/>
              </w:rPr>
              <w:br w:type="textWrapping"/>
            </w:r>
            <w:r>
              <w:rPr>
                <w:rFonts w:hint="eastAsia" w:ascii="仿宋_GB2312" w:hAnsi="仿宋_GB2312" w:eastAsia="仿宋_GB2312" w:cs="仿宋_GB2312"/>
                <w:color w:val="000000"/>
                <w:kern w:val="0"/>
                <w:sz w:val="21"/>
                <w:szCs w:val="21"/>
              </w:rPr>
              <w:t>《行政处罚法》第二十八条第二款当事人有违法所得，除依法应当退赔的外，应当予以没收。违法所得是指实施违法行为所取得的款项。法律、行政法规、部门规章对违法所得的计算另有规定的，从其规定。</w:t>
            </w:r>
          </w:p>
        </w:tc>
        <w:tc>
          <w:tcPr>
            <w:tcW w:w="730"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较轻</w:t>
            </w:r>
          </w:p>
        </w:tc>
        <w:tc>
          <w:tcPr>
            <w:tcW w:w="2378"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 xml:space="preserve">生产、销售肥料五吨以下（含五吨）的，或货值金额一万元以下的 </w:t>
            </w:r>
          </w:p>
        </w:tc>
        <w:tc>
          <w:tcPr>
            <w:tcW w:w="2105" w:type="dxa"/>
            <w:vMerge w:val="restart"/>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警告；没收违法所得</w:t>
            </w:r>
          </w:p>
        </w:tc>
        <w:tc>
          <w:tcPr>
            <w:tcW w:w="3737"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有违法所得的，并处违法所得一倍以下罚款，但最高不得超过一万元；没有违法所得的，处二千元以下罚款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7" w:hRule="atLeast"/>
          <w:jc w:val="center"/>
        </w:trPr>
        <w:tc>
          <w:tcPr>
            <w:tcW w:w="421" w:type="dxa"/>
            <w:vMerge w:val="continue"/>
            <w:tcBorders>
              <w:tl2br w:val="nil"/>
              <w:tr2bl w:val="nil"/>
            </w:tcBorders>
            <w:tcMar>
              <w:top w:w="57" w:type="dxa"/>
              <w:left w:w="57" w:type="dxa"/>
              <w:bottom w:w="57" w:type="dxa"/>
              <w:right w:w="57" w:type="dxa"/>
            </w:tcMar>
            <w:vAlign w:val="center"/>
          </w:tcPr>
          <w:p>
            <w:pPr>
              <w:adjustRightInd w:val="0"/>
              <w:snapToGrid w:val="0"/>
              <w:jc w:val="center"/>
              <w:rPr>
                <w:rFonts w:ascii="仿宋_GB2312" w:hAnsi="仿宋_GB2312" w:eastAsia="仿宋_GB2312" w:cs="仿宋_GB2312"/>
                <w:color w:val="000000"/>
                <w:sz w:val="24"/>
                <w:szCs w:val="24"/>
              </w:rPr>
            </w:pPr>
          </w:p>
        </w:tc>
        <w:tc>
          <w:tcPr>
            <w:tcW w:w="1098"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4"/>
                <w:szCs w:val="24"/>
              </w:rPr>
            </w:pPr>
          </w:p>
        </w:tc>
        <w:tc>
          <w:tcPr>
            <w:tcW w:w="3531"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4"/>
                <w:szCs w:val="24"/>
              </w:rPr>
            </w:pPr>
          </w:p>
        </w:tc>
        <w:tc>
          <w:tcPr>
            <w:tcW w:w="730"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一般</w:t>
            </w:r>
          </w:p>
        </w:tc>
        <w:tc>
          <w:tcPr>
            <w:tcW w:w="2378"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生产、销售肥料五吨以上十吨（含十吨）以下的，或货值金额一万元以上三万元以下的</w:t>
            </w:r>
          </w:p>
        </w:tc>
        <w:tc>
          <w:tcPr>
            <w:tcW w:w="2105"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3737"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有违法所得的，并处违法所得一倍以上二倍以下罚款，但最高不得超过一万五千元；没有违法所得的，处二千元以上五千元以下罚款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421" w:type="dxa"/>
            <w:vMerge w:val="continue"/>
            <w:tcBorders>
              <w:tl2br w:val="nil"/>
              <w:tr2bl w:val="nil"/>
            </w:tcBorders>
            <w:tcMar>
              <w:top w:w="57" w:type="dxa"/>
              <w:left w:w="57" w:type="dxa"/>
              <w:bottom w:w="57" w:type="dxa"/>
              <w:right w:w="57" w:type="dxa"/>
            </w:tcMar>
            <w:vAlign w:val="center"/>
          </w:tcPr>
          <w:p>
            <w:pPr>
              <w:adjustRightInd w:val="0"/>
              <w:snapToGrid w:val="0"/>
              <w:jc w:val="center"/>
              <w:rPr>
                <w:rFonts w:ascii="仿宋_GB2312" w:hAnsi="仿宋_GB2312" w:eastAsia="仿宋_GB2312" w:cs="仿宋_GB2312"/>
                <w:color w:val="000000"/>
                <w:sz w:val="24"/>
                <w:szCs w:val="24"/>
              </w:rPr>
            </w:pPr>
          </w:p>
        </w:tc>
        <w:tc>
          <w:tcPr>
            <w:tcW w:w="1098"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4"/>
                <w:szCs w:val="24"/>
              </w:rPr>
            </w:pPr>
          </w:p>
        </w:tc>
        <w:tc>
          <w:tcPr>
            <w:tcW w:w="3531"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4"/>
                <w:szCs w:val="24"/>
              </w:rPr>
            </w:pPr>
          </w:p>
        </w:tc>
        <w:tc>
          <w:tcPr>
            <w:tcW w:w="730"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严重</w:t>
            </w:r>
          </w:p>
        </w:tc>
        <w:tc>
          <w:tcPr>
            <w:tcW w:w="2378"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生产、销售肥料十吨以上，或货值金额三万元以上的</w:t>
            </w:r>
          </w:p>
        </w:tc>
        <w:tc>
          <w:tcPr>
            <w:tcW w:w="2105"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3737"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有违法所得的，并处违法所得二倍以上三倍以下的罚款，但最高不得超过二万元；没有违法所得的，处五千元以上一万元以下的罚款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jc w:val="center"/>
        </w:trPr>
        <w:tc>
          <w:tcPr>
            <w:tcW w:w="421" w:type="dxa"/>
            <w:vMerge w:val="restart"/>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6</w:t>
            </w:r>
          </w:p>
        </w:tc>
        <w:tc>
          <w:tcPr>
            <w:tcW w:w="1098" w:type="dxa"/>
            <w:vMerge w:val="restart"/>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生产、销售包装上未附标签、标签残缺不清或者擅自修改标签内容的</w:t>
            </w:r>
          </w:p>
        </w:tc>
        <w:tc>
          <w:tcPr>
            <w:tcW w:w="3531" w:type="dxa"/>
            <w:vMerge w:val="restart"/>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《肥料登记管理办法》第二十七条第（三）项，有下列情形之一的，由县级以上农业行政主管部门给予警告，并处违法所得3倍以下罚款，但最高不得超过20000元；没有违法所得的，处10000元以下罚款：</w:t>
            </w:r>
            <w:r>
              <w:rPr>
                <w:rFonts w:hint="eastAsia" w:ascii="仿宋_GB2312" w:hAnsi="仿宋_GB2312" w:eastAsia="仿宋_GB2312" w:cs="仿宋_GB2312"/>
                <w:color w:val="000000"/>
                <w:kern w:val="0"/>
                <w:sz w:val="21"/>
                <w:szCs w:val="21"/>
              </w:rPr>
              <w:br w:type="textWrapping"/>
            </w:r>
            <w:r>
              <w:rPr>
                <w:rFonts w:hint="eastAsia" w:ascii="仿宋_GB2312" w:hAnsi="仿宋_GB2312" w:eastAsia="仿宋_GB2312" w:cs="仿宋_GB2312"/>
                <w:color w:val="000000"/>
                <w:kern w:val="0"/>
                <w:sz w:val="21"/>
                <w:szCs w:val="21"/>
              </w:rPr>
              <w:t xml:space="preserve">   （三）生产、销售包装上未附标签、标签残缺不清或者擅自修改标签内容的。</w:t>
            </w:r>
            <w:r>
              <w:rPr>
                <w:rFonts w:hint="eastAsia" w:ascii="仿宋_GB2312" w:hAnsi="仿宋_GB2312" w:eastAsia="仿宋_GB2312" w:cs="仿宋_GB2312"/>
                <w:color w:val="000000"/>
                <w:kern w:val="0"/>
                <w:sz w:val="21"/>
                <w:szCs w:val="21"/>
              </w:rPr>
              <w:br w:type="textWrapping"/>
            </w:r>
            <w:r>
              <w:rPr>
                <w:rFonts w:hint="eastAsia" w:ascii="仿宋_GB2312" w:hAnsi="仿宋_GB2312" w:eastAsia="仿宋_GB2312" w:cs="仿宋_GB2312"/>
                <w:color w:val="000000"/>
                <w:kern w:val="0"/>
                <w:sz w:val="21"/>
                <w:szCs w:val="21"/>
              </w:rPr>
              <w:t>《行政处罚法》第二十八条第二款当事人有违法所得，除依法应当退赔的外，应当予以没收。违法所得是指实施违法行为所取得的款项。法律、行政法规、部门规章对违法所得的计算另有规定的，从其规定。</w:t>
            </w:r>
          </w:p>
        </w:tc>
        <w:tc>
          <w:tcPr>
            <w:tcW w:w="730"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较轻</w:t>
            </w:r>
          </w:p>
        </w:tc>
        <w:tc>
          <w:tcPr>
            <w:tcW w:w="2378"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 xml:space="preserve">生产、销售肥料五吨以下（含五吨）的，或货值金额一万元以下的 </w:t>
            </w:r>
          </w:p>
        </w:tc>
        <w:tc>
          <w:tcPr>
            <w:tcW w:w="2105" w:type="dxa"/>
            <w:vMerge w:val="restart"/>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警告；没收违法所得</w:t>
            </w:r>
          </w:p>
        </w:tc>
        <w:tc>
          <w:tcPr>
            <w:tcW w:w="3737"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有违法所得的，并处违法所得一倍以下罚款，但最高不得超过一万元；没有违法所得的，处二千元以下罚款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25" w:hRule="atLeast"/>
          <w:jc w:val="center"/>
        </w:trPr>
        <w:tc>
          <w:tcPr>
            <w:tcW w:w="421" w:type="dxa"/>
            <w:vMerge w:val="continue"/>
            <w:tcBorders>
              <w:tl2br w:val="nil"/>
              <w:tr2bl w:val="nil"/>
            </w:tcBorders>
            <w:tcMar>
              <w:top w:w="57" w:type="dxa"/>
              <w:left w:w="57" w:type="dxa"/>
              <w:bottom w:w="57" w:type="dxa"/>
              <w:right w:w="57" w:type="dxa"/>
            </w:tcMar>
            <w:vAlign w:val="center"/>
          </w:tcPr>
          <w:p>
            <w:pPr>
              <w:adjustRightInd w:val="0"/>
              <w:snapToGrid w:val="0"/>
              <w:jc w:val="center"/>
              <w:rPr>
                <w:rFonts w:ascii="仿宋_GB2312" w:hAnsi="仿宋_GB2312" w:eastAsia="仿宋_GB2312" w:cs="仿宋_GB2312"/>
                <w:color w:val="000000"/>
                <w:sz w:val="24"/>
                <w:szCs w:val="24"/>
              </w:rPr>
            </w:pPr>
          </w:p>
        </w:tc>
        <w:tc>
          <w:tcPr>
            <w:tcW w:w="1098"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3531"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730"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一般</w:t>
            </w:r>
          </w:p>
        </w:tc>
        <w:tc>
          <w:tcPr>
            <w:tcW w:w="2378"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生产、销售肥料五吨以上十吨（含十吨）以下的，或货值金额一万元以上三万元以下的</w:t>
            </w:r>
          </w:p>
        </w:tc>
        <w:tc>
          <w:tcPr>
            <w:tcW w:w="2105"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3737"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有违法所得的，并处违法所得一倍以上二倍以下罚款，但最高不得超过一万五千元；没有违法所得的，处二千元以上五千元以下罚款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4" w:hRule="atLeast"/>
          <w:jc w:val="center"/>
        </w:trPr>
        <w:tc>
          <w:tcPr>
            <w:tcW w:w="421" w:type="dxa"/>
            <w:vMerge w:val="continue"/>
            <w:tcBorders>
              <w:tl2br w:val="nil"/>
              <w:tr2bl w:val="nil"/>
            </w:tcBorders>
            <w:tcMar>
              <w:top w:w="57" w:type="dxa"/>
              <w:left w:w="57" w:type="dxa"/>
              <w:bottom w:w="57" w:type="dxa"/>
              <w:right w:w="57" w:type="dxa"/>
            </w:tcMar>
            <w:vAlign w:val="center"/>
          </w:tcPr>
          <w:p>
            <w:pPr>
              <w:adjustRightInd w:val="0"/>
              <w:snapToGrid w:val="0"/>
              <w:jc w:val="center"/>
              <w:rPr>
                <w:rFonts w:ascii="仿宋_GB2312" w:hAnsi="仿宋_GB2312" w:eastAsia="仿宋_GB2312" w:cs="仿宋_GB2312"/>
                <w:color w:val="000000"/>
                <w:sz w:val="24"/>
                <w:szCs w:val="24"/>
              </w:rPr>
            </w:pPr>
          </w:p>
        </w:tc>
        <w:tc>
          <w:tcPr>
            <w:tcW w:w="1098"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3531"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730"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严重</w:t>
            </w:r>
          </w:p>
        </w:tc>
        <w:tc>
          <w:tcPr>
            <w:tcW w:w="2378"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生产、销售肥料十吨以上，或货值金额三万元以上的</w:t>
            </w:r>
          </w:p>
        </w:tc>
        <w:tc>
          <w:tcPr>
            <w:tcW w:w="2105"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3737"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有违法所得的，并处违法所得二倍以上三倍以下的罚款，但最高不得超过二万元；没有违法所得的，处五千元以上一万元以下的罚款</w:t>
            </w:r>
          </w:p>
        </w:tc>
      </w:tr>
    </w:tbl>
    <w:p>
      <w:pPr>
        <w:pStyle w:val="2"/>
        <w:ind w:firstLine="640" w:firstLineChars="200"/>
        <w:rPr>
          <w:rFonts w:hint="eastAsia" w:ascii="黑体" w:hAnsi="黑体" w:eastAsia="黑体" w:cs="黑体"/>
          <w:color w:val="000000"/>
          <w:kern w:val="0"/>
          <w:sz w:val="32"/>
          <w:szCs w:val="32"/>
        </w:rPr>
      </w:pPr>
    </w:p>
    <w:p>
      <w:pPr>
        <w:pStyle w:val="2"/>
        <w:ind w:firstLine="640" w:firstLineChars="200"/>
        <w:rPr>
          <w:rFonts w:hint="eastAsia" w:ascii="黑体" w:hAnsi="黑体" w:eastAsia="黑体" w:cs="黑体"/>
          <w:color w:val="000000"/>
          <w:kern w:val="0"/>
          <w:sz w:val="32"/>
          <w:szCs w:val="32"/>
        </w:rPr>
      </w:pPr>
    </w:p>
    <w:p>
      <w:pPr>
        <w:pStyle w:val="2"/>
        <w:ind w:firstLine="640" w:firstLineChars="200"/>
        <w:rPr>
          <w:rFonts w:hint="eastAsia" w:ascii="黑体" w:hAnsi="黑体" w:eastAsia="黑体" w:cs="黑体"/>
          <w:color w:val="000000"/>
          <w:kern w:val="0"/>
          <w:sz w:val="32"/>
          <w:szCs w:val="32"/>
        </w:rPr>
      </w:pPr>
    </w:p>
    <w:p>
      <w:pPr>
        <w:pStyle w:val="2"/>
        <w:ind w:firstLine="640" w:firstLineChars="200"/>
      </w:pPr>
      <w:r>
        <w:rPr>
          <w:rFonts w:hint="eastAsia" w:ascii="黑体" w:hAnsi="黑体" w:eastAsia="黑体" w:cs="黑体"/>
          <w:color w:val="000000"/>
          <w:kern w:val="0"/>
          <w:sz w:val="32"/>
          <w:szCs w:val="32"/>
        </w:rPr>
        <w:t>四、植物检疫</w:t>
      </w:r>
    </w:p>
    <w:tbl>
      <w:tblPr>
        <w:tblStyle w:val="7"/>
        <w:tblW w:w="140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21"/>
        <w:gridCol w:w="1098"/>
        <w:gridCol w:w="3531"/>
        <w:gridCol w:w="730"/>
        <w:gridCol w:w="2378"/>
        <w:gridCol w:w="2105"/>
        <w:gridCol w:w="3737"/>
      </w:tblGrid>
      <w:tr>
        <w:tblPrEx>
          <w:tblCellMar>
            <w:top w:w="0" w:type="dxa"/>
            <w:left w:w="0" w:type="dxa"/>
            <w:bottom w:w="0" w:type="dxa"/>
            <w:right w:w="0" w:type="dxa"/>
          </w:tblCellMar>
        </w:tblPrEx>
        <w:trPr>
          <w:trHeight w:val="567" w:hRule="atLeast"/>
          <w:tblHeader/>
          <w:jc w:val="center"/>
        </w:trPr>
        <w:tc>
          <w:tcPr>
            <w:tcW w:w="421"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黑体" w:hAnsi="黑体" w:eastAsia="黑体" w:cs="黑体"/>
                <w:color w:val="000000"/>
                <w:sz w:val="24"/>
                <w:szCs w:val="24"/>
              </w:rPr>
            </w:pPr>
            <w:r>
              <w:rPr>
                <w:rFonts w:hint="eastAsia" w:ascii="黑体" w:hAnsi="黑体" w:eastAsia="黑体" w:cs="黑体"/>
                <w:color w:val="000000"/>
                <w:kern w:val="0"/>
                <w:sz w:val="24"/>
                <w:szCs w:val="24"/>
              </w:rPr>
              <w:t>序号</w:t>
            </w:r>
          </w:p>
        </w:tc>
        <w:tc>
          <w:tcPr>
            <w:tcW w:w="1098"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黑体" w:hAnsi="黑体" w:eastAsia="黑体" w:cs="黑体"/>
                <w:color w:val="000000"/>
                <w:sz w:val="24"/>
                <w:szCs w:val="24"/>
              </w:rPr>
            </w:pPr>
            <w:r>
              <w:rPr>
                <w:rFonts w:hint="eastAsia" w:ascii="黑体" w:hAnsi="黑体" w:eastAsia="黑体" w:cs="黑体"/>
                <w:color w:val="000000"/>
                <w:kern w:val="0"/>
                <w:sz w:val="24"/>
                <w:szCs w:val="24"/>
              </w:rPr>
              <w:t>违法行为</w:t>
            </w:r>
          </w:p>
        </w:tc>
        <w:tc>
          <w:tcPr>
            <w:tcW w:w="3531"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黑体" w:hAnsi="黑体" w:eastAsia="黑体" w:cs="黑体"/>
                <w:color w:val="000000"/>
                <w:sz w:val="24"/>
                <w:szCs w:val="24"/>
              </w:rPr>
            </w:pPr>
            <w:r>
              <w:rPr>
                <w:rFonts w:hint="eastAsia" w:ascii="黑体" w:hAnsi="黑体" w:eastAsia="黑体" w:cs="黑体"/>
                <w:color w:val="000000"/>
                <w:kern w:val="0"/>
                <w:sz w:val="24"/>
                <w:szCs w:val="24"/>
              </w:rPr>
              <w:t>处罚依据</w:t>
            </w:r>
          </w:p>
        </w:tc>
        <w:tc>
          <w:tcPr>
            <w:tcW w:w="730"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黑体" w:hAnsi="黑体" w:eastAsia="黑体" w:cs="黑体"/>
                <w:color w:val="000000"/>
                <w:sz w:val="24"/>
                <w:szCs w:val="24"/>
              </w:rPr>
            </w:pPr>
            <w:r>
              <w:rPr>
                <w:rFonts w:hint="eastAsia" w:ascii="黑体" w:hAnsi="黑体" w:eastAsia="黑体" w:cs="黑体"/>
                <w:color w:val="000000"/>
                <w:kern w:val="0"/>
                <w:sz w:val="24"/>
                <w:szCs w:val="24"/>
              </w:rPr>
              <w:t>违法程度</w:t>
            </w:r>
          </w:p>
        </w:tc>
        <w:tc>
          <w:tcPr>
            <w:tcW w:w="2378"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黑体" w:hAnsi="黑体" w:eastAsia="黑体" w:cs="黑体"/>
                <w:color w:val="000000"/>
                <w:sz w:val="24"/>
                <w:szCs w:val="24"/>
              </w:rPr>
            </w:pPr>
            <w:r>
              <w:rPr>
                <w:rFonts w:hint="eastAsia" w:ascii="黑体" w:hAnsi="黑体" w:eastAsia="黑体" w:cs="黑体"/>
                <w:color w:val="000000"/>
                <w:kern w:val="0"/>
                <w:sz w:val="24"/>
                <w:szCs w:val="24"/>
              </w:rPr>
              <w:t>违法情节</w:t>
            </w:r>
          </w:p>
        </w:tc>
        <w:tc>
          <w:tcPr>
            <w:tcW w:w="5842" w:type="dxa"/>
            <w:gridSpan w:val="2"/>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黑体" w:hAnsi="黑体" w:eastAsia="黑体" w:cs="黑体"/>
                <w:color w:val="000000"/>
                <w:sz w:val="24"/>
                <w:szCs w:val="24"/>
              </w:rPr>
            </w:pPr>
            <w:r>
              <w:rPr>
                <w:rFonts w:hint="eastAsia" w:ascii="黑体" w:hAnsi="黑体" w:eastAsia="黑体" w:cs="黑体"/>
                <w:color w:val="000000"/>
                <w:kern w:val="0"/>
                <w:sz w:val="24"/>
                <w:szCs w:val="24"/>
              </w:rPr>
              <w:t>裁量标准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0" w:hRule="atLeast"/>
          <w:jc w:val="center"/>
        </w:trPr>
        <w:tc>
          <w:tcPr>
            <w:tcW w:w="421" w:type="dxa"/>
            <w:vMerge w:val="restart"/>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1</w:t>
            </w:r>
          </w:p>
        </w:tc>
        <w:tc>
          <w:tcPr>
            <w:tcW w:w="1098" w:type="dxa"/>
            <w:vMerge w:val="restart"/>
            <w:tcBorders>
              <w:tl2br w:val="nil"/>
              <w:tr2bl w:val="nil"/>
            </w:tcBorders>
            <w:tcMar>
              <w:top w:w="57" w:type="dxa"/>
              <w:left w:w="57" w:type="dxa"/>
              <w:bottom w:w="57" w:type="dxa"/>
              <w:right w:w="57" w:type="dxa"/>
            </w:tcMar>
            <w:vAlign w:val="center"/>
          </w:tcPr>
          <w:p>
            <w:pPr>
              <w:widowControl/>
              <w:adjustRightInd w:val="0"/>
              <w:snapToGrid w:val="0"/>
              <w:jc w:val="left"/>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未按规定办理农业植物检疫手续的</w:t>
            </w:r>
          </w:p>
        </w:tc>
        <w:tc>
          <w:tcPr>
            <w:tcW w:w="3531" w:type="dxa"/>
            <w:vMerge w:val="restart"/>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山东省农业植物检疫办法》第三十六条第一款第（一）项、第二款，违反本办法规定，有下列行为之一，尚未引起疫情扩散的，由农业植物检疫机构责令限期改正，给予警告，没收违法所得，并可处以罚款；造成损失的，应当承担赔偿责任；构成犯罪的，依法追究刑事责任：</w:t>
            </w:r>
            <w:r>
              <w:rPr>
                <w:rFonts w:hint="eastAsia" w:ascii="仿宋_GB2312" w:hAnsi="仿宋_GB2312" w:eastAsia="仿宋_GB2312" w:cs="仿宋_GB2312"/>
                <w:color w:val="000000"/>
                <w:kern w:val="0"/>
                <w:sz w:val="21"/>
                <w:szCs w:val="21"/>
              </w:rPr>
              <w:br w:type="textWrapping"/>
            </w:r>
            <w:r>
              <w:rPr>
                <w:rFonts w:hint="eastAsia" w:ascii="仿宋_GB2312" w:hAnsi="仿宋_GB2312" w:eastAsia="仿宋_GB2312" w:cs="仿宋_GB2312"/>
                <w:color w:val="000000"/>
                <w:kern w:val="0"/>
                <w:sz w:val="21"/>
                <w:szCs w:val="21"/>
              </w:rPr>
              <w:t xml:space="preserve">    （一）未按本办法规定办理农业植物检疫手续的。</w:t>
            </w:r>
            <w:r>
              <w:rPr>
                <w:rFonts w:hint="eastAsia" w:ascii="仿宋_GB2312" w:hAnsi="仿宋_GB2312" w:eastAsia="仿宋_GB2312" w:cs="仿宋_GB2312"/>
                <w:color w:val="000000"/>
                <w:kern w:val="0"/>
                <w:sz w:val="21"/>
                <w:szCs w:val="21"/>
              </w:rPr>
              <w:br w:type="textWrapping"/>
            </w:r>
            <w:r>
              <w:rPr>
                <w:rFonts w:hint="eastAsia" w:ascii="仿宋_GB2312" w:hAnsi="仿宋_GB2312" w:eastAsia="仿宋_GB2312" w:cs="仿宋_GB2312"/>
                <w:color w:val="000000"/>
                <w:kern w:val="0"/>
                <w:sz w:val="21"/>
                <w:szCs w:val="21"/>
              </w:rPr>
              <w:t xml:space="preserve">    有前款规定的违法行为之一，属于非经营活动中的违法行为的，处1000元以下罚款；属于经营活动中的违法行为，有违法所得的，处以违法所得3倍以下罚款，但最高不得超过3万元；没有违法所得的，处以1万以下罚款。</w:t>
            </w:r>
          </w:p>
        </w:tc>
        <w:tc>
          <w:tcPr>
            <w:tcW w:w="730"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较轻</w:t>
            </w:r>
          </w:p>
        </w:tc>
        <w:tc>
          <w:tcPr>
            <w:tcW w:w="2378"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违法情节一般或属初次查获的</w:t>
            </w:r>
          </w:p>
        </w:tc>
        <w:tc>
          <w:tcPr>
            <w:tcW w:w="2105" w:type="dxa"/>
            <w:vMerge w:val="restart"/>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责令限期改正，警告，没收违法所得</w:t>
            </w:r>
          </w:p>
        </w:tc>
        <w:tc>
          <w:tcPr>
            <w:tcW w:w="3737"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非经营活动中的违法行为处以三百元以下罚款；经营活动中的违法行为，无违法所得的处以三千元以下罚款；有违法所得的，可处以违法所得一倍以下的罚款，但最高不超过一万元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82" w:hRule="atLeast"/>
          <w:jc w:val="center"/>
        </w:trPr>
        <w:tc>
          <w:tcPr>
            <w:tcW w:w="421" w:type="dxa"/>
            <w:vMerge w:val="continue"/>
            <w:tcBorders>
              <w:tl2br w:val="nil"/>
              <w:tr2bl w:val="nil"/>
            </w:tcBorders>
            <w:tcMar>
              <w:top w:w="57" w:type="dxa"/>
              <w:left w:w="57" w:type="dxa"/>
              <w:bottom w:w="57" w:type="dxa"/>
              <w:right w:w="57" w:type="dxa"/>
            </w:tcMar>
            <w:vAlign w:val="center"/>
          </w:tcPr>
          <w:p>
            <w:pPr>
              <w:adjustRightInd w:val="0"/>
              <w:snapToGrid w:val="0"/>
              <w:jc w:val="center"/>
              <w:rPr>
                <w:rFonts w:ascii="仿宋_GB2312" w:hAnsi="仿宋_GB2312" w:eastAsia="仿宋_GB2312" w:cs="仿宋_GB2312"/>
                <w:color w:val="000000"/>
                <w:sz w:val="21"/>
                <w:szCs w:val="21"/>
              </w:rPr>
            </w:pPr>
          </w:p>
        </w:tc>
        <w:tc>
          <w:tcPr>
            <w:tcW w:w="1098" w:type="dxa"/>
            <w:vMerge w:val="continue"/>
            <w:tcBorders>
              <w:tl2br w:val="nil"/>
              <w:tr2bl w:val="nil"/>
            </w:tcBorders>
            <w:tcMar>
              <w:top w:w="57" w:type="dxa"/>
              <w:left w:w="57" w:type="dxa"/>
              <w:bottom w:w="57" w:type="dxa"/>
              <w:right w:w="57" w:type="dxa"/>
            </w:tcMar>
            <w:vAlign w:val="center"/>
          </w:tcPr>
          <w:p>
            <w:pPr>
              <w:adjustRightInd w:val="0"/>
              <w:snapToGrid w:val="0"/>
              <w:jc w:val="left"/>
              <w:rPr>
                <w:rFonts w:ascii="仿宋_GB2312" w:hAnsi="仿宋_GB2312" w:eastAsia="仿宋_GB2312" w:cs="仿宋_GB2312"/>
                <w:color w:val="000000"/>
                <w:sz w:val="21"/>
                <w:szCs w:val="21"/>
              </w:rPr>
            </w:pPr>
          </w:p>
        </w:tc>
        <w:tc>
          <w:tcPr>
            <w:tcW w:w="3531"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730"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一般</w:t>
            </w:r>
          </w:p>
        </w:tc>
        <w:tc>
          <w:tcPr>
            <w:tcW w:w="2378"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违法情节较重或属查获两次的</w:t>
            </w:r>
          </w:p>
        </w:tc>
        <w:tc>
          <w:tcPr>
            <w:tcW w:w="2105"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3737"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非经营活动中的违法行为处以三百元以上六百元以下的罚款；经营活动中的违法行为，无违法所得的处以三千元以上六千元以下罚款；有违法所得的，处以违法所得一倍以上二倍以下的罚款，但最高不超过二万元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2" w:hRule="atLeast"/>
          <w:jc w:val="center"/>
        </w:trPr>
        <w:tc>
          <w:tcPr>
            <w:tcW w:w="421" w:type="dxa"/>
            <w:vMerge w:val="continue"/>
            <w:tcBorders>
              <w:tl2br w:val="nil"/>
              <w:tr2bl w:val="nil"/>
            </w:tcBorders>
            <w:tcMar>
              <w:top w:w="57" w:type="dxa"/>
              <w:left w:w="57" w:type="dxa"/>
              <w:bottom w:w="57" w:type="dxa"/>
              <w:right w:w="57" w:type="dxa"/>
            </w:tcMar>
            <w:vAlign w:val="center"/>
          </w:tcPr>
          <w:p>
            <w:pPr>
              <w:adjustRightInd w:val="0"/>
              <w:snapToGrid w:val="0"/>
              <w:jc w:val="center"/>
              <w:rPr>
                <w:rFonts w:ascii="仿宋_GB2312" w:hAnsi="仿宋_GB2312" w:eastAsia="仿宋_GB2312" w:cs="仿宋_GB2312"/>
                <w:color w:val="000000"/>
                <w:sz w:val="21"/>
                <w:szCs w:val="21"/>
              </w:rPr>
            </w:pPr>
          </w:p>
        </w:tc>
        <w:tc>
          <w:tcPr>
            <w:tcW w:w="1098" w:type="dxa"/>
            <w:vMerge w:val="continue"/>
            <w:tcBorders>
              <w:tl2br w:val="nil"/>
              <w:tr2bl w:val="nil"/>
            </w:tcBorders>
            <w:tcMar>
              <w:top w:w="57" w:type="dxa"/>
              <w:left w:w="57" w:type="dxa"/>
              <w:bottom w:w="57" w:type="dxa"/>
              <w:right w:w="57" w:type="dxa"/>
            </w:tcMar>
            <w:vAlign w:val="center"/>
          </w:tcPr>
          <w:p>
            <w:pPr>
              <w:adjustRightInd w:val="0"/>
              <w:snapToGrid w:val="0"/>
              <w:jc w:val="left"/>
              <w:rPr>
                <w:rFonts w:ascii="仿宋_GB2312" w:hAnsi="仿宋_GB2312" w:eastAsia="仿宋_GB2312" w:cs="仿宋_GB2312"/>
                <w:color w:val="000000"/>
                <w:sz w:val="21"/>
                <w:szCs w:val="21"/>
              </w:rPr>
            </w:pPr>
          </w:p>
        </w:tc>
        <w:tc>
          <w:tcPr>
            <w:tcW w:w="3531"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730"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较重</w:t>
            </w:r>
          </w:p>
        </w:tc>
        <w:tc>
          <w:tcPr>
            <w:tcW w:w="2378"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违法情节严重或属查获两次以上的</w:t>
            </w:r>
          </w:p>
        </w:tc>
        <w:tc>
          <w:tcPr>
            <w:tcW w:w="2105"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3737"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非经营活动中的违法行为处以六百元以上一千元以下的罚款；经营活动中的违法行为，无违法所得的处以六千元以上一万元以下的罚款；有违法所得的，处以违法所得二倍以上三倍以下的罚款，但最高不超过三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82" w:hRule="atLeast"/>
          <w:jc w:val="center"/>
        </w:trPr>
        <w:tc>
          <w:tcPr>
            <w:tcW w:w="421" w:type="dxa"/>
            <w:vMerge w:val="restart"/>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2</w:t>
            </w:r>
          </w:p>
        </w:tc>
        <w:tc>
          <w:tcPr>
            <w:tcW w:w="1098" w:type="dxa"/>
            <w:vMerge w:val="restart"/>
            <w:tcBorders>
              <w:tl2br w:val="nil"/>
              <w:tr2bl w:val="nil"/>
            </w:tcBorders>
            <w:tcMar>
              <w:top w:w="57" w:type="dxa"/>
              <w:left w:w="57" w:type="dxa"/>
              <w:bottom w:w="57" w:type="dxa"/>
              <w:right w:w="57" w:type="dxa"/>
            </w:tcMar>
            <w:vAlign w:val="center"/>
          </w:tcPr>
          <w:p>
            <w:pPr>
              <w:widowControl/>
              <w:adjustRightInd w:val="0"/>
              <w:snapToGrid w:val="0"/>
              <w:jc w:val="left"/>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谎报受检物品种类、品种或者隐瞒受检物品数量、受检作物面积，提供虚假证明材料的</w:t>
            </w:r>
          </w:p>
        </w:tc>
        <w:tc>
          <w:tcPr>
            <w:tcW w:w="3531" w:type="dxa"/>
            <w:vMerge w:val="restart"/>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山东省农业植物检疫办法》第三十六条第一款第（二）项、第二款，违反本办法规定，有下列行为之一，尚未引起疫情扩散的，由农业植物检疫机构责令限期改正，给予警告，没收违法所得，并可处以罚款；造成损失的，应当承担赔偿责任；构成犯罪的，依法追究刑事责任：</w:t>
            </w:r>
            <w:r>
              <w:rPr>
                <w:rFonts w:hint="eastAsia" w:ascii="仿宋_GB2312" w:hAnsi="仿宋_GB2312" w:eastAsia="仿宋_GB2312" w:cs="仿宋_GB2312"/>
                <w:color w:val="000000"/>
                <w:kern w:val="0"/>
                <w:sz w:val="21"/>
                <w:szCs w:val="21"/>
              </w:rPr>
              <w:br w:type="textWrapping"/>
            </w:r>
            <w:r>
              <w:rPr>
                <w:rFonts w:hint="eastAsia" w:ascii="仿宋_GB2312" w:hAnsi="仿宋_GB2312" w:eastAsia="仿宋_GB2312" w:cs="仿宋_GB2312"/>
                <w:color w:val="000000"/>
                <w:kern w:val="0"/>
                <w:sz w:val="21"/>
                <w:szCs w:val="21"/>
              </w:rPr>
              <w:t xml:space="preserve">    （二）谎报受检物品种类、品种或者隐瞒受检物品数量、受检作物面积，提供虚假证明材料的。</w:t>
            </w:r>
            <w:r>
              <w:rPr>
                <w:rFonts w:hint="eastAsia" w:ascii="仿宋_GB2312" w:hAnsi="仿宋_GB2312" w:eastAsia="仿宋_GB2312" w:cs="仿宋_GB2312"/>
                <w:color w:val="000000"/>
                <w:kern w:val="0"/>
                <w:sz w:val="21"/>
                <w:szCs w:val="21"/>
              </w:rPr>
              <w:br w:type="textWrapping"/>
            </w:r>
            <w:r>
              <w:rPr>
                <w:rFonts w:hint="eastAsia" w:ascii="仿宋_GB2312" w:hAnsi="仿宋_GB2312" w:eastAsia="仿宋_GB2312" w:cs="仿宋_GB2312"/>
                <w:color w:val="000000"/>
                <w:kern w:val="0"/>
                <w:sz w:val="21"/>
                <w:szCs w:val="21"/>
              </w:rPr>
              <w:t xml:space="preserve">    有前款规定的违法行为之一，属于非经营活动中的违法行为的，处以1000元以下罚款；属于经营活动中的违法行为，有违法所得的，处以违法所得3倍以下罚款，但最高不得超过3万元；没有违法所得的，处以1万元以下罚款。</w:t>
            </w:r>
          </w:p>
        </w:tc>
        <w:tc>
          <w:tcPr>
            <w:tcW w:w="730"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较轻</w:t>
            </w:r>
          </w:p>
        </w:tc>
        <w:tc>
          <w:tcPr>
            <w:tcW w:w="2378"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谎报受检物品种类、品种或者隐瞒受检物品重量一千千克以内、受检作物面积五十亩以内，提供虚假证明材料的</w:t>
            </w:r>
          </w:p>
        </w:tc>
        <w:tc>
          <w:tcPr>
            <w:tcW w:w="2105" w:type="dxa"/>
            <w:vMerge w:val="restart"/>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责令限期改正，警告，没收违法所得</w:t>
            </w:r>
          </w:p>
        </w:tc>
        <w:tc>
          <w:tcPr>
            <w:tcW w:w="3737"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非经营活动中的违法行为处以三百元以下罚款；经营活动中的违法行为，无违法所得的处以三千元以下罚款；有违法所得的，可处以违法所得一倍以下的罚款，但最高不超过一万元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82" w:hRule="atLeast"/>
          <w:jc w:val="center"/>
        </w:trPr>
        <w:tc>
          <w:tcPr>
            <w:tcW w:w="421" w:type="dxa"/>
            <w:vMerge w:val="continue"/>
            <w:tcBorders>
              <w:tl2br w:val="nil"/>
              <w:tr2bl w:val="nil"/>
            </w:tcBorders>
            <w:tcMar>
              <w:top w:w="57" w:type="dxa"/>
              <w:left w:w="57" w:type="dxa"/>
              <w:bottom w:w="57" w:type="dxa"/>
              <w:right w:w="57" w:type="dxa"/>
            </w:tcMar>
            <w:vAlign w:val="center"/>
          </w:tcPr>
          <w:p>
            <w:pPr>
              <w:adjustRightInd w:val="0"/>
              <w:snapToGrid w:val="0"/>
              <w:jc w:val="center"/>
              <w:rPr>
                <w:rFonts w:ascii="仿宋_GB2312" w:hAnsi="仿宋_GB2312" w:eastAsia="仿宋_GB2312" w:cs="仿宋_GB2312"/>
                <w:color w:val="000000"/>
                <w:sz w:val="21"/>
                <w:szCs w:val="21"/>
              </w:rPr>
            </w:pPr>
          </w:p>
        </w:tc>
        <w:tc>
          <w:tcPr>
            <w:tcW w:w="1098" w:type="dxa"/>
            <w:vMerge w:val="continue"/>
            <w:tcBorders>
              <w:tl2br w:val="nil"/>
              <w:tr2bl w:val="nil"/>
            </w:tcBorders>
            <w:tcMar>
              <w:top w:w="57" w:type="dxa"/>
              <w:left w:w="57" w:type="dxa"/>
              <w:bottom w:w="57" w:type="dxa"/>
              <w:right w:w="57" w:type="dxa"/>
            </w:tcMar>
            <w:vAlign w:val="center"/>
          </w:tcPr>
          <w:p>
            <w:pPr>
              <w:adjustRightInd w:val="0"/>
              <w:snapToGrid w:val="0"/>
              <w:jc w:val="left"/>
              <w:rPr>
                <w:rFonts w:ascii="仿宋_GB2312" w:hAnsi="仿宋_GB2312" w:eastAsia="仿宋_GB2312" w:cs="仿宋_GB2312"/>
                <w:color w:val="000000"/>
                <w:sz w:val="21"/>
                <w:szCs w:val="21"/>
              </w:rPr>
            </w:pPr>
          </w:p>
        </w:tc>
        <w:tc>
          <w:tcPr>
            <w:tcW w:w="3531"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730"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一般</w:t>
            </w:r>
          </w:p>
        </w:tc>
        <w:tc>
          <w:tcPr>
            <w:tcW w:w="2378"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谎报受检物品种类、品种或者隐瞒受检物品重量一千千克以上五千千克以下、受检作物面积五十亩以上一百亩以下，提供虚假证明材料的</w:t>
            </w:r>
          </w:p>
        </w:tc>
        <w:tc>
          <w:tcPr>
            <w:tcW w:w="2105"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3737"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非经营活动中的违法行为处以三百元以上六百元以下的罚款；经营活动中的违法行为，无违法所得的处以三千元以上六千元以下罚款；有违法所得的，处以违法所得一倍以上二倍以下的罚款，但最高不超过二万元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8" w:hRule="atLeast"/>
          <w:jc w:val="center"/>
        </w:trPr>
        <w:tc>
          <w:tcPr>
            <w:tcW w:w="421" w:type="dxa"/>
            <w:vMerge w:val="continue"/>
            <w:tcBorders>
              <w:tl2br w:val="nil"/>
              <w:tr2bl w:val="nil"/>
            </w:tcBorders>
            <w:tcMar>
              <w:top w:w="57" w:type="dxa"/>
              <w:left w:w="57" w:type="dxa"/>
              <w:bottom w:w="57" w:type="dxa"/>
              <w:right w:w="57" w:type="dxa"/>
            </w:tcMar>
            <w:vAlign w:val="center"/>
          </w:tcPr>
          <w:p>
            <w:pPr>
              <w:adjustRightInd w:val="0"/>
              <w:snapToGrid w:val="0"/>
              <w:jc w:val="center"/>
              <w:rPr>
                <w:rFonts w:ascii="仿宋_GB2312" w:hAnsi="仿宋_GB2312" w:eastAsia="仿宋_GB2312" w:cs="仿宋_GB2312"/>
                <w:color w:val="000000"/>
                <w:sz w:val="21"/>
                <w:szCs w:val="21"/>
              </w:rPr>
            </w:pPr>
          </w:p>
        </w:tc>
        <w:tc>
          <w:tcPr>
            <w:tcW w:w="1098" w:type="dxa"/>
            <w:vMerge w:val="continue"/>
            <w:tcBorders>
              <w:tl2br w:val="nil"/>
              <w:tr2bl w:val="nil"/>
            </w:tcBorders>
            <w:tcMar>
              <w:top w:w="57" w:type="dxa"/>
              <w:left w:w="57" w:type="dxa"/>
              <w:bottom w:w="57" w:type="dxa"/>
              <w:right w:w="57" w:type="dxa"/>
            </w:tcMar>
            <w:vAlign w:val="center"/>
          </w:tcPr>
          <w:p>
            <w:pPr>
              <w:adjustRightInd w:val="0"/>
              <w:snapToGrid w:val="0"/>
              <w:jc w:val="left"/>
              <w:rPr>
                <w:rFonts w:ascii="仿宋_GB2312" w:hAnsi="仿宋_GB2312" w:eastAsia="仿宋_GB2312" w:cs="仿宋_GB2312"/>
                <w:color w:val="000000"/>
                <w:sz w:val="21"/>
                <w:szCs w:val="21"/>
              </w:rPr>
            </w:pPr>
          </w:p>
        </w:tc>
        <w:tc>
          <w:tcPr>
            <w:tcW w:w="3531"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730"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较重</w:t>
            </w:r>
          </w:p>
        </w:tc>
        <w:tc>
          <w:tcPr>
            <w:tcW w:w="2378"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谎报受检物品种类、品种或者隐瞒受检物品重量五千千克以上、受检作物面积一百亩以上，提供虚假证明材料，并造成严重后果的</w:t>
            </w:r>
          </w:p>
        </w:tc>
        <w:tc>
          <w:tcPr>
            <w:tcW w:w="2105"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3737"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非经营活动中的违法行为处以六百元以上一千元以下的罚款；经营活动中的违法行为，无违法所得的处以六千元以上一万元以下的罚款；有违法所得的，处以违法所得二倍以上三倍以下的罚款，但最高不超过三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82" w:hRule="atLeast"/>
          <w:jc w:val="center"/>
        </w:trPr>
        <w:tc>
          <w:tcPr>
            <w:tcW w:w="421" w:type="dxa"/>
            <w:vMerge w:val="restart"/>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3</w:t>
            </w:r>
          </w:p>
        </w:tc>
        <w:tc>
          <w:tcPr>
            <w:tcW w:w="1098" w:type="dxa"/>
            <w:vMerge w:val="restart"/>
            <w:tcBorders>
              <w:tl2br w:val="nil"/>
              <w:tr2bl w:val="nil"/>
            </w:tcBorders>
            <w:tcMar>
              <w:top w:w="57" w:type="dxa"/>
              <w:left w:w="57" w:type="dxa"/>
              <w:bottom w:w="57" w:type="dxa"/>
              <w:right w:w="57" w:type="dxa"/>
            </w:tcMar>
            <w:vAlign w:val="center"/>
          </w:tcPr>
          <w:p>
            <w:pPr>
              <w:widowControl/>
              <w:adjustRightInd w:val="0"/>
              <w:snapToGrid w:val="0"/>
              <w:jc w:val="left"/>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擅自启封换货、改变数量或者将非种用植物和植物产品作种用的</w:t>
            </w:r>
          </w:p>
        </w:tc>
        <w:tc>
          <w:tcPr>
            <w:tcW w:w="3531" w:type="dxa"/>
            <w:vMerge w:val="restart"/>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山东省农业植物检疫办法》第三十六条第一款第（三）项、第二款，违反本办法规定，有下列行为之一，尚未引起疫情扩散的，由农业植物检疫机构责令限期改正，给予警告，没收违法所得，并可处以罚款；造成损失的，应当承担赔偿责任；构成犯罪的，依法追究刑事责任：</w:t>
            </w:r>
            <w:r>
              <w:rPr>
                <w:rFonts w:hint="eastAsia" w:ascii="仿宋_GB2312" w:hAnsi="仿宋_GB2312" w:eastAsia="仿宋_GB2312" w:cs="仿宋_GB2312"/>
                <w:color w:val="000000"/>
                <w:kern w:val="0"/>
                <w:sz w:val="21"/>
                <w:szCs w:val="21"/>
              </w:rPr>
              <w:br w:type="textWrapping"/>
            </w:r>
            <w:r>
              <w:rPr>
                <w:rFonts w:hint="eastAsia" w:ascii="仿宋_GB2312" w:hAnsi="仿宋_GB2312" w:eastAsia="仿宋_GB2312" w:cs="仿宋_GB2312"/>
                <w:color w:val="000000"/>
                <w:kern w:val="0"/>
                <w:sz w:val="21"/>
                <w:szCs w:val="21"/>
              </w:rPr>
              <w:t xml:space="preserve">    （三）擅自启封换货、改变数量或者将非种用植物和植物产品作种用的。</w:t>
            </w:r>
            <w:r>
              <w:rPr>
                <w:rFonts w:hint="eastAsia" w:ascii="仿宋_GB2312" w:hAnsi="仿宋_GB2312" w:eastAsia="仿宋_GB2312" w:cs="仿宋_GB2312"/>
                <w:color w:val="000000"/>
                <w:kern w:val="0"/>
                <w:sz w:val="21"/>
                <w:szCs w:val="21"/>
              </w:rPr>
              <w:br w:type="textWrapping"/>
            </w:r>
            <w:r>
              <w:rPr>
                <w:rFonts w:hint="eastAsia" w:ascii="仿宋_GB2312" w:hAnsi="仿宋_GB2312" w:eastAsia="仿宋_GB2312" w:cs="仿宋_GB2312"/>
                <w:color w:val="000000"/>
                <w:kern w:val="0"/>
                <w:sz w:val="21"/>
                <w:szCs w:val="21"/>
              </w:rPr>
              <w:t xml:space="preserve">    有前款规定的违法行为之一，属于非经营活动中的违法行为的，处以1000元以下罚款；属于经营活动中的违法行为，有违法所得的，处以违法所得3倍以下罚款，但最高不得超过3万元；没有违法所得的，处以1万元以下罚款。</w:t>
            </w:r>
          </w:p>
        </w:tc>
        <w:tc>
          <w:tcPr>
            <w:tcW w:w="730"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较轻</w:t>
            </w:r>
          </w:p>
        </w:tc>
        <w:tc>
          <w:tcPr>
            <w:tcW w:w="2378"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擅自启封换货、改变数量或者将非种用植物和植物产品作种用的，货值在一万元以内</w:t>
            </w:r>
          </w:p>
        </w:tc>
        <w:tc>
          <w:tcPr>
            <w:tcW w:w="2105" w:type="dxa"/>
            <w:vMerge w:val="restart"/>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责令限期改正，警告，没收违法所得</w:t>
            </w:r>
          </w:p>
        </w:tc>
        <w:tc>
          <w:tcPr>
            <w:tcW w:w="3737"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非经营活动中的违法行为处以三百元以下罚款；经营活动中的违法行为，无违法所得的处以三千元以下罚款；有违法所得的，可处以违法所得一倍以下的罚款，但最高不超过一万元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82" w:hRule="atLeast"/>
          <w:jc w:val="center"/>
        </w:trPr>
        <w:tc>
          <w:tcPr>
            <w:tcW w:w="421" w:type="dxa"/>
            <w:vMerge w:val="continue"/>
            <w:tcBorders>
              <w:tl2br w:val="nil"/>
              <w:tr2bl w:val="nil"/>
            </w:tcBorders>
            <w:tcMar>
              <w:top w:w="57" w:type="dxa"/>
              <w:left w:w="57" w:type="dxa"/>
              <w:bottom w:w="57" w:type="dxa"/>
              <w:right w:w="57" w:type="dxa"/>
            </w:tcMar>
            <w:vAlign w:val="center"/>
          </w:tcPr>
          <w:p>
            <w:pPr>
              <w:adjustRightInd w:val="0"/>
              <w:snapToGrid w:val="0"/>
              <w:jc w:val="center"/>
              <w:rPr>
                <w:rFonts w:ascii="仿宋_GB2312" w:hAnsi="仿宋_GB2312" w:eastAsia="仿宋_GB2312" w:cs="仿宋_GB2312"/>
                <w:color w:val="000000"/>
                <w:sz w:val="21"/>
                <w:szCs w:val="21"/>
              </w:rPr>
            </w:pPr>
          </w:p>
        </w:tc>
        <w:tc>
          <w:tcPr>
            <w:tcW w:w="1098" w:type="dxa"/>
            <w:vMerge w:val="continue"/>
            <w:tcBorders>
              <w:tl2br w:val="nil"/>
              <w:tr2bl w:val="nil"/>
            </w:tcBorders>
            <w:tcMar>
              <w:top w:w="57" w:type="dxa"/>
              <w:left w:w="57" w:type="dxa"/>
              <w:bottom w:w="57" w:type="dxa"/>
              <w:right w:w="57" w:type="dxa"/>
            </w:tcMar>
            <w:vAlign w:val="center"/>
          </w:tcPr>
          <w:p>
            <w:pPr>
              <w:adjustRightInd w:val="0"/>
              <w:snapToGrid w:val="0"/>
              <w:jc w:val="left"/>
              <w:rPr>
                <w:rFonts w:ascii="仿宋_GB2312" w:hAnsi="仿宋_GB2312" w:eastAsia="仿宋_GB2312" w:cs="仿宋_GB2312"/>
                <w:color w:val="000000"/>
                <w:sz w:val="21"/>
                <w:szCs w:val="21"/>
              </w:rPr>
            </w:pPr>
          </w:p>
        </w:tc>
        <w:tc>
          <w:tcPr>
            <w:tcW w:w="3531"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730"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一般</w:t>
            </w:r>
          </w:p>
        </w:tc>
        <w:tc>
          <w:tcPr>
            <w:tcW w:w="2378"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擅自启封换货、改变数量或者将非种用植物和植物产品作种用的，货值一万元以上三万元以下</w:t>
            </w:r>
          </w:p>
        </w:tc>
        <w:tc>
          <w:tcPr>
            <w:tcW w:w="2105"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3737"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非经营活动中的违法行为处以三百元以上六百元以下的罚款；经营活动中的违法行为，无违法所得的处以三千元以上六千元以下罚款；有违法所得的，处以违法所得一倍以上二倍以下的罚款，但最高不超过二万元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6" w:hRule="atLeast"/>
          <w:jc w:val="center"/>
        </w:trPr>
        <w:tc>
          <w:tcPr>
            <w:tcW w:w="421" w:type="dxa"/>
            <w:vMerge w:val="continue"/>
            <w:tcBorders>
              <w:tl2br w:val="nil"/>
              <w:tr2bl w:val="nil"/>
            </w:tcBorders>
            <w:tcMar>
              <w:top w:w="57" w:type="dxa"/>
              <w:left w:w="57" w:type="dxa"/>
              <w:bottom w:w="57" w:type="dxa"/>
              <w:right w:w="57" w:type="dxa"/>
            </w:tcMar>
            <w:vAlign w:val="center"/>
          </w:tcPr>
          <w:p>
            <w:pPr>
              <w:adjustRightInd w:val="0"/>
              <w:snapToGrid w:val="0"/>
              <w:jc w:val="center"/>
              <w:rPr>
                <w:rFonts w:ascii="仿宋_GB2312" w:hAnsi="仿宋_GB2312" w:eastAsia="仿宋_GB2312" w:cs="仿宋_GB2312"/>
                <w:color w:val="000000"/>
                <w:sz w:val="21"/>
                <w:szCs w:val="21"/>
              </w:rPr>
            </w:pPr>
          </w:p>
        </w:tc>
        <w:tc>
          <w:tcPr>
            <w:tcW w:w="1098" w:type="dxa"/>
            <w:vMerge w:val="continue"/>
            <w:tcBorders>
              <w:tl2br w:val="nil"/>
              <w:tr2bl w:val="nil"/>
            </w:tcBorders>
            <w:tcMar>
              <w:top w:w="57" w:type="dxa"/>
              <w:left w:w="57" w:type="dxa"/>
              <w:bottom w:w="57" w:type="dxa"/>
              <w:right w:w="57" w:type="dxa"/>
            </w:tcMar>
            <w:vAlign w:val="center"/>
          </w:tcPr>
          <w:p>
            <w:pPr>
              <w:adjustRightInd w:val="0"/>
              <w:snapToGrid w:val="0"/>
              <w:jc w:val="left"/>
              <w:rPr>
                <w:rFonts w:ascii="仿宋_GB2312" w:hAnsi="仿宋_GB2312" w:eastAsia="仿宋_GB2312" w:cs="仿宋_GB2312"/>
                <w:color w:val="000000"/>
                <w:sz w:val="21"/>
                <w:szCs w:val="21"/>
              </w:rPr>
            </w:pPr>
          </w:p>
        </w:tc>
        <w:tc>
          <w:tcPr>
            <w:tcW w:w="3531"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730"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较重</w:t>
            </w:r>
          </w:p>
        </w:tc>
        <w:tc>
          <w:tcPr>
            <w:tcW w:w="2378"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擅自启封换货、改变数量或者将非种用植物和植物产品作种用的，货值在三万元以上</w:t>
            </w:r>
          </w:p>
        </w:tc>
        <w:tc>
          <w:tcPr>
            <w:tcW w:w="2105"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3737"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非经营活动中的违法行为处以六百元以上一千元以下的罚款；经营活动中的违法行为，无违法所得的处以六千元以上一万元以下的罚款；有违法所得的，处以违法所得二倍以上三倍以下的罚款，但最高不超过三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82" w:hRule="atLeast"/>
          <w:jc w:val="center"/>
        </w:trPr>
        <w:tc>
          <w:tcPr>
            <w:tcW w:w="421" w:type="dxa"/>
            <w:vMerge w:val="restart"/>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4</w:t>
            </w:r>
          </w:p>
        </w:tc>
        <w:tc>
          <w:tcPr>
            <w:tcW w:w="1098" w:type="dxa"/>
            <w:vMerge w:val="restart"/>
            <w:tcBorders>
              <w:tl2br w:val="nil"/>
              <w:tr2bl w:val="nil"/>
            </w:tcBorders>
            <w:tcMar>
              <w:top w:w="57" w:type="dxa"/>
              <w:left w:w="57" w:type="dxa"/>
              <w:bottom w:w="57" w:type="dxa"/>
              <w:right w:w="57" w:type="dxa"/>
            </w:tcMar>
            <w:vAlign w:val="center"/>
          </w:tcPr>
          <w:p>
            <w:pPr>
              <w:widowControl/>
              <w:adjustRightInd w:val="0"/>
              <w:snapToGrid w:val="0"/>
              <w:jc w:val="left"/>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伪造、涂改、买卖、转让植物检疫单证、印章、标志或者故意毁坏封识的</w:t>
            </w:r>
          </w:p>
        </w:tc>
        <w:tc>
          <w:tcPr>
            <w:tcW w:w="3531" w:type="dxa"/>
            <w:vMerge w:val="restart"/>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山东省农业植物检疫办法》第三十六条第一款第（四）项、第二款，违反本办法规定的，有下列行为之一，尚未引起疫情扩散的，由农业植物检疫机构责令限期改正，给予警告，没收违法所得，并可处以罚款；造成损失的，应当承担赔偿责任；构成犯罪的，依法追究刑事责任：</w:t>
            </w:r>
            <w:r>
              <w:rPr>
                <w:rFonts w:hint="eastAsia" w:ascii="仿宋_GB2312" w:hAnsi="仿宋_GB2312" w:eastAsia="仿宋_GB2312" w:cs="仿宋_GB2312"/>
                <w:color w:val="000000"/>
                <w:kern w:val="0"/>
                <w:sz w:val="21"/>
                <w:szCs w:val="21"/>
              </w:rPr>
              <w:br w:type="textWrapping"/>
            </w:r>
            <w:r>
              <w:rPr>
                <w:rFonts w:hint="eastAsia" w:ascii="仿宋_GB2312" w:hAnsi="仿宋_GB2312" w:eastAsia="仿宋_GB2312" w:cs="仿宋_GB2312"/>
                <w:color w:val="000000"/>
                <w:kern w:val="0"/>
                <w:sz w:val="21"/>
                <w:szCs w:val="21"/>
              </w:rPr>
              <w:t xml:space="preserve">    （四）伪造、涂改、买卖、转让植物检疫单证、印章、标志或者故意毁坏封识的。</w:t>
            </w:r>
            <w:r>
              <w:rPr>
                <w:rFonts w:hint="eastAsia" w:ascii="仿宋_GB2312" w:hAnsi="仿宋_GB2312" w:eastAsia="仿宋_GB2312" w:cs="仿宋_GB2312"/>
                <w:color w:val="000000"/>
                <w:kern w:val="0"/>
                <w:sz w:val="21"/>
                <w:szCs w:val="21"/>
              </w:rPr>
              <w:br w:type="textWrapping"/>
            </w:r>
            <w:r>
              <w:rPr>
                <w:rFonts w:hint="eastAsia" w:ascii="仿宋_GB2312" w:hAnsi="仿宋_GB2312" w:eastAsia="仿宋_GB2312" w:cs="仿宋_GB2312"/>
                <w:color w:val="000000"/>
                <w:kern w:val="0"/>
                <w:sz w:val="21"/>
                <w:szCs w:val="21"/>
              </w:rPr>
              <w:t xml:space="preserve">    有前款规定的违法行为之一，属于非经营活动中的违法行为的，处以1000元以下罚款；属于经营活动中的违法行为，有违法所得的，处以违法所得3倍以下罚款，但最高不得超过3万元；没有违法所得的，处以1万元以下罚款。</w:t>
            </w:r>
          </w:p>
        </w:tc>
        <w:tc>
          <w:tcPr>
            <w:tcW w:w="730"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较轻</w:t>
            </w:r>
          </w:p>
        </w:tc>
        <w:tc>
          <w:tcPr>
            <w:tcW w:w="2378"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转让植物检疫单证、印章、标志、封识的</w:t>
            </w:r>
          </w:p>
        </w:tc>
        <w:tc>
          <w:tcPr>
            <w:tcW w:w="2105" w:type="dxa"/>
            <w:vMerge w:val="restart"/>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责令限期改正，警告，没收违法所得</w:t>
            </w:r>
          </w:p>
        </w:tc>
        <w:tc>
          <w:tcPr>
            <w:tcW w:w="3737"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非经营活动中的违法行为处以三百元以下罚款；经营活动中的违法行为，无违法所得的处以三千元以下罚款；有违法所得的，可处以违法所得一倍以下的罚款，但最高不超过一万元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82" w:hRule="atLeast"/>
          <w:jc w:val="center"/>
        </w:trPr>
        <w:tc>
          <w:tcPr>
            <w:tcW w:w="421" w:type="dxa"/>
            <w:vMerge w:val="continue"/>
            <w:tcBorders>
              <w:tl2br w:val="nil"/>
              <w:tr2bl w:val="nil"/>
            </w:tcBorders>
            <w:tcMar>
              <w:top w:w="57" w:type="dxa"/>
              <w:left w:w="57" w:type="dxa"/>
              <w:bottom w:w="57" w:type="dxa"/>
              <w:right w:w="57" w:type="dxa"/>
            </w:tcMar>
            <w:vAlign w:val="center"/>
          </w:tcPr>
          <w:p>
            <w:pPr>
              <w:adjustRightInd w:val="0"/>
              <w:snapToGrid w:val="0"/>
              <w:jc w:val="center"/>
              <w:rPr>
                <w:rFonts w:ascii="仿宋_GB2312" w:hAnsi="仿宋_GB2312" w:eastAsia="仿宋_GB2312" w:cs="仿宋_GB2312"/>
                <w:color w:val="000000"/>
                <w:sz w:val="21"/>
                <w:szCs w:val="21"/>
              </w:rPr>
            </w:pPr>
          </w:p>
        </w:tc>
        <w:tc>
          <w:tcPr>
            <w:tcW w:w="1098" w:type="dxa"/>
            <w:vMerge w:val="continue"/>
            <w:tcBorders>
              <w:tl2br w:val="nil"/>
              <w:tr2bl w:val="nil"/>
            </w:tcBorders>
            <w:tcMar>
              <w:top w:w="57" w:type="dxa"/>
              <w:left w:w="57" w:type="dxa"/>
              <w:bottom w:w="57" w:type="dxa"/>
              <w:right w:w="57" w:type="dxa"/>
            </w:tcMar>
            <w:vAlign w:val="center"/>
          </w:tcPr>
          <w:p>
            <w:pPr>
              <w:adjustRightInd w:val="0"/>
              <w:snapToGrid w:val="0"/>
              <w:jc w:val="left"/>
              <w:rPr>
                <w:rFonts w:ascii="仿宋_GB2312" w:hAnsi="仿宋_GB2312" w:eastAsia="仿宋_GB2312" w:cs="仿宋_GB2312"/>
                <w:color w:val="000000"/>
                <w:sz w:val="21"/>
                <w:szCs w:val="21"/>
              </w:rPr>
            </w:pPr>
          </w:p>
        </w:tc>
        <w:tc>
          <w:tcPr>
            <w:tcW w:w="3531"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730"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一般</w:t>
            </w:r>
          </w:p>
        </w:tc>
        <w:tc>
          <w:tcPr>
            <w:tcW w:w="2378"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涂改、买卖植物检疫单证、印章、标志、封识，造成较大影响的</w:t>
            </w:r>
          </w:p>
        </w:tc>
        <w:tc>
          <w:tcPr>
            <w:tcW w:w="2105"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3737"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非经营活动中的违法行为处以三百元以上六百元以下的罚款；经营活动中的违法行为，无违法所得的处以三千元以上六千元以下罚款；有违法所得的，处以违法所得一倍以上二倍以下的罚款，但最高不超过二万元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06" w:hRule="atLeast"/>
          <w:jc w:val="center"/>
        </w:trPr>
        <w:tc>
          <w:tcPr>
            <w:tcW w:w="421" w:type="dxa"/>
            <w:vMerge w:val="continue"/>
            <w:tcBorders>
              <w:tl2br w:val="nil"/>
              <w:tr2bl w:val="nil"/>
            </w:tcBorders>
            <w:tcMar>
              <w:top w:w="57" w:type="dxa"/>
              <w:left w:w="57" w:type="dxa"/>
              <w:bottom w:w="57" w:type="dxa"/>
              <w:right w:w="57" w:type="dxa"/>
            </w:tcMar>
            <w:vAlign w:val="center"/>
          </w:tcPr>
          <w:p>
            <w:pPr>
              <w:adjustRightInd w:val="0"/>
              <w:snapToGrid w:val="0"/>
              <w:jc w:val="center"/>
              <w:rPr>
                <w:rFonts w:ascii="仿宋_GB2312" w:hAnsi="仿宋_GB2312" w:eastAsia="仿宋_GB2312" w:cs="仿宋_GB2312"/>
                <w:color w:val="000000"/>
                <w:sz w:val="21"/>
                <w:szCs w:val="21"/>
              </w:rPr>
            </w:pPr>
          </w:p>
        </w:tc>
        <w:tc>
          <w:tcPr>
            <w:tcW w:w="1098" w:type="dxa"/>
            <w:vMerge w:val="continue"/>
            <w:tcBorders>
              <w:tl2br w:val="nil"/>
              <w:tr2bl w:val="nil"/>
            </w:tcBorders>
            <w:tcMar>
              <w:top w:w="57" w:type="dxa"/>
              <w:left w:w="57" w:type="dxa"/>
              <w:bottom w:w="57" w:type="dxa"/>
              <w:right w:w="57" w:type="dxa"/>
            </w:tcMar>
            <w:vAlign w:val="center"/>
          </w:tcPr>
          <w:p>
            <w:pPr>
              <w:adjustRightInd w:val="0"/>
              <w:snapToGrid w:val="0"/>
              <w:jc w:val="left"/>
              <w:rPr>
                <w:rFonts w:ascii="仿宋_GB2312" w:hAnsi="仿宋_GB2312" w:eastAsia="仿宋_GB2312" w:cs="仿宋_GB2312"/>
                <w:color w:val="000000"/>
                <w:sz w:val="21"/>
                <w:szCs w:val="21"/>
              </w:rPr>
            </w:pPr>
          </w:p>
        </w:tc>
        <w:tc>
          <w:tcPr>
            <w:tcW w:w="3531"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730"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较重</w:t>
            </w:r>
          </w:p>
        </w:tc>
        <w:tc>
          <w:tcPr>
            <w:tcW w:w="2378"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伪造植物检疫单证、印章、标志、封识，造成恶劣影响的</w:t>
            </w:r>
          </w:p>
        </w:tc>
        <w:tc>
          <w:tcPr>
            <w:tcW w:w="2105"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3737"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非经营活动中的违法行为处以六百元以上一千元以下的罚款；经营活动中的违法行为，无违法所得的处以六千元以上一万元以下的罚款；有违法所得的，处以违法所得二倍以上三倍以下的罚款，但最高不超过三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82" w:hRule="atLeast"/>
          <w:jc w:val="center"/>
        </w:trPr>
        <w:tc>
          <w:tcPr>
            <w:tcW w:w="421" w:type="dxa"/>
            <w:vMerge w:val="restart"/>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5</w:t>
            </w:r>
          </w:p>
        </w:tc>
        <w:tc>
          <w:tcPr>
            <w:tcW w:w="1098" w:type="dxa"/>
            <w:vMerge w:val="restart"/>
            <w:tcBorders>
              <w:tl2br w:val="nil"/>
              <w:tr2bl w:val="nil"/>
            </w:tcBorders>
            <w:tcMar>
              <w:top w:w="57" w:type="dxa"/>
              <w:left w:w="57" w:type="dxa"/>
              <w:bottom w:w="57" w:type="dxa"/>
              <w:right w:w="57" w:type="dxa"/>
            </w:tcMar>
            <w:vAlign w:val="center"/>
          </w:tcPr>
          <w:p>
            <w:pPr>
              <w:widowControl/>
              <w:adjustRightInd w:val="0"/>
              <w:snapToGrid w:val="0"/>
              <w:jc w:val="left"/>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试验、生产、推广带有植物检疫对象的种子、苗木及其他繁殖材料或者未经批准在非疫区进行植物检疫对象试验研究的</w:t>
            </w:r>
          </w:p>
        </w:tc>
        <w:tc>
          <w:tcPr>
            <w:tcW w:w="3531" w:type="dxa"/>
            <w:vMerge w:val="restart"/>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山东省农业植物检疫办法》第三十六条第一款第（五）项、第二款，违反本办法规定的，有下列行为之一，尚未引起疫情扩散的，由农业植物检疫机构责令限期改正，给予警告，没收违法所得，并可处以罚款；造成损失的，应当承担赔偿责任；构成犯罪的，依法追究刑事责任：</w:t>
            </w:r>
            <w:r>
              <w:rPr>
                <w:rFonts w:hint="eastAsia" w:ascii="仿宋_GB2312" w:hAnsi="仿宋_GB2312" w:eastAsia="仿宋_GB2312" w:cs="仿宋_GB2312"/>
                <w:color w:val="000000"/>
                <w:kern w:val="0"/>
                <w:sz w:val="21"/>
                <w:szCs w:val="21"/>
              </w:rPr>
              <w:br w:type="textWrapping"/>
            </w:r>
            <w:r>
              <w:rPr>
                <w:rFonts w:hint="eastAsia" w:ascii="仿宋_GB2312" w:hAnsi="仿宋_GB2312" w:eastAsia="仿宋_GB2312" w:cs="仿宋_GB2312"/>
                <w:color w:val="000000"/>
                <w:kern w:val="0"/>
                <w:sz w:val="21"/>
                <w:szCs w:val="21"/>
              </w:rPr>
              <w:t xml:space="preserve">    (五)试验、生产、推广带有植物检疫对象的种子、苗木及其他繁殖材料或者未经批准在非疫区进行植物检疫对象试验研究的。</w:t>
            </w:r>
            <w:r>
              <w:rPr>
                <w:rFonts w:hint="eastAsia" w:ascii="仿宋_GB2312" w:hAnsi="仿宋_GB2312" w:eastAsia="仿宋_GB2312" w:cs="仿宋_GB2312"/>
                <w:color w:val="000000"/>
                <w:kern w:val="0"/>
                <w:sz w:val="21"/>
                <w:szCs w:val="21"/>
              </w:rPr>
              <w:br w:type="textWrapping"/>
            </w:r>
            <w:r>
              <w:rPr>
                <w:rFonts w:hint="eastAsia" w:ascii="仿宋_GB2312" w:hAnsi="仿宋_GB2312" w:eastAsia="仿宋_GB2312" w:cs="仿宋_GB2312"/>
                <w:color w:val="000000"/>
                <w:kern w:val="0"/>
                <w:sz w:val="21"/>
                <w:szCs w:val="21"/>
              </w:rPr>
              <w:t xml:space="preserve">    有前款规定的违法行为之一，属于非经营活动中的违法行为的，处以1000元以下罚款；属于经营活动中的违法行为，有违法所得的，处以违法所得3倍以下罚款，但最高不得超过3万元；没有违法所得的，处以1万元以下罚款。</w:t>
            </w:r>
          </w:p>
        </w:tc>
        <w:tc>
          <w:tcPr>
            <w:tcW w:w="730"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较轻</w:t>
            </w:r>
          </w:p>
        </w:tc>
        <w:tc>
          <w:tcPr>
            <w:tcW w:w="2378"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试验、生产、推广带有植物检疫对象的种子、苗木及其他繁殖材料或者未经批准在非疫区进行植物检疫对象试验研究的，货值在三千元以内</w:t>
            </w:r>
          </w:p>
        </w:tc>
        <w:tc>
          <w:tcPr>
            <w:tcW w:w="2105" w:type="dxa"/>
            <w:vMerge w:val="restart"/>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责令限期改正，警告，没收违法所得</w:t>
            </w:r>
          </w:p>
        </w:tc>
        <w:tc>
          <w:tcPr>
            <w:tcW w:w="3737"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非经营活动中的违法行为处以三百元以下罚款；经营活动中的违法行为，无违法所得的处以三千元以下罚款；有违法所得的，可处以违法所得一倍以下的罚款，但最高不超过一万元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82" w:hRule="atLeast"/>
          <w:jc w:val="center"/>
        </w:trPr>
        <w:tc>
          <w:tcPr>
            <w:tcW w:w="421" w:type="dxa"/>
            <w:vMerge w:val="continue"/>
            <w:tcBorders>
              <w:tl2br w:val="nil"/>
              <w:tr2bl w:val="nil"/>
            </w:tcBorders>
            <w:tcMar>
              <w:top w:w="57" w:type="dxa"/>
              <w:left w:w="57" w:type="dxa"/>
              <w:bottom w:w="57" w:type="dxa"/>
              <w:right w:w="57" w:type="dxa"/>
            </w:tcMar>
            <w:vAlign w:val="center"/>
          </w:tcPr>
          <w:p>
            <w:pPr>
              <w:adjustRightInd w:val="0"/>
              <w:snapToGrid w:val="0"/>
              <w:jc w:val="center"/>
              <w:rPr>
                <w:rFonts w:ascii="仿宋_GB2312" w:hAnsi="仿宋_GB2312" w:eastAsia="仿宋_GB2312" w:cs="仿宋_GB2312"/>
                <w:color w:val="000000"/>
                <w:sz w:val="21"/>
                <w:szCs w:val="21"/>
              </w:rPr>
            </w:pPr>
          </w:p>
        </w:tc>
        <w:tc>
          <w:tcPr>
            <w:tcW w:w="1098" w:type="dxa"/>
            <w:vMerge w:val="continue"/>
            <w:tcBorders>
              <w:tl2br w:val="nil"/>
              <w:tr2bl w:val="nil"/>
            </w:tcBorders>
            <w:tcMar>
              <w:top w:w="57" w:type="dxa"/>
              <w:left w:w="57" w:type="dxa"/>
              <w:bottom w:w="57" w:type="dxa"/>
              <w:right w:w="57" w:type="dxa"/>
            </w:tcMar>
            <w:vAlign w:val="center"/>
          </w:tcPr>
          <w:p>
            <w:pPr>
              <w:adjustRightInd w:val="0"/>
              <w:snapToGrid w:val="0"/>
              <w:jc w:val="left"/>
              <w:rPr>
                <w:rFonts w:ascii="仿宋_GB2312" w:hAnsi="仿宋_GB2312" w:eastAsia="仿宋_GB2312" w:cs="仿宋_GB2312"/>
                <w:color w:val="000000"/>
                <w:sz w:val="21"/>
                <w:szCs w:val="21"/>
              </w:rPr>
            </w:pPr>
          </w:p>
        </w:tc>
        <w:tc>
          <w:tcPr>
            <w:tcW w:w="3531"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730"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一般</w:t>
            </w:r>
          </w:p>
        </w:tc>
        <w:tc>
          <w:tcPr>
            <w:tcW w:w="2378"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试验、生产、推广带有植物检疫对象的种子、苗木及其他繁殖材料或者未经批准在非疫区进行植物检疫对象试验研究的，货值三千元以上一万元以下</w:t>
            </w:r>
          </w:p>
        </w:tc>
        <w:tc>
          <w:tcPr>
            <w:tcW w:w="2105"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3737"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非经营活动中的违法行为处以三百元以上六百元以下的罚款；经营活动中的违法行为，无违法所得的处以三千元以上六千元以下罚款；有违法所得的，处以违法所得一倍以上二倍以下的罚款，但最高不超过二万元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0" w:hRule="atLeast"/>
          <w:jc w:val="center"/>
        </w:trPr>
        <w:tc>
          <w:tcPr>
            <w:tcW w:w="421" w:type="dxa"/>
            <w:vMerge w:val="continue"/>
            <w:tcBorders>
              <w:tl2br w:val="nil"/>
              <w:tr2bl w:val="nil"/>
            </w:tcBorders>
            <w:tcMar>
              <w:top w:w="57" w:type="dxa"/>
              <w:left w:w="57" w:type="dxa"/>
              <w:bottom w:w="57" w:type="dxa"/>
              <w:right w:w="57" w:type="dxa"/>
            </w:tcMar>
            <w:vAlign w:val="center"/>
          </w:tcPr>
          <w:p>
            <w:pPr>
              <w:adjustRightInd w:val="0"/>
              <w:snapToGrid w:val="0"/>
              <w:jc w:val="center"/>
              <w:rPr>
                <w:rFonts w:ascii="仿宋_GB2312" w:hAnsi="仿宋_GB2312" w:eastAsia="仿宋_GB2312" w:cs="仿宋_GB2312"/>
                <w:color w:val="000000"/>
                <w:sz w:val="21"/>
                <w:szCs w:val="21"/>
              </w:rPr>
            </w:pPr>
          </w:p>
        </w:tc>
        <w:tc>
          <w:tcPr>
            <w:tcW w:w="1098" w:type="dxa"/>
            <w:vMerge w:val="continue"/>
            <w:tcBorders>
              <w:tl2br w:val="nil"/>
              <w:tr2bl w:val="nil"/>
            </w:tcBorders>
            <w:tcMar>
              <w:top w:w="57" w:type="dxa"/>
              <w:left w:w="57" w:type="dxa"/>
              <w:bottom w:w="57" w:type="dxa"/>
              <w:right w:w="57" w:type="dxa"/>
            </w:tcMar>
            <w:vAlign w:val="center"/>
          </w:tcPr>
          <w:p>
            <w:pPr>
              <w:adjustRightInd w:val="0"/>
              <w:snapToGrid w:val="0"/>
              <w:jc w:val="left"/>
              <w:rPr>
                <w:rFonts w:ascii="仿宋_GB2312" w:hAnsi="仿宋_GB2312" w:eastAsia="仿宋_GB2312" w:cs="仿宋_GB2312"/>
                <w:color w:val="000000"/>
                <w:sz w:val="21"/>
                <w:szCs w:val="21"/>
              </w:rPr>
            </w:pPr>
          </w:p>
        </w:tc>
        <w:tc>
          <w:tcPr>
            <w:tcW w:w="3531"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730"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较重</w:t>
            </w:r>
          </w:p>
        </w:tc>
        <w:tc>
          <w:tcPr>
            <w:tcW w:w="2378"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试验、生产、推广带有植物检疫对象的种子、苗木及其他繁殖材料或者未经批准在非疫区进行植物检疫对象试验研究的，货值在一万元以上</w:t>
            </w:r>
          </w:p>
        </w:tc>
        <w:tc>
          <w:tcPr>
            <w:tcW w:w="2105"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3737"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非经营活动中的违法行为处以六百元以上一千元以下的罚款；经营活动中的违法行为，无违法所得的处以六千元以上一万元以下的罚款；有违法所得的，处以违法所得二倍以上三倍以下的罚款，但最高不超过三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61" w:hRule="atLeast"/>
          <w:jc w:val="center"/>
        </w:trPr>
        <w:tc>
          <w:tcPr>
            <w:tcW w:w="421" w:type="dxa"/>
            <w:vMerge w:val="restart"/>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6</w:t>
            </w:r>
          </w:p>
        </w:tc>
        <w:tc>
          <w:tcPr>
            <w:tcW w:w="1098" w:type="dxa"/>
            <w:vMerge w:val="restart"/>
            <w:tcBorders>
              <w:tl2br w:val="nil"/>
              <w:tr2bl w:val="nil"/>
            </w:tcBorders>
            <w:tcMar>
              <w:top w:w="57" w:type="dxa"/>
              <w:left w:w="57" w:type="dxa"/>
              <w:bottom w:w="57" w:type="dxa"/>
              <w:right w:w="57" w:type="dxa"/>
            </w:tcMar>
            <w:vAlign w:val="center"/>
          </w:tcPr>
          <w:p>
            <w:pPr>
              <w:widowControl/>
              <w:adjustRightInd w:val="0"/>
              <w:snapToGrid w:val="0"/>
              <w:jc w:val="left"/>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不在指定地点种植或者不按要求隔离试种，或者隔离试种期间擅自分散种子、苗木及其他繁殖材料的</w:t>
            </w:r>
          </w:p>
        </w:tc>
        <w:tc>
          <w:tcPr>
            <w:tcW w:w="3531" w:type="dxa"/>
            <w:vMerge w:val="restart"/>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山东省农业植物检疫办法》第三十六条地一款第（六）项、第二款，违反本办法规定的，有下列行为之一，尚未引起疫情扩散的，由农业植物检疫机构责令限期改正，给予警告，没收违法所得，并可处以罚款；造成损失的，应当承担赔偿责任；构成犯罪的，依法追究刑事责任：</w:t>
            </w:r>
            <w:r>
              <w:rPr>
                <w:rFonts w:hint="eastAsia" w:ascii="仿宋_GB2312" w:hAnsi="仿宋_GB2312" w:eastAsia="仿宋_GB2312" w:cs="仿宋_GB2312"/>
                <w:color w:val="000000"/>
                <w:kern w:val="0"/>
                <w:sz w:val="21"/>
                <w:szCs w:val="21"/>
              </w:rPr>
              <w:br w:type="textWrapping"/>
            </w:r>
            <w:r>
              <w:rPr>
                <w:rFonts w:hint="eastAsia" w:ascii="仿宋_GB2312" w:hAnsi="仿宋_GB2312" w:eastAsia="仿宋_GB2312" w:cs="仿宋_GB2312"/>
                <w:color w:val="000000"/>
                <w:kern w:val="0"/>
                <w:sz w:val="21"/>
                <w:szCs w:val="21"/>
              </w:rPr>
              <w:t xml:space="preserve">    (六)不在指定地点种植或者不按要求隔离试种，或者隔离试种期间擅自分散种子、苗木及其他繁殖材料的。</w:t>
            </w:r>
            <w:r>
              <w:rPr>
                <w:rFonts w:hint="eastAsia" w:ascii="仿宋_GB2312" w:hAnsi="仿宋_GB2312" w:eastAsia="仿宋_GB2312" w:cs="仿宋_GB2312"/>
                <w:color w:val="000000"/>
                <w:kern w:val="0"/>
                <w:sz w:val="21"/>
                <w:szCs w:val="21"/>
              </w:rPr>
              <w:br w:type="textWrapping"/>
            </w:r>
            <w:r>
              <w:rPr>
                <w:rFonts w:hint="eastAsia" w:ascii="仿宋_GB2312" w:hAnsi="仿宋_GB2312" w:eastAsia="仿宋_GB2312" w:cs="仿宋_GB2312"/>
                <w:color w:val="000000"/>
                <w:kern w:val="0"/>
                <w:sz w:val="21"/>
                <w:szCs w:val="21"/>
              </w:rPr>
              <w:t xml:space="preserve">    有前款规定的违法行为之一，属于非经营活动中的违法行为的，处以1000元以下罚款；属于经营活动中的违法行为，有违法所得的，处以违法所得3倍以下罚款，但最高不得超过3万元；没有违法所得的，处以1万元以下罚款。</w:t>
            </w:r>
          </w:p>
        </w:tc>
        <w:tc>
          <w:tcPr>
            <w:tcW w:w="730"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较轻</w:t>
            </w:r>
          </w:p>
        </w:tc>
        <w:tc>
          <w:tcPr>
            <w:tcW w:w="2378"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不在指定地点种植或者隔离试种期间擅自分散种子一亩以下或不按要求隔离试种苗木及其他繁殖材料二十株以下的</w:t>
            </w:r>
          </w:p>
        </w:tc>
        <w:tc>
          <w:tcPr>
            <w:tcW w:w="2105" w:type="dxa"/>
            <w:vMerge w:val="restart"/>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责令限期改正，警告，没收违法所得</w:t>
            </w:r>
          </w:p>
        </w:tc>
        <w:tc>
          <w:tcPr>
            <w:tcW w:w="3737"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非经营活动中的违法行为处以三百元以下罚款；经营活动中的违法行为，无违法所得的处以三千元以下罚款；有违法所得的，可处以违法所得一倍以下的罚款，但最高不超过一万元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60" w:hRule="atLeast"/>
          <w:jc w:val="center"/>
        </w:trPr>
        <w:tc>
          <w:tcPr>
            <w:tcW w:w="421" w:type="dxa"/>
            <w:vMerge w:val="continue"/>
            <w:tcBorders>
              <w:tl2br w:val="nil"/>
              <w:tr2bl w:val="nil"/>
            </w:tcBorders>
            <w:tcMar>
              <w:top w:w="57" w:type="dxa"/>
              <w:left w:w="57" w:type="dxa"/>
              <w:bottom w:w="57" w:type="dxa"/>
              <w:right w:w="57" w:type="dxa"/>
            </w:tcMar>
            <w:vAlign w:val="center"/>
          </w:tcPr>
          <w:p>
            <w:pPr>
              <w:adjustRightInd w:val="0"/>
              <w:snapToGrid w:val="0"/>
              <w:jc w:val="center"/>
              <w:rPr>
                <w:rFonts w:ascii="仿宋_GB2312" w:hAnsi="仿宋_GB2312" w:eastAsia="仿宋_GB2312" w:cs="仿宋_GB2312"/>
                <w:color w:val="000000"/>
                <w:sz w:val="21"/>
                <w:szCs w:val="21"/>
              </w:rPr>
            </w:pPr>
          </w:p>
        </w:tc>
        <w:tc>
          <w:tcPr>
            <w:tcW w:w="1098" w:type="dxa"/>
            <w:vMerge w:val="continue"/>
            <w:tcBorders>
              <w:tl2br w:val="nil"/>
              <w:tr2bl w:val="nil"/>
            </w:tcBorders>
            <w:tcMar>
              <w:top w:w="57" w:type="dxa"/>
              <w:left w:w="57" w:type="dxa"/>
              <w:bottom w:w="57" w:type="dxa"/>
              <w:right w:w="57" w:type="dxa"/>
            </w:tcMar>
            <w:vAlign w:val="center"/>
          </w:tcPr>
          <w:p>
            <w:pPr>
              <w:adjustRightInd w:val="0"/>
              <w:snapToGrid w:val="0"/>
              <w:jc w:val="left"/>
              <w:rPr>
                <w:rFonts w:ascii="仿宋_GB2312" w:hAnsi="仿宋_GB2312" w:eastAsia="仿宋_GB2312" w:cs="仿宋_GB2312"/>
                <w:color w:val="000000"/>
                <w:sz w:val="21"/>
                <w:szCs w:val="21"/>
              </w:rPr>
            </w:pPr>
          </w:p>
        </w:tc>
        <w:tc>
          <w:tcPr>
            <w:tcW w:w="3531"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730"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一般</w:t>
            </w:r>
          </w:p>
        </w:tc>
        <w:tc>
          <w:tcPr>
            <w:tcW w:w="2378"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不在指定地点种植或者隔离试种期间擅自分散种子一亩以上二亩以下或不按要求隔离试种苗木及其他繁殖材料二十株以上五十株以下的</w:t>
            </w:r>
          </w:p>
        </w:tc>
        <w:tc>
          <w:tcPr>
            <w:tcW w:w="2105"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3737"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非经营活动中的违法行为处以三百元以上六百元以下的罚款；经营活动中的违法行为，无违法所得的处以三千元以上六千元以下罚款；有违法所得的，处以违法所得一倍以上二倍以下的罚款，但最高不超过二万元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88" w:hRule="atLeast"/>
          <w:jc w:val="center"/>
        </w:trPr>
        <w:tc>
          <w:tcPr>
            <w:tcW w:w="421" w:type="dxa"/>
            <w:vMerge w:val="continue"/>
            <w:tcBorders>
              <w:tl2br w:val="nil"/>
              <w:tr2bl w:val="nil"/>
            </w:tcBorders>
            <w:tcMar>
              <w:top w:w="57" w:type="dxa"/>
              <w:left w:w="57" w:type="dxa"/>
              <w:bottom w:w="57" w:type="dxa"/>
              <w:right w:w="57" w:type="dxa"/>
            </w:tcMar>
            <w:vAlign w:val="center"/>
          </w:tcPr>
          <w:p>
            <w:pPr>
              <w:adjustRightInd w:val="0"/>
              <w:snapToGrid w:val="0"/>
              <w:jc w:val="center"/>
              <w:rPr>
                <w:rFonts w:ascii="仿宋_GB2312" w:hAnsi="仿宋_GB2312" w:eastAsia="仿宋_GB2312" w:cs="仿宋_GB2312"/>
                <w:color w:val="000000"/>
                <w:sz w:val="21"/>
                <w:szCs w:val="21"/>
              </w:rPr>
            </w:pPr>
          </w:p>
        </w:tc>
        <w:tc>
          <w:tcPr>
            <w:tcW w:w="1098" w:type="dxa"/>
            <w:vMerge w:val="continue"/>
            <w:tcBorders>
              <w:tl2br w:val="nil"/>
              <w:tr2bl w:val="nil"/>
            </w:tcBorders>
            <w:tcMar>
              <w:top w:w="57" w:type="dxa"/>
              <w:left w:w="57" w:type="dxa"/>
              <w:bottom w:w="57" w:type="dxa"/>
              <w:right w:w="57" w:type="dxa"/>
            </w:tcMar>
            <w:vAlign w:val="center"/>
          </w:tcPr>
          <w:p>
            <w:pPr>
              <w:adjustRightInd w:val="0"/>
              <w:snapToGrid w:val="0"/>
              <w:jc w:val="left"/>
              <w:rPr>
                <w:rFonts w:ascii="仿宋_GB2312" w:hAnsi="仿宋_GB2312" w:eastAsia="仿宋_GB2312" w:cs="仿宋_GB2312"/>
                <w:color w:val="000000"/>
                <w:sz w:val="21"/>
                <w:szCs w:val="21"/>
              </w:rPr>
            </w:pPr>
          </w:p>
        </w:tc>
        <w:tc>
          <w:tcPr>
            <w:tcW w:w="3531"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730"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较重</w:t>
            </w:r>
          </w:p>
        </w:tc>
        <w:tc>
          <w:tcPr>
            <w:tcW w:w="2378"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不在指定地点种植或者隔离试种期间擅自分散种子二亩以上或不按要求隔离试种苗木及其他繁殖材料五十株以上的</w:t>
            </w:r>
          </w:p>
        </w:tc>
        <w:tc>
          <w:tcPr>
            <w:tcW w:w="2105"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3737"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非经营活动中的违法行为处以六百元以上一千元以下的罚款；经营活动中的违法行为，无违法所得的处以六千元以上一万元以下的罚款；有违法所得的，处以违法所得二倍以上三倍以下的罚款，但最高不超过三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82" w:hRule="atLeast"/>
          <w:jc w:val="center"/>
        </w:trPr>
        <w:tc>
          <w:tcPr>
            <w:tcW w:w="421" w:type="dxa"/>
            <w:vMerge w:val="restart"/>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7</w:t>
            </w:r>
          </w:p>
        </w:tc>
        <w:tc>
          <w:tcPr>
            <w:tcW w:w="1098" w:type="dxa"/>
            <w:vMerge w:val="restart"/>
            <w:tcBorders>
              <w:tl2br w:val="nil"/>
              <w:tr2bl w:val="nil"/>
            </w:tcBorders>
            <w:tcMar>
              <w:top w:w="57" w:type="dxa"/>
              <w:left w:w="57" w:type="dxa"/>
              <w:bottom w:w="57" w:type="dxa"/>
              <w:right w:w="57" w:type="dxa"/>
            </w:tcMar>
            <w:vAlign w:val="center"/>
          </w:tcPr>
          <w:p>
            <w:pPr>
              <w:widowControl/>
              <w:adjustRightInd w:val="0"/>
              <w:snapToGrid w:val="0"/>
              <w:jc w:val="left"/>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在调运进境带有疫情的植物和植物产品过程中，造成撒漏、扩散或者下脚料除害处理不彻底的</w:t>
            </w:r>
          </w:p>
        </w:tc>
        <w:tc>
          <w:tcPr>
            <w:tcW w:w="3531" w:type="dxa"/>
            <w:vMerge w:val="restart"/>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山东省农业植物检疫办法》第三十六条第一款第（七）项、第二款，违反本办法规定的，有下列行为之一，尚未引起疫情扩散的，由农业植物检疫机构责令限期改正，给予警告，没收违法所得，并可处以罚款；造成损失的，应当承担赔偿责任；构成犯罪的，依法追究刑事责任：</w:t>
            </w:r>
            <w:r>
              <w:rPr>
                <w:rFonts w:hint="eastAsia" w:ascii="仿宋_GB2312" w:hAnsi="仿宋_GB2312" w:eastAsia="仿宋_GB2312" w:cs="仿宋_GB2312"/>
                <w:color w:val="000000"/>
                <w:kern w:val="0"/>
                <w:sz w:val="21"/>
                <w:szCs w:val="21"/>
              </w:rPr>
              <w:br w:type="textWrapping"/>
            </w:r>
            <w:r>
              <w:rPr>
                <w:rFonts w:hint="eastAsia" w:ascii="仿宋_GB2312" w:hAnsi="仿宋_GB2312" w:eastAsia="仿宋_GB2312" w:cs="仿宋_GB2312"/>
                <w:color w:val="000000"/>
                <w:kern w:val="0"/>
                <w:sz w:val="21"/>
                <w:szCs w:val="21"/>
              </w:rPr>
              <w:t xml:space="preserve">    （七）在调运进境带有疫情的植物和植物产品过程中，造成撒漏、扩散或者下脚料除害处理不彻底的。</w:t>
            </w:r>
            <w:r>
              <w:rPr>
                <w:rFonts w:hint="eastAsia" w:ascii="仿宋_GB2312" w:hAnsi="仿宋_GB2312" w:eastAsia="仿宋_GB2312" w:cs="仿宋_GB2312"/>
                <w:color w:val="000000"/>
                <w:kern w:val="0"/>
                <w:sz w:val="21"/>
                <w:szCs w:val="21"/>
              </w:rPr>
              <w:br w:type="textWrapping"/>
            </w:r>
            <w:r>
              <w:rPr>
                <w:rFonts w:hint="eastAsia" w:ascii="仿宋_GB2312" w:hAnsi="仿宋_GB2312" w:eastAsia="仿宋_GB2312" w:cs="仿宋_GB2312"/>
                <w:color w:val="000000"/>
                <w:kern w:val="0"/>
                <w:sz w:val="21"/>
                <w:szCs w:val="21"/>
              </w:rPr>
              <w:t xml:space="preserve">    有前款规定的违法行为之一，属于非经营活动中的违法行为的，处以1000元以下罚款；属于经营活动中的违法行为，有违法所得的，处以违法所得3倍以下罚款，但最高不得超过3万元；没有违法所得的，处以1万元以下罚款。</w:t>
            </w:r>
          </w:p>
        </w:tc>
        <w:tc>
          <w:tcPr>
            <w:tcW w:w="730"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较轻</w:t>
            </w:r>
          </w:p>
        </w:tc>
        <w:tc>
          <w:tcPr>
            <w:tcW w:w="2378"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在调运进境带有疫情的植物和植物产品过程中，造成撒漏、扩散或者下脚料除害处理不彻底，货值在二万元以下的</w:t>
            </w:r>
          </w:p>
        </w:tc>
        <w:tc>
          <w:tcPr>
            <w:tcW w:w="2105" w:type="dxa"/>
            <w:vMerge w:val="restart"/>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责令限期改正，警告，没收违法所得</w:t>
            </w:r>
          </w:p>
        </w:tc>
        <w:tc>
          <w:tcPr>
            <w:tcW w:w="3737"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非经营活动中的违法行为处以三百元以下罚款；经营活动中的违法行为，无违法所得的处以三千元以下罚款；有违法所得的，可处以违法所得一倍以下的罚款，但最高不超过一万元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82" w:hRule="atLeast"/>
          <w:jc w:val="center"/>
        </w:trPr>
        <w:tc>
          <w:tcPr>
            <w:tcW w:w="421" w:type="dxa"/>
            <w:vMerge w:val="continue"/>
            <w:tcBorders>
              <w:tl2br w:val="nil"/>
              <w:tr2bl w:val="nil"/>
            </w:tcBorders>
            <w:tcMar>
              <w:top w:w="57" w:type="dxa"/>
              <w:left w:w="57" w:type="dxa"/>
              <w:bottom w:w="57" w:type="dxa"/>
              <w:right w:w="57" w:type="dxa"/>
            </w:tcMar>
            <w:vAlign w:val="center"/>
          </w:tcPr>
          <w:p>
            <w:pPr>
              <w:adjustRightInd w:val="0"/>
              <w:snapToGrid w:val="0"/>
              <w:jc w:val="center"/>
              <w:rPr>
                <w:rFonts w:ascii="仿宋_GB2312" w:hAnsi="仿宋_GB2312" w:eastAsia="仿宋_GB2312" w:cs="仿宋_GB2312"/>
                <w:color w:val="000000"/>
                <w:sz w:val="21"/>
                <w:szCs w:val="21"/>
              </w:rPr>
            </w:pPr>
          </w:p>
        </w:tc>
        <w:tc>
          <w:tcPr>
            <w:tcW w:w="1098" w:type="dxa"/>
            <w:vMerge w:val="continue"/>
            <w:tcBorders>
              <w:tl2br w:val="nil"/>
              <w:tr2bl w:val="nil"/>
            </w:tcBorders>
            <w:tcMar>
              <w:top w:w="57" w:type="dxa"/>
              <w:left w:w="57" w:type="dxa"/>
              <w:bottom w:w="57" w:type="dxa"/>
              <w:right w:w="57" w:type="dxa"/>
            </w:tcMar>
            <w:vAlign w:val="center"/>
          </w:tcPr>
          <w:p>
            <w:pPr>
              <w:adjustRightInd w:val="0"/>
              <w:snapToGrid w:val="0"/>
              <w:jc w:val="left"/>
              <w:rPr>
                <w:rFonts w:ascii="仿宋_GB2312" w:hAnsi="仿宋_GB2312" w:eastAsia="仿宋_GB2312" w:cs="仿宋_GB2312"/>
                <w:color w:val="000000"/>
                <w:sz w:val="21"/>
                <w:szCs w:val="21"/>
              </w:rPr>
            </w:pPr>
          </w:p>
        </w:tc>
        <w:tc>
          <w:tcPr>
            <w:tcW w:w="3531"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730"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一般</w:t>
            </w:r>
          </w:p>
        </w:tc>
        <w:tc>
          <w:tcPr>
            <w:tcW w:w="2378"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在调运进境带有疫情的植物和植物产品过程中，造成撒漏、扩散或者下脚料除害处理不彻底，货值在二万元以上五万元以下的</w:t>
            </w:r>
          </w:p>
        </w:tc>
        <w:tc>
          <w:tcPr>
            <w:tcW w:w="2105"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3737"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非经营活动中的违法行为处以三百元以上六百元以下的罚款；经营活动中的违法行为，无违法所得的处以三千元以上六千元以下罚款；有违法所得的，处以违法所得一倍以上二倍以下的罚款，但最高不超过二万元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4" w:hRule="atLeast"/>
          <w:jc w:val="center"/>
        </w:trPr>
        <w:tc>
          <w:tcPr>
            <w:tcW w:w="421" w:type="dxa"/>
            <w:vMerge w:val="continue"/>
            <w:tcBorders>
              <w:tl2br w:val="nil"/>
              <w:tr2bl w:val="nil"/>
            </w:tcBorders>
            <w:tcMar>
              <w:top w:w="57" w:type="dxa"/>
              <w:left w:w="57" w:type="dxa"/>
              <w:bottom w:w="57" w:type="dxa"/>
              <w:right w:w="57" w:type="dxa"/>
            </w:tcMar>
            <w:vAlign w:val="center"/>
          </w:tcPr>
          <w:p>
            <w:pPr>
              <w:adjustRightInd w:val="0"/>
              <w:snapToGrid w:val="0"/>
              <w:jc w:val="center"/>
              <w:rPr>
                <w:rFonts w:ascii="仿宋_GB2312" w:hAnsi="仿宋_GB2312" w:eastAsia="仿宋_GB2312" w:cs="仿宋_GB2312"/>
                <w:color w:val="000000"/>
                <w:sz w:val="24"/>
                <w:szCs w:val="24"/>
              </w:rPr>
            </w:pPr>
          </w:p>
        </w:tc>
        <w:tc>
          <w:tcPr>
            <w:tcW w:w="1098" w:type="dxa"/>
            <w:vMerge w:val="continue"/>
            <w:tcBorders>
              <w:tl2br w:val="nil"/>
              <w:tr2bl w:val="nil"/>
            </w:tcBorders>
            <w:tcMar>
              <w:top w:w="57" w:type="dxa"/>
              <w:left w:w="57" w:type="dxa"/>
              <w:bottom w:w="57" w:type="dxa"/>
              <w:right w:w="57" w:type="dxa"/>
            </w:tcMar>
            <w:vAlign w:val="center"/>
          </w:tcPr>
          <w:p>
            <w:pPr>
              <w:adjustRightInd w:val="0"/>
              <w:snapToGrid w:val="0"/>
              <w:jc w:val="left"/>
              <w:rPr>
                <w:rFonts w:ascii="仿宋_GB2312" w:hAnsi="仿宋_GB2312" w:eastAsia="仿宋_GB2312" w:cs="仿宋_GB2312"/>
                <w:color w:val="000000"/>
                <w:sz w:val="24"/>
                <w:szCs w:val="24"/>
              </w:rPr>
            </w:pPr>
          </w:p>
        </w:tc>
        <w:tc>
          <w:tcPr>
            <w:tcW w:w="3531"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4"/>
                <w:szCs w:val="24"/>
              </w:rPr>
            </w:pPr>
          </w:p>
        </w:tc>
        <w:tc>
          <w:tcPr>
            <w:tcW w:w="730"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较重</w:t>
            </w:r>
          </w:p>
        </w:tc>
        <w:tc>
          <w:tcPr>
            <w:tcW w:w="2378"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在调运进境带有疫情的植物和植物产品过程中，造成撒漏、扩散或者下脚料除害处理不彻底，货值在五万元以上的</w:t>
            </w:r>
          </w:p>
        </w:tc>
        <w:tc>
          <w:tcPr>
            <w:tcW w:w="2105"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3737"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非经营活动中的违法行为处以六百元以上一千元以下的罚款；经营活动中的违法行为，无违法所得的处以六千元以上一万元以下的罚款；有违法所得的，处以违法所得二倍以上三倍以下的罚款，但最高不超过三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3" w:hRule="atLeast"/>
          <w:jc w:val="center"/>
        </w:trPr>
        <w:tc>
          <w:tcPr>
            <w:tcW w:w="421" w:type="dxa"/>
            <w:vMerge w:val="restart"/>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8</w:t>
            </w:r>
          </w:p>
        </w:tc>
        <w:tc>
          <w:tcPr>
            <w:tcW w:w="1098" w:type="dxa"/>
            <w:vMerge w:val="restart"/>
            <w:tcBorders>
              <w:tl2br w:val="nil"/>
              <w:tr2bl w:val="nil"/>
            </w:tcBorders>
            <w:tcMar>
              <w:top w:w="57" w:type="dxa"/>
              <w:left w:w="57" w:type="dxa"/>
              <w:bottom w:w="57" w:type="dxa"/>
              <w:right w:w="57" w:type="dxa"/>
            </w:tcMar>
            <w:vAlign w:val="center"/>
          </w:tcPr>
          <w:p>
            <w:pPr>
              <w:widowControl/>
              <w:adjustRightInd w:val="0"/>
              <w:snapToGrid w:val="0"/>
              <w:jc w:val="left"/>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违反规定，引起疫情扩散的</w:t>
            </w:r>
          </w:p>
        </w:tc>
        <w:tc>
          <w:tcPr>
            <w:tcW w:w="3531" w:type="dxa"/>
            <w:vMerge w:val="restart"/>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1.《植物检疫条例》第十八条第一款第（五）项，有下列行为之一的，植物检疫机构应当责令纠正，可以处以罚款；造成损失的，应当负责赔偿；构成犯罪的，由司法机关依法追究刑事责任：</w:t>
            </w:r>
            <w:r>
              <w:rPr>
                <w:rFonts w:hint="eastAsia" w:ascii="仿宋_GB2312" w:hAnsi="仿宋_GB2312" w:eastAsia="仿宋_GB2312" w:cs="仿宋_GB2312"/>
                <w:color w:val="000000"/>
                <w:kern w:val="0"/>
                <w:sz w:val="21"/>
                <w:szCs w:val="21"/>
              </w:rPr>
              <w:br w:type="textWrapping"/>
            </w:r>
            <w:r>
              <w:rPr>
                <w:rFonts w:hint="eastAsia" w:ascii="仿宋_GB2312" w:hAnsi="仿宋_GB2312" w:eastAsia="仿宋_GB2312" w:cs="仿宋_GB2312"/>
                <w:color w:val="000000"/>
                <w:kern w:val="0"/>
                <w:sz w:val="21"/>
                <w:szCs w:val="21"/>
              </w:rPr>
              <w:t xml:space="preserve">    （五）违反本条例规定，引起疫情扩散的。</w:t>
            </w:r>
            <w:r>
              <w:rPr>
                <w:rFonts w:hint="eastAsia" w:ascii="仿宋_GB2312" w:hAnsi="仿宋_GB2312" w:eastAsia="仿宋_GB2312" w:cs="仿宋_GB2312"/>
                <w:color w:val="000000"/>
                <w:kern w:val="0"/>
                <w:sz w:val="21"/>
                <w:szCs w:val="21"/>
              </w:rPr>
              <w:br w:type="textWrapping"/>
            </w:r>
            <w:r>
              <w:rPr>
                <w:rFonts w:hint="eastAsia" w:ascii="仿宋_GB2312" w:hAnsi="仿宋_GB2312" w:eastAsia="仿宋_GB2312" w:cs="仿宋_GB2312"/>
                <w:color w:val="000000"/>
                <w:kern w:val="0"/>
                <w:sz w:val="21"/>
                <w:szCs w:val="21"/>
              </w:rPr>
              <w:t>2.《山东省农业植物检疫办法》第三十七条，违反本办法规定，引起疫情扩散的，由农业植物检疫机构责令销毁或者进行除害处理，并可处以3000元以上3万元以下的罚款；构成犯罪的，依法追究刑事责任。</w:t>
            </w:r>
          </w:p>
        </w:tc>
        <w:tc>
          <w:tcPr>
            <w:tcW w:w="730"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较轻</w:t>
            </w:r>
          </w:p>
        </w:tc>
        <w:tc>
          <w:tcPr>
            <w:tcW w:w="2378"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违反本条例规定，引起疫情扩散的，一亩以内</w:t>
            </w:r>
          </w:p>
        </w:tc>
        <w:tc>
          <w:tcPr>
            <w:tcW w:w="2105" w:type="dxa"/>
            <w:vMerge w:val="restart"/>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责令销毁或者进行除害处理</w:t>
            </w:r>
          </w:p>
        </w:tc>
        <w:tc>
          <w:tcPr>
            <w:tcW w:w="3737"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处以三千元以上一万元以下的罚款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64" w:hRule="atLeast"/>
          <w:jc w:val="center"/>
        </w:trPr>
        <w:tc>
          <w:tcPr>
            <w:tcW w:w="421" w:type="dxa"/>
            <w:vMerge w:val="continue"/>
            <w:tcBorders>
              <w:tl2br w:val="nil"/>
              <w:tr2bl w:val="nil"/>
            </w:tcBorders>
            <w:tcMar>
              <w:top w:w="57" w:type="dxa"/>
              <w:left w:w="57" w:type="dxa"/>
              <w:bottom w:w="57" w:type="dxa"/>
              <w:right w:w="57" w:type="dxa"/>
            </w:tcMar>
            <w:vAlign w:val="center"/>
          </w:tcPr>
          <w:p>
            <w:pPr>
              <w:adjustRightInd w:val="0"/>
              <w:snapToGrid w:val="0"/>
              <w:jc w:val="center"/>
              <w:rPr>
                <w:rFonts w:ascii="仿宋_GB2312" w:hAnsi="仿宋_GB2312" w:eastAsia="仿宋_GB2312" w:cs="仿宋_GB2312"/>
                <w:color w:val="000000"/>
                <w:sz w:val="21"/>
                <w:szCs w:val="21"/>
              </w:rPr>
            </w:pPr>
          </w:p>
        </w:tc>
        <w:tc>
          <w:tcPr>
            <w:tcW w:w="1098" w:type="dxa"/>
            <w:vMerge w:val="continue"/>
            <w:tcBorders>
              <w:tl2br w:val="nil"/>
              <w:tr2bl w:val="nil"/>
            </w:tcBorders>
            <w:tcMar>
              <w:top w:w="57" w:type="dxa"/>
              <w:left w:w="57" w:type="dxa"/>
              <w:bottom w:w="57" w:type="dxa"/>
              <w:right w:w="57" w:type="dxa"/>
            </w:tcMar>
            <w:vAlign w:val="center"/>
          </w:tcPr>
          <w:p>
            <w:pPr>
              <w:adjustRightInd w:val="0"/>
              <w:snapToGrid w:val="0"/>
              <w:jc w:val="left"/>
              <w:rPr>
                <w:rFonts w:ascii="仿宋_GB2312" w:hAnsi="仿宋_GB2312" w:eastAsia="仿宋_GB2312" w:cs="仿宋_GB2312"/>
                <w:color w:val="000000"/>
                <w:sz w:val="21"/>
                <w:szCs w:val="21"/>
              </w:rPr>
            </w:pPr>
          </w:p>
        </w:tc>
        <w:tc>
          <w:tcPr>
            <w:tcW w:w="3531"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730"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一般</w:t>
            </w:r>
          </w:p>
        </w:tc>
        <w:tc>
          <w:tcPr>
            <w:tcW w:w="2378"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违反本条例规定，引起疫情扩散的，一亩以上十亩以内</w:t>
            </w:r>
          </w:p>
        </w:tc>
        <w:tc>
          <w:tcPr>
            <w:tcW w:w="2105"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3737"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处以一万元以上二万元以下的罚款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4" w:hRule="atLeast"/>
          <w:jc w:val="center"/>
        </w:trPr>
        <w:tc>
          <w:tcPr>
            <w:tcW w:w="421" w:type="dxa"/>
            <w:vMerge w:val="continue"/>
            <w:tcBorders>
              <w:tl2br w:val="nil"/>
              <w:tr2bl w:val="nil"/>
            </w:tcBorders>
            <w:tcMar>
              <w:top w:w="57" w:type="dxa"/>
              <w:left w:w="57" w:type="dxa"/>
              <w:bottom w:w="57" w:type="dxa"/>
              <w:right w:w="57" w:type="dxa"/>
            </w:tcMar>
            <w:vAlign w:val="center"/>
          </w:tcPr>
          <w:p>
            <w:pPr>
              <w:adjustRightInd w:val="0"/>
              <w:snapToGrid w:val="0"/>
              <w:jc w:val="center"/>
              <w:rPr>
                <w:rFonts w:ascii="仿宋_GB2312" w:hAnsi="仿宋_GB2312" w:eastAsia="仿宋_GB2312" w:cs="仿宋_GB2312"/>
                <w:color w:val="000000"/>
                <w:sz w:val="21"/>
                <w:szCs w:val="21"/>
              </w:rPr>
            </w:pPr>
          </w:p>
        </w:tc>
        <w:tc>
          <w:tcPr>
            <w:tcW w:w="1098" w:type="dxa"/>
            <w:vMerge w:val="continue"/>
            <w:tcBorders>
              <w:tl2br w:val="nil"/>
              <w:tr2bl w:val="nil"/>
            </w:tcBorders>
            <w:tcMar>
              <w:top w:w="57" w:type="dxa"/>
              <w:left w:w="57" w:type="dxa"/>
              <w:bottom w:w="57" w:type="dxa"/>
              <w:right w:w="57" w:type="dxa"/>
            </w:tcMar>
            <w:vAlign w:val="center"/>
          </w:tcPr>
          <w:p>
            <w:pPr>
              <w:adjustRightInd w:val="0"/>
              <w:snapToGrid w:val="0"/>
              <w:jc w:val="left"/>
              <w:rPr>
                <w:rFonts w:ascii="仿宋_GB2312" w:hAnsi="仿宋_GB2312" w:eastAsia="仿宋_GB2312" w:cs="仿宋_GB2312"/>
                <w:color w:val="000000"/>
                <w:sz w:val="21"/>
                <w:szCs w:val="21"/>
              </w:rPr>
            </w:pPr>
          </w:p>
        </w:tc>
        <w:tc>
          <w:tcPr>
            <w:tcW w:w="3531"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730"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较重</w:t>
            </w:r>
          </w:p>
        </w:tc>
        <w:tc>
          <w:tcPr>
            <w:tcW w:w="2378"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违反本条例规定，引起疫情扩散的，十亩以上</w:t>
            </w:r>
          </w:p>
        </w:tc>
        <w:tc>
          <w:tcPr>
            <w:tcW w:w="2105"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3737"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处以二万元以上三万元以下的罚款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2" w:hRule="atLeast"/>
          <w:jc w:val="center"/>
        </w:trPr>
        <w:tc>
          <w:tcPr>
            <w:tcW w:w="421" w:type="dxa"/>
            <w:vMerge w:val="restart"/>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9</w:t>
            </w:r>
          </w:p>
        </w:tc>
        <w:tc>
          <w:tcPr>
            <w:tcW w:w="1098" w:type="dxa"/>
            <w:vMerge w:val="restart"/>
            <w:tcBorders>
              <w:tl2br w:val="nil"/>
              <w:tr2bl w:val="nil"/>
            </w:tcBorders>
            <w:tcMar>
              <w:top w:w="57" w:type="dxa"/>
              <w:left w:w="57" w:type="dxa"/>
              <w:bottom w:w="57" w:type="dxa"/>
              <w:right w:w="57" w:type="dxa"/>
            </w:tcMar>
            <w:vAlign w:val="center"/>
          </w:tcPr>
          <w:p>
            <w:pPr>
              <w:widowControl/>
              <w:adjustRightInd w:val="0"/>
              <w:snapToGrid w:val="0"/>
              <w:jc w:val="left"/>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未依照规定，擅自调运植物、植物产品的</w:t>
            </w:r>
          </w:p>
        </w:tc>
        <w:tc>
          <w:tcPr>
            <w:tcW w:w="3531" w:type="dxa"/>
            <w:vMerge w:val="restart"/>
            <w:tcBorders>
              <w:tl2br w:val="nil"/>
              <w:tr2bl w:val="nil"/>
            </w:tcBorders>
            <w:tcMar>
              <w:top w:w="57" w:type="dxa"/>
              <w:left w:w="57" w:type="dxa"/>
              <w:bottom w:w="57" w:type="dxa"/>
              <w:right w:w="57" w:type="dxa"/>
            </w:tcMar>
            <w:vAlign w:val="center"/>
          </w:tcPr>
          <w:p>
            <w:pPr>
              <w:widowControl/>
              <w:adjustRightInd w:val="0"/>
              <w:snapToGrid w:val="0"/>
              <w:spacing w:line="300" w:lineRule="exact"/>
              <w:textAlignment w:val="center"/>
              <w:rPr>
                <w:rFonts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《植物检疫条例实施细则(农业部分)》第二十五条第一款第（四）项、第二款，有下列违法行为之一，尚未构成犯罪的，由植物检疫机构处以罚款：</w:t>
            </w:r>
          </w:p>
          <w:p>
            <w:pPr>
              <w:widowControl/>
              <w:adjustRightInd w:val="0"/>
              <w:snapToGrid w:val="0"/>
              <w:spacing w:line="300" w:lineRule="exact"/>
              <w:ind w:firstLine="315" w:firstLineChars="150"/>
              <w:textAlignment w:val="center"/>
              <w:rPr>
                <w:rFonts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(四)违反《植物检疫条例》第七条、第八条第一款、第十条规定之一，擅自调运植物、植物产品的。</w:t>
            </w:r>
          </w:p>
          <w:p>
            <w:pPr>
              <w:widowControl/>
              <w:adjustRightInd w:val="0"/>
              <w:snapToGrid w:val="0"/>
              <w:spacing w:line="300" w:lineRule="exact"/>
              <w:ind w:firstLine="420" w:firstLineChars="200"/>
              <w:textAlignment w:val="center"/>
              <w:rPr>
                <w:rFonts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罚款按以下标准执行：</w:t>
            </w:r>
          </w:p>
          <w:p>
            <w:pPr>
              <w:widowControl/>
              <w:adjustRightInd w:val="0"/>
              <w:snapToGrid w:val="0"/>
              <w:spacing w:line="300" w:lineRule="exact"/>
              <w:ind w:firstLine="420" w:firstLineChars="200"/>
              <w:textAlignment w:val="center"/>
              <w:rPr>
                <w:rFonts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对于非经营活动中的违法行为，处以1000元以下罚款；对于经营活动中的违法行为，有违法所得的，处以违法所得3倍以下罚款，但最高不得超过3万元；没有违法所得的，处以1万元以下罚款。</w:t>
            </w:r>
          </w:p>
          <w:p>
            <w:pPr>
              <w:widowControl/>
              <w:adjustRightInd w:val="0"/>
              <w:snapToGrid w:val="0"/>
              <w:spacing w:line="300" w:lineRule="exact"/>
              <w:ind w:firstLine="404" w:firstLineChars="200"/>
              <w:textAlignment w:val="center"/>
              <w:rPr>
                <w:rFonts w:ascii="仿宋_GB2312" w:hAnsi="仿宋_GB2312" w:eastAsia="仿宋_GB2312" w:cs="仿宋_GB2312"/>
                <w:color w:val="000000"/>
                <w:spacing w:val="-4"/>
                <w:kern w:val="0"/>
                <w:sz w:val="21"/>
                <w:szCs w:val="21"/>
              </w:rPr>
            </w:pPr>
            <w:r>
              <w:rPr>
                <w:rFonts w:hint="eastAsia" w:ascii="仿宋_GB2312" w:hAnsi="仿宋_GB2312" w:eastAsia="仿宋_GB2312" w:cs="仿宋_GB2312"/>
                <w:color w:val="000000"/>
                <w:spacing w:val="-4"/>
                <w:kern w:val="0"/>
                <w:sz w:val="21"/>
                <w:szCs w:val="21"/>
              </w:rPr>
              <w:t>有本条第一款(二)(三)(四)</w:t>
            </w:r>
          </w:p>
          <w:p>
            <w:pPr>
              <w:widowControl/>
              <w:adjustRightInd w:val="0"/>
              <w:snapToGrid w:val="0"/>
              <w:spacing w:line="300" w:lineRule="exact"/>
              <w:textAlignment w:val="center"/>
              <w:rPr>
                <w:rFonts w:ascii="仿宋_GB2312" w:hAnsi="仿宋_GB2312" w:eastAsia="仿宋_GB2312" w:cs="仿宋_GB2312"/>
                <w:color w:val="000000"/>
                <w:kern w:val="0"/>
                <w:sz w:val="21"/>
                <w:szCs w:val="21"/>
              </w:rPr>
            </w:pPr>
            <w:r>
              <w:rPr>
                <w:rFonts w:hint="eastAsia" w:ascii="仿宋_GB2312" w:hAnsi="仿宋_GB2312" w:eastAsia="仿宋_GB2312" w:cs="仿宋_GB2312"/>
                <w:color w:val="000000"/>
                <w:spacing w:val="-4"/>
                <w:kern w:val="0"/>
                <w:sz w:val="21"/>
                <w:szCs w:val="21"/>
              </w:rPr>
              <w:t>(五)(六)项违法行为之一，引起疫情扩散的，责令当事人销毁或者除害处理</w:t>
            </w:r>
            <w:r>
              <w:rPr>
                <w:rFonts w:hint="eastAsia" w:ascii="仿宋_GB2312" w:hAnsi="仿宋_GB2312" w:eastAsia="仿宋_GB2312" w:cs="仿宋_GB2312"/>
                <w:color w:val="000000"/>
                <w:kern w:val="0"/>
                <w:sz w:val="21"/>
                <w:szCs w:val="21"/>
              </w:rPr>
              <w:t>。</w:t>
            </w:r>
          </w:p>
          <w:p>
            <w:pPr>
              <w:widowControl/>
              <w:adjustRightInd w:val="0"/>
              <w:snapToGrid w:val="0"/>
              <w:spacing w:line="300" w:lineRule="exact"/>
              <w:ind w:firstLine="315" w:firstLineChars="150"/>
              <w:textAlignment w:val="center"/>
              <w:rPr>
                <w:rFonts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有本条第一款违法行为之一，造成损失的，植物检疫机构可以责令其赔偿损失。</w:t>
            </w:r>
            <w:r>
              <w:rPr>
                <w:rFonts w:hint="eastAsia" w:ascii="仿宋_GB2312" w:hAnsi="仿宋_GB2312" w:eastAsia="仿宋_GB2312" w:cs="仿宋_GB2312"/>
                <w:color w:val="000000"/>
                <w:kern w:val="0"/>
                <w:sz w:val="21"/>
                <w:szCs w:val="21"/>
              </w:rPr>
              <w:br w:type="textWrapping"/>
            </w:r>
            <w:r>
              <w:rPr>
                <w:rFonts w:hint="eastAsia" w:ascii="仿宋_GB2312" w:hAnsi="仿宋_GB2312" w:eastAsia="仿宋_GB2312" w:cs="仿宋_GB2312"/>
                <w:color w:val="000000"/>
                <w:kern w:val="0"/>
                <w:sz w:val="21"/>
                <w:szCs w:val="21"/>
              </w:rPr>
              <w:t xml:space="preserve">    有本条第一款(二)(三)(四)</w:t>
            </w:r>
          </w:p>
          <w:p>
            <w:pPr>
              <w:widowControl/>
              <w:adjustRightInd w:val="0"/>
              <w:snapToGrid w:val="0"/>
              <w:spacing w:line="300" w:lineRule="exact"/>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(五)(六)项违法行为之一，以赢利为目的的，植物检疫机构可以没收当事人的非法所得。</w:t>
            </w:r>
          </w:p>
        </w:tc>
        <w:tc>
          <w:tcPr>
            <w:tcW w:w="730"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较轻</w:t>
            </w:r>
          </w:p>
        </w:tc>
        <w:tc>
          <w:tcPr>
            <w:tcW w:w="2378" w:type="dxa"/>
            <w:tcBorders>
              <w:tl2br w:val="nil"/>
              <w:tr2bl w:val="nil"/>
            </w:tcBorders>
            <w:tcMar>
              <w:top w:w="57" w:type="dxa"/>
              <w:left w:w="57" w:type="dxa"/>
              <w:bottom w:w="57" w:type="dxa"/>
              <w:right w:w="57" w:type="dxa"/>
            </w:tcMar>
            <w:vAlign w:val="center"/>
          </w:tcPr>
          <w:p>
            <w:pPr>
              <w:widowControl/>
              <w:adjustRightInd w:val="0"/>
              <w:snapToGrid w:val="0"/>
              <w:jc w:val="left"/>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未依照规定擅自调运、隔离试种或者生产应施检疫的植物、植物产品的，货值在二万元以内</w:t>
            </w:r>
          </w:p>
        </w:tc>
        <w:tc>
          <w:tcPr>
            <w:tcW w:w="2105" w:type="dxa"/>
            <w:vMerge w:val="restart"/>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以赢利为目的的，可以没收当事人的非法所得</w:t>
            </w:r>
          </w:p>
        </w:tc>
        <w:tc>
          <w:tcPr>
            <w:tcW w:w="3737"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非经营活动中的违法行为可处以三百元以下罚款；经营活动中的违法行为，无违法所得的可处以三千元以下罚款；有违法所得的，处以违法所得一倍以下的罚款，但最高不超过一万元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90" w:hRule="atLeast"/>
          <w:jc w:val="center"/>
        </w:trPr>
        <w:tc>
          <w:tcPr>
            <w:tcW w:w="421" w:type="dxa"/>
            <w:vMerge w:val="continue"/>
            <w:tcBorders>
              <w:tl2br w:val="nil"/>
              <w:tr2bl w:val="nil"/>
            </w:tcBorders>
            <w:tcMar>
              <w:top w:w="57" w:type="dxa"/>
              <w:left w:w="57" w:type="dxa"/>
              <w:bottom w:w="57" w:type="dxa"/>
              <w:right w:w="57" w:type="dxa"/>
            </w:tcMar>
            <w:vAlign w:val="center"/>
          </w:tcPr>
          <w:p>
            <w:pPr>
              <w:adjustRightInd w:val="0"/>
              <w:snapToGrid w:val="0"/>
              <w:jc w:val="center"/>
              <w:rPr>
                <w:rFonts w:ascii="仿宋_GB2312" w:hAnsi="仿宋_GB2312" w:eastAsia="仿宋_GB2312" w:cs="仿宋_GB2312"/>
                <w:color w:val="000000"/>
                <w:sz w:val="24"/>
                <w:szCs w:val="24"/>
              </w:rPr>
            </w:pPr>
          </w:p>
        </w:tc>
        <w:tc>
          <w:tcPr>
            <w:tcW w:w="1098" w:type="dxa"/>
            <w:vMerge w:val="continue"/>
            <w:tcBorders>
              <w:tl2br w:val="nil"/>
              <w:tr2bl w:val="nil"/>
            </w:tcBorders>
            <w:tcMar>
              <w:top w:w="57" w:type="dxa"/>
              <w:left w:w="57" w:type="dxa"/>
              <w:bottom w:w="57" w:type="dxa"/>
              <w:right w:w="57" w:type="dxa"/>
            </w:tcMar>
            <w:vAlign w:val="center"/>
          </w:tcPr>
          <w:p>
            <w:pPr>
              <w:adjustRightInd w:val="0"/>
              <w:snapToGrid w:val="0"/>
              <w:jc w:val="left"/>
              <w:rPr>
                <w:rFonts w:ascii="仿宋_GB2312" w:hAnsi="仿宋_GB2312" w:eastAsia="仿宋_GB2312" w:cs="仿宋_GB2312"/>
                <w:color w:val="000000"/>
                <w:sz w:val="24"/>
                <w:szCs w:val="24"/>
              </w:rPr>
            </w:pPr>
          </w:p>
        </w:tc>
        <w:tc>
          <w:tcPr>
            <w:tcW w:w="3531"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4"/>
                <w:szCs w:val="24"/>
              </w:rPr>
            </w:pPr>
          </w:p>
        </w:tc>
        <w:tc>
          <w:tcPr>
            <w:tcW w:w="730"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一般</w:t>
            </w:r>
          </w:p>
        </w:tc>
        <w:tc>
          <w:tcPr>
            <w:tcW w:w="2378"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未依照规定擅自调运、隔离试种或者生产应施检疫的植物、植物产品的，货值二万元以上五万元以下</w:t>
            </w:r>
          </w:p>
        </w:tc>
        <w:tc>
          <w:tcPr>
            <w:tcW w:w="2105"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3737"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非经营活动中的违法行为，处以三百元以上六百元以下罚款；经营活动中的违法行为，无违法所得的处以三千元以上六千元以下罚款；有违法所得的，处以违法所得一倍以上二倍以下的罚款，但最高不超过二万元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2" w:hRule="atLeast"/>
          <w:jc w:val="center"/>
        </w:trPr>
        <w:tc>
          <w:tcPr>
            <w:tcW w:w="421" w:type="dxa"/>
            <w:vMerge w:val="continue"/>
            <w:tcBorders>
              <w:tl2br w:val="nil"/>
              <w:tr2bl w:val="nil"/>
            </w:tcBorders>
            <w:tcMar>
              <w:top w:w="57" w:type="dxa"/>
              <w:left w:w="57" w:type="dxa"/>
              <w:bottom w:w="57" w:type="dxa"/>
              <w:right w:w="57" w:type="dxa"/>
            </w:tcMar>
            <w:vAlign w:val="center"/>
          </w:tcPr>
          <w:p>
            <w:pPr>
              <w:adjustRightInd w:val="0"/>
              <w:snapToGrid w:val="0"/>
              <w:jc w:val="center"/>
              <w:rPr>
                <w:rFonts w:ascii="仿宋_GB2312" w:hAnsi="仿宋_GB2312" w:eastAsia="仿宋_GB2312" w:cs="仿宋_GB2312"/>
                <w:color w:val="000000"/>
                <w:sz w:val="24"/>
                <w:szCs w:val="24"/>
              </w:rPr>
            </w:pPr>
          </w:p>
        </w:tc>
        <w:tc>
          <w:tcPr>
            <w:tcW w:w="1098" w:type="dxa"/>
            <w:vMerge w:val="continue"/>
            <w:tcBorders>
              <w:tl2br w:val="nil"/>
              <w:tr2bl w:val="nil"/>
            </w:tcBorders>
            <w:tcMar>
              <w:top w:w="57" w:type="dxa"/>
              <w:left w:w="57" w:type="dxa"/>
              <w:bottom w:w="57" w:type="dxa"/>
              <w:right w:w="57" w:type="dxa"/>
            </w:tcMar>
            <w:vAlign w:val="center"/>
          </w:tcPr>
          <w:p>
            <w:pPr>
              <w:adjustRightInd w:val="0"/>
              <w:snapToGrid w:val="0"/>
              <w:jc w:val="left"/>
              <w:rPr>
                <w:rFonts w:ascii="仿宋_GB2312" w:hAnsi="仿宋_GB2312" w:eastAsia="仿宋_GB2312" w:cs="仿宋_GB2312"/>
                <w:color w:val="000000"/>
                <w:sz w:val="24"/>
                <w:szCs w:val="24"/>
              </w:rPr>
            </w:pPr>
          </w:p>
        </w:tc>
        <w:tc>
          <w:tcPr>
            <w:tcW w:w="3531"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4"/>
                <w:szCs w:val="24"/>
              </w:rPr>
            </w:pPr>
          </w:p>
        </w:tc>
        <w:tc>
          <w:tcPr>
            <w:tcW w:w="730"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较重</w:t>
            </w:r>
          </w:p>
        </w:tc>
        <w:tc>
          <w:tcPr>
            <w:tcW w:w="2378"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未依照规定擅自调运、隔离试种或者生产应施检疫的植物、植物产品的，货值在五万元以上</w:t>
            </w:r>
          </w:p>
        </w:tc>
        <w:tc>
          <w:tcPr>
            <w:tcW w:w="2105"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3737"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非经营活动中的违法行为处以六百元以上一千元以下的罚款；经营活动中的违法行为，无违法所得的处以六千元以上一万元以下的罚款；有违法所得的，处以违法所得二倍以上三倍以下的罚款，但最高不超过三万元</w:t>
            </w:r>
          </w:p>
        </w:tc>
      </w:tr>
    </w:tbl>
    <w:p>
      <w:pPr>
        <w:pStyle w:val="2"/>
      </w:pPr>
      <w:r>
        <w:br w:type="page"/>
      </w:r>
    </w:p>
    <w:p>
      <w:pPr>
        <w:ind w:firstLine="640" w:firstLineChars="200"/>
      </w:pPr>
      <w:r>
        <w:rPr>
          <w:rFonts w:hint="eastAsia" w:ascii="黑体" w:hAnsi="黑体" w:eastAsia="黑体" w:cs="黑体"/>
          <w:color w:val="000000"/>
          <w:kern w:val="0"/>
          <w:sz w:val="32"/>
          <w:szCs w:val="32"/>
        </w:rPr>
        <w:t>五、农作物病虫害防治</w:t>
      </w:r>
    </w:p>
    <w:tbl>
      <w:tblPr>
        <w:tblStyle w:val="7"/>
        <w:tblW w:w="140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21"/>
        <w:gridCol w:w="1421"/>
        <w:gridCol w:w="4111"/>
        <w:gridCol w:w="850"/>
        <w:gridCol w:w="2977"/>
        <w:gridCol w:w="1843"/>
        <w:gridCol w:w="23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blHeader/>
          <w:jc w:val="center"/>
        </w:trPr>
        <w:tc>
          <w:tcPr>
            <w:tcW w:w="421"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黑体" w:hAnsi="黑体" w:eastAsia="黑体" w:cs="黑体"/>
                <w:color w:val="000000"/>
                <w:sz w:val="24"/>
                <w:szCs w:val="24"/>
              </w:rPr>
            </w:pPr>
            <w:r>
              <w:rPr>
                <w:rFonts w:hint="eastAsia" w:ascii="黑体" w:hAnsi="黑体" w:eastAsia="黑体" w:cs="黑体"/>
                <w:color w:val="000000"/>
                <w:kern w:val="0"/>
                <w:sz w:val="24"/>
                <w:szCs w:val="24"/>
              </w:rPr>
              <w:t>序号</w:t>
            </w:r>
          </w:p>
        </w:tc>
        <w:tc>
          <w:tcPr>
            <w:tcW w:w="1421" w:type="dxa"/>
            <w:tcBorders>
              <w:tl2br w:val="nil"/>
              <w:tr2bl w:val="nil"/>
            </w:tcBorders>
            <w:tcMar>
              <w:top w:w="57" w:type="dxa"/>
              <w:left w:w="57" w:type="dxa"/>
              <w:bottom w:w="57" w:type="dxa"/>
              <w:right w:w="57" w:type="dxa"/>
            </w:tcMar>
            <w:vAlign w:val="center"/>
          </w:tcPr>
          <w:p>
            <w:pPr>
              <w:adjustRightInd w:val="0"/>
              <w:snapToGrid w:val="0"/>
              <w:jc w:val="center"/>
              <w:rPr>
                <w:rFonts w:ascii="黑体" w:hAnsi="黑体" w:eastAsia="黑体" w:cs="黑体"/>
                <w:color w:val="000000"/>
                <w:sz w:val="24"/>
                <w:szCs w:val="24"/>
              </w:rPr>
            </w:pPr>
            <w:r>
              <w:rPr>
                <w:rFonts w:hint="eastAsia" w:ascii="黑体" w:hAnsi="黑体" w:eastAsia="黑体" w:cs="黑体"/>
                <w:color w:val="000000"/>
                <w:kern w:val="0"/>
                <w:sz w:val="24"/>
                <w:szCs w:val="24"/>
              </w:rPr>
              <w:t>违法行为</w:t>
            </w:r>
          </w:p>
        </w:tc>
        <w:tc>
          <w:tcPr>
            <w:tcW w:w="4111"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黑体" w:hAnsi="黑体" w:eastAsia="黑体" w:cs="黑体"/>
                <w:color w:val="000000"/>
                <w:sz w:val="24"/>
                <w:szCs w:val="24"/>
              </w:rPr>
            </w:pPr>
            <w:r>
              <w:rPr>
                <w:rFonts w:hint="eastAsia" w:ascii="黑体" w:hAnsi="黑体" w:eastAsia="黑体" w:cs="黑体"/>
                <w:color w:val="000000"/>
                <w:kern w:val="0"/>
                <w:sz w:val="24"/>
                <w:szCs w:val="24"/>
              </w:rPr>
              <w:t>法律依据</w:t>
            </w:r>
          </w:p>
        </w:tc>
        <w:tc>
          <w:tcPr>
            <w:tcW w:w="850"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黑体" w:hAnsi="黑体" w:eastAsia="黑体" w:cs="黑体"/>
                <w:color w:val="000000"/>
                <w:kern w:val="0"/>
                <w:sz w:val="24"/>
                <w:szCs w:val="24"/>
              </w:rPr>
            </w:pPr>
            <w:r>
              <w:rPr>
                <w:rFonts w:hint="eastAsia" w:ascii="黑体" w:hAnsi="黑体" w:eastAsia="黑体" w:cs="黑体"/>
                <w:color w:val="000000"/>
                <w:kern w:val="0"/>
                <w:sz w:val="24"/>
                <w:szCs w:val="24"/>
              </w:rPr>
              <w:t>违法</w:t>
            </w:r>
          </w:p>
          <w:p>
            <w:pPr>
              <w:widowControl/>
              <w:adjustRightInd w:val="0"/>
              <w:snapToGrid w:val="0"/>
              <w:jc w:val="center"/>
              <w:textAlignment w:val="center"/>
              <w:rPr>
                <w:rFonts w:ascii="黑体" w:hAnsi="黑体" w:eastAsia="黑体" w:cs="黑体"/>
                <w:color w:val="000000"/>
                <w:sz w:val="24"/>
                <w:szCs w:val="24"/>
              </w:rPr>
            </w:pPr>
            <w:r>
              <w:rPr>
                <w:rFonts w:hint="eastAsia" w:ascii="黑体" w:hAnsi="黑体" w:eastAsia="黑体" w:cs="黑体"/>
                <w:color w:val="000000"/>
                <w:kern w:val="0"/>
                <w:sz w:val="24"/>
                <w:szCs w:val="24"/>
              </w:rPr>
              <w:t>程度</w:t>
            </w:r>
          </w:p>
        </w:tc>
        <w:tc>
          <w:tcPr>
            <w:tcW w:w="2977"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黑体" w:hAnsi="黑体" w:eastAsia="黑体" w:cs="黑体"/>
                <w:color w:val="000000"/>
                <w:sz w:val="24"/>
                <w:szCs w:val="24"/>
              </w:rPr>
            </w:pPr>
            <w:r>
              <w:rPr>
                <w:rFonts w:hint="eastAsia" w:ascii="黑体" w:hAnsi="黑体" w:eastAsia="黑体" w:cs="黑体"/>
                <w:color w:val="000000"/>
                <w:kern w:val="0"/>
                <w:sz w:val="24"/>
                <w:szCs w:val="24"/>
              </w:rPr>
              <w:t>违法情节</w:t>
            </w:r>
          </w:p>
        </w:tc>
        <w:tc>
          <w:tcPr>
            <w:tcW w:w="4220" w:type="dxa"/>
            <w:gridSpan w:val="2"/>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黑体" w:hAnsi="黑体" w:eastAsia="黑体" w:cs="黑体"/>
                <w:color w:val="000000"/>
                <w:sz w:val="24"/>
                <w:szCs w:val="24"/>
              </w:rPr>
            </w:pPr>
            <w:r>
              <w:rPr>
                <w:rFonts w:hint="eastAsia" w:ascii="黑体" w:hAnsi="黑体" w:eastAsia="黑体" w:cs="黑体"/>
                <w:color w:val="000000"/>
                <w:kern w:val="0"/>
                <w:sz w:val="24"/>
                <w:szCs w:val="24"/>
              </w:rPr>
              <w:t>裁量标准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421" w:type="dxa"/>
            <w:vMerge w:val="restart"/>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1</w:t>
            </w:r>
          </w:p>
        </w:tc>
        <w:tc>
          <w:tcPr>
            <w:tcW w:w="1421" w:type="dxa"/>
            <w:vMerge w:val="restart"/>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侵占、损毁、拆除、擅自移动农作物病虫害监测设施设备或者以其他方式妨害农作物病虫害监测设施设备正常运行的</w:t>
            </w:r>
          </w:p>
        </w:tc>
        <w:tc>
          <w:tcPr>
            <w:tcW w:w="4111" w:type="dxa"/>
            <w:vMerge w:val="restart"/>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《农作物病虫害防治条例》第四十条　违反本条例规定，侵占、损毁、拆除、擅自移动农作物病虫害监测设施设备或者以其他方式妨害农作物病虫害监测设施设备正常运行的，由县级以上人民政府农业农村主管部门责令停止违法行为，限期恢复原状或者采取其他补救措施，可以处5万元以下罚款；造成损失的，依法承担赔偿责任；构成犯罪的，依法追究刑事责任。</w:t>
            </w:r>
          </w:p>
        </w:tc>
        <w:tc>
          <w:tcPr>
            <w:tcW w:w="850"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较轻</w:t>
            </w:r>
          </w:p>
        </w:tc>
        <w:tc>
          <w:tcPr>
            <w:tcW w:w="2977"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违法情节一般或初次违法，未影响农作物病虫害测报的</w:t>
            </w:r>
          </w:p>
        </w:tc>
        <w:tc>
          <w:tcPr>
            <w:tcW w:w="1843" w:type="dxa"/>
            <w:vMerge w:val="restart"/>
            <w:tcBorders>
              <w:tl2br w:val="nil"/>
              <w:tr2bl w:val="nil"/>
            </w:tcBorders>
            <w:tcMar>
              <w:top w:w="57" w:type="dxa"/>
              <w:left w:w="57" w:type="dxa"/>
              <w:bottom w:w="57" w:type="dxa"/>
              <w:right w:w="57" w:type="dxa"/>
            </w:tcMar>
            <w:vAlign w:val="center"/>
          </w:tcPr>
          <w:p>
            <w:pPr>
              <w:widowControl/>
              <w:adjustRightInd w:val="0"/>
              <w:snapToGrid w:val="0"/>
              <w:jc w:val="left"/>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责令停止违法行为，限期恢复原状或者采取其他补救措施</w:t>
            </w:r>
          </w:p>
        </w:tc>
        <w:tc>
          <w:tcPr>
            <w:tcW w:w="2377" w:type="dxa"/>
            <w:tcBorders>
              <w:tl2br w:val="nil"/>
              <w:tr2bl w:val="nil"/>
            </w:tcBorders>
            <w:tcMar>
              <w:top w:w="57" w:type="dxa"/>
              <w:left w:w="57" w:type="dxa"/>
              <w:bottom w:w="57" w:type="dxa"/>
              <w:right w:w="57" w:type="dxa"/>
            </w:tcMar>
            <w:vAlign w:val="center"/>
          </w:tcPr>
          <w:p>
            <w:pPr>
              <w:widowControl/>
              <w:adjustRightInd w:val="0"/>
              <w:snapToGrid w:val="0"/>
              <w:jc w:val="left"/>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可以处2万元以下罚款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421" w:type="dxa"/>
            <w:vMerge w:val="continue"/>
            <w:tcBorders>
              <w:tl2br w:val="nil"/>
              <w:tr2bl w:val="nil"/>
            </w:tcBorders>
            <w:tcMar>
              <w:top w:w="57" w:type="dxa"/>
              <w:left w:w="57" w:type="dxa"/>
              <w:bottom w:w="57" w:type="dxa"/>
              <w:right w:w="57" w:type="dxa"/>
            </w:tcMar>
            <w:vAlign w:val="center"/>
          </w:tcPr>
          <w:p>
            <w:pPr>
              <w:adjustRightInd w:val="0"/>
              <w:snapToGrid w:val="0"/>
              <w:jc w:val="left"/>
              <w:rPr>
                <w:rFonts w:ascii="仿宋_GB2312" w:hAnsi="仿宋_GB2312" w:eastAsia="仿宋_GB2312" w:cs="仿宋_GB2312"/>
                <w:color w:val="000000"/>
                <w:sz w:val="21"/>
                <w:szCs w:val="21"/>
              </w:rPr>
            </w:pPr>
          </w:p>
        </w:tc>
        <w:tc>
          <w:tcPr>
            <w:tcW w:w="1421"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4111"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850"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一般</w:t>
            </w:r>
          </w:p>
        </w:tc>
        <w:tc>
          <w:tcPr>
            <w:tcW w:w="2977"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违法情节较重，再次违法，未在限期恢复原状或未采取补救措施，影响农作物病虫害测报；或给农业生产造成损失的</w:t>
            </w:r>
          </w:p>
        </w:tc>
        <w:tc>
          <w:tcPr>
            <w:tcW w:w="1843" w:type="dxa"/>
            <w:vMerge w:val="continue"/>
            <w:tcBorders>
              <w:tl2br w:val="nil"/>
              <w:tr2bl w:val="nil"/>
            </w:tcBorders>
            <w:tcMar>
              <w:top w:w="57" w:type="dxa"/>
              <w:left w:w="57" w:type="dxa"/>
              <w:bottom w:w="57" w:type="dxa"/>
              <w:right w:w="57" w:type="dxa"/>
            </w:tcMar>
            <w:vAlign w:val="center"/>
          </w:tcPr>
          <w:p>
            <w:pPr>
              <w:adjustRightInd w:val="0"/>
              <w:snapToGrid w:val="0"/>
              <w:jc w:val="left"/>
              <w:rPr>
                <w:rFonts w:ascii="仿宋_GB2312" w:hAnsi="仿宋_GB2312" w:eastAsia="仿宋_GB2312" w:cs="仿宋_GB2312"/>
                <w:color w:val="000000"/>
                <w:sz w:val="21"/>
                <w:szCs w:val="21"/>
              </w:rPr>
            </w:pPr>
          </w:p>
        </w:tc>
        <w:tc>
          <w:tcPr>
            <w:tcW w:w="2377" w:type="dxa"/>
            <w:tcBorders>
              <w:tl2br w:val="nil"/>
              <w:tr2bl w:val="nil"/>
            </w:tcBorders>
            <w:tcMar>
              <w:top w:w="57" w:type="dxa"/>
              <w:left w:w="57" w:type="dxa"/>
              <w:bottom w:w="57" w:type="dxa"/>
              <w:right w:w="57" w:type="dxa"/>
            </w:tcMar>
            <w:vAlign w:val="center"/>
          </w:tcPr>
          <w:p>
            <w:pPr>
              <w:widowControl/>
              <w:adjustRightInd w:val="0"/>
              <w:snapToGrid w:val="0"/>
              <w:jc w:val="left"/>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可以处2万元以上4万元以下罚款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5" w:hRule="atLeast"/>
          <w:jc w:val="center"/>
        </w:trPr>
        <w:tc>
          <w:tcPr>
            <w:tcW w:w="421" w:type="dxa"/>
            <w:vMerge w:val="continue"/>
            <w:tcBorders>
              <w:tl2br w:val="nil"/>
              <w:tr2bl w:val="nil"/>
            </w:tcBorders>
            <w:tcMar>
              <w:top w:w="57" w:type="dxa"/>
              <w:left w:w="57" w:type="dxa"/>
              <w:bottom w:w="57" w:type="dxa"/>
              <w:right w:w="57" w:type="dxa"/>
            </w:tcMar>
            <w:vAlign w:val="center"/>
          </w:tcPr>
          <w:p>
            <w:pPr>
              <w:adjustRightInd w:val="0"/>
              <w:snapToGrid w:val="0"/>
              <w:jc w:val="left"/>
              <w:rPr>
                <w:rFonts w:ascii="仿宋_GB2312" w:hAnsi="仿宋_GB2312" w:eastAsia="仿宋_GB2312" w:cs="仿宋_GB2312"/>
                <w:color w:val="000000"/>
                <w:sz w:val="21"/>
                <w:szCs w:val="21"/>
              </w:rPr>
            </w:pPr>
          </w:p>
        </w:tc>
        <w:tc>
          <w:tcPr>
            <w:tcW w:w="1421"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4111"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850"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严重</w:t>
            </w:r>
          </w:p>
        </w:tc>
        <w:tc>
          <w:tcPr>
            <w:tcW w:w="2977"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违法情节严重，三次以上违法，未在限期恢复原状或采取其他补救措施，影响农作物病虫害测报；或者给农业生产造成重大损失的</w:t>
            </w:r>
          </w:p>
        </w:tc>
        <w:tc>
          <w:tcPr>
            <w:tcW w:w="1843" w:type="dxa"/>
            <w:vMerge w:val="continue"/>
            <w:tcBorders>
              <w:tl2br w:val="nil"/>
              <w:tr2bl w:val="nil"/>
            </w:tcBorders>
            <w:tcMar>
              <w:top w:w="57" w:type="dxa"/>
              <w:left w:w="57" w:type="dxa"/>
              <w:bottom w:w="57" w:type="dxa"/>
              <w:right w:w="57" w:type="dxa"/>
            </w:tcMar>
            <w:vAlign w:val="center"/>
          </w:tcPr>
          <w:p>
            <w:pPr>
              <w:adjustRightInd w:val="0"/>
              <w:snapToGrid w:val="0"/>
              <w:jc w:val="left"/>
              <w:rPr>
                <w:rFonts w:ascii="仿宋_GB2312" w:hAnsi="仿宋_GB2312" w:eastAsia="仿宋_GB2312" w:cs="仿宋_GB2312"/>
                <w:color w:val="000000"/>
                <w:sz w:val="21"/>
                <w:szCs w:val="21"/>
              </w:rPr>
            </w:pPr>
          </w:p>
        </w:tc>
        <w:tc>
          <w:tcPr>
            <w:tcW w:w="2377" w:type="dxa"/>
            <w:tcBorders>
              <w:tl2br w:val="nil"/>
              <w:tr2bl w:val="nil"/>
            </w:tcBorders>
            <w:tcMar>
              <w:top w:w="57" w:type="dxa"/>
              <w:left w:w="57" w:type="dxa"/>
              <w:bottom w:w="57" w:type="dxa"/>
              <w:right w:w="57" w:type="dxa"/>
            </w:tcMar>
            <w:vAlign w:val="center"/>
          </w:tcPr>
          <w:p>
            <w:pPr>
              <w:widowControl/>
              <w:adjustRightInd w:val="0"/>
              <w:snapToGrid w:val="0"/>
              <w:jc w:val="left"/>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可以处4万元以上5万元以下罚款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421" w:type="dxa"/>
            <w:vMerge w:val="restart"/>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2</w:t>
            </w:r>
          </w:p>
        </w:tc>
        <w:tc>
          <w:tcPr>
            <w:tcW w:w="1421" w:type="dxa"/>
            <w:vMerge w:val="restart"/>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擅自向社会发布农作物病虫害预报或者灾情信息</w:t>
            </w:r>
          </w:p>
        </w:tc>
        <w:tc>
          <w:tcPr>
            <w:tcW w:w="4111" w:type="dxa"/>
            <w:vMerge w:val="restart"/>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《农作物病虫害防治条例》第四十一条　违反本条例规定，有下列行为之一的，由县级以上人民政府农业农村主管部门处5000元以上5万元以下罚款；情节严重的，处5万元以上10万元以下罚款；造成损失的，依法承担赔偿责任；构成犯罪的，依法追究刑事责任：</w:t>
            </w:r>
            <w:r>
              <w:rPr>
                <w:rFonts w:hint="eastAsia" w:ascii="仿宋_GB2312" w:hAnsi="仿宋_GB2312" w:eastAsia="仿宋_GB2312" w:cs="仿宋_GB2312"/>
                <w:color w:val="000000"/>
                <w:kern w:val="0"/>
                <w:sz w:val="21"/>
                <w:szCs w:val="21"/>
              </w:rPr>
              <w:br w:type="textWrapping"/>
            </w:r>
            <w:r>
              <w:rPr>
                <w:rFonts w:hint="eastAsia" w:ascii="仿宋_GB2312" w:hAnsi="仿宋_GB2312" w:eastAsia="仿宋_GB2312" w:cs="仿宋_GB2312"/>
                <w:color w:val="000000"/>
                <w:kern w:val="0"/>
                <w:sz w:val="21"/>
                <w:szCs w:val="21"/>
              </w:rPr>
              <w:t>(一)擅自向社会发布农作物病虫害预报或者灾情信息；</w:t>
            </w:r>
          </w:p>
        </w:tc>
        <w:tc>
          <w:tcPr>
            <w:tcW w:w="850"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较轻</w:t>
            </w:r>
          </w:p>
        </w:tc>
        <w:tc>
          <w:tcPr>
            <w:tcW w:w="2977"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初次违法，未造成经济损失或损失较小的</w:t>
            </w:r>
          </w:p>
        </w:tc>
        <w:tc>
          <w:tcPr>
            <w:tcW w:w="4220" w:type="dxa"/>
            <w:gridSpan w:val="2"/>
            <w:tcBorders>
              <w:tl2br w:val="nil"/>
              <w:tr2bl w:val="nil"/>
            </w:tcBorders>
            <w:tcMar>
              <w:top w:w="57" w:type="dxa"/>
              <w:left w:w="57" w:type="dxa"/>
              <w:bottom w:w="57" w:type="dxa"/>
              <w:right w:w="57" w:type="dxa"/>
            </w:tcMar>
            <w:vAlign w:val="center"/>
          </w:tcPr>
          <w:p>
            <w:pPr>
              <w:widowControl/>
              <w:adjustRightInd w:val="0"/>
              <w:snapToGrid w:val="0"/>
              <w:jc w:val="left"/>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处以5000元以上2万元以下罚款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421" w:type="dxa"/>
            <w:vMerge w:val="continue"/>
            <w:tcBorders>
              <w:tl2br w:val="nil"/>
              <w:tr2bl w:val="nil"/>
            </w:tcBorders>
            <w:tcMar>
              <w:top w:w="57" w:type="dxa"/>
              <w:left w:w="57" w:type="dxa"/>
              <w:bottom w:w="57" w:type="dxa"/>
              <w:right w:w="57" w:type="dxa"/>
            </w:tcMar>
            <w:vAlign w:val="center"/>
          </w:tcPr>
          <w:p>
            <w:pPr>
              <w:adjustRightInd w:val="0"/>
              <w:snapToGrid w:val="0"/>
              <w:jc w:val="center"/>
              <w:rPr>
                <w:rFonts w:ascii="仿宋_GB2312" w:hAnsi="仿宋_GB2312" w:eastAsia="仿宋_GB2312" w:cs="仿宋_GB2312"/>
                <w:color w:val="000000"/>
                <w:sz w:val="21"/>
                <w:szCs w:val="21"/>
              </w:rPr>
            </w:pPr>
          </w:p>
        </w:tc>
        <w:tc>
          <w:tcPr>
            <w:tcW w:w="1421"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4111"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850"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一般</w:t>
            </w:r>
          </w:p>
        </w:tc>
        <w:tc>
          <w:tcPr>
            <w:tcW w:w="2977"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再次违法，或造成一定经济损失的</w:t>
            </w:r>
          </w:p>
        </w:tc>
        <w:tc>
          <w:tcPr>
            <w:tcW w:w="4220" w:type="dxa"/>
            <w:gridSpan w:val="2"/>
            <w:tcBorders>
              <w:tl2br w:val="nil"/>
              <w:tr2bl w:val="nil"/>
            </w:tcBorders>
            <w:tcMar>
              <w:top w:w="57" w:type="dxa"/>
              <w:left w:w="57" w:type="dxa"/>
              <w:bottom w:w="57" w:type="dxa"/>
              <w:right w:w="57" w:type="dxa"/>
            </w:tcMar>
            <w:vAlign w:val="center"/>
          </w:tcPr>
          <w:p>
            <w:pPr>
              <w:widowControl/>
              <w:adjustRightInd w:val="0"/>
              <w:snapToGrid w:val="0"/>
              <w:jc w:val="left"/>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处以2万元以上5万元以下罚款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421" w:type="dxa"/>
            <w:vMerge w:val="continue"/>
            <w:tcBorders>
              <w:tl2br w:val="nil"/>
              <w:tr2bl w:val="nil"/>
            </w:tcBorders>
            <w:tcMar>
              <w:top w:w="57" w:type="dxa"/>
              <w:left w:w="57" w:type="dxa"/>
              <w:bottom w:w="57" w:type="dxa"/>
              <w:right w:w="57" w:type="dxa"/>
            </w:tcMar>
            <w:vAlign w:val="center"/>
          </w:tcPr>
          <w:p>
            <w:pPr>
              <w:adjustRightInd w:val="0"/>
              <w:snapToGrid w:val="0"/>
              <w:jc w:val="center"/>
              <w:rPr>
                <w:rFonts w:ascii="仿宋_GB2312" w:hAnsi="仿宋_GB2312" w:eastAsia="仿宋_GB2312" w:cs="仿宋_GB2312"/>
                <w:color w:val="000000"/>
                <w:sz w:val="21"/>
                <w:szCs w:val="21"/>
              </w:rPr>
            </w:pPr>
          </w:p>
        </w:tc>
        <w:tc>
          <w:tcPr>
            <w:tcW w:w="1421"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4111"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850"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较重</w:t>
            </w:r>
          </w:p>
        </w:tc>
        <w:tc>
          <w:tcPr>
            <w:tcW w:w="2977"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多次违法，或造成较大经济损失的</w:t>
            </w:r>
          </w:p>
        </w:tc>
        <w:tc>
          <w:tcPr>
            <w:tcW w:w="4220" w:type="dxa"/>
            <w:gridSpan w:val="2"/>
            <w:tcBorders>
              <w:tl2br w:val="nil"/>
              <w:tr2bl w:val="nil"/>
            </w:tcBorders>
            <w:tcMar>
              <w:top w:w="57" w:type="dxa"/>
              <w:left w:w="57" w:type="dxa"/>
              <w:bottom w:w="57" w:type="dxa"/>
              <w:right w:w="57" w:type="dxa"/>
            </w:tcMar>
            <w:vAlign w:val="center"/>
          </w:tcPr>
          <w:p>
            <w:pPr>
              <w:widowControl/>
              <w:adjustRightInd w:val="0"/>
              <w:snapToGrid w:val="0"/>
              <w:jc w:val="left"/>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处以5万元以上7万元以下罚款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421" w:type="dxa"/>
            <w:vMerge w:val="continue"/>
            <w:tcBorders>
              <w:tl2br w:val="nil"/>
              <w:tr2bl w:val="nil"/>
            </w:tcBorders>
            <w:tcMar>
              <w:top w:w="57" w:type="dxa"/>
              <w:left w:w="57" w:type="dxa"/>
              <w:bottom w:w="57" w:type="dxa"/>
              <w:right w:w="57" w:type="dxa"/>
            </w:tcMar>
            <w:vAlign w:val="center"/>
          </w:tcPr>
          <w:p>
            <w:pPr>
              <w:adjustRightInd w:val="0"/>
              <w:snapToGrid w:val="0"/>
              <w:jc w:val="center"/>
              <w:rPr>
                <w:rFonts w:ascii="仿宋_GB2312" w:hAnsi="仿宋_GB2312" w:eastAsia="仿宋_GB2312" w:cs="仿宋_GB2312"/>
                <w:color w:val="000000"/>
                <w:sz w:val="21"/>
                <w:szCs w:val="21"/>
              </w:rPr>
            </w:pPr>
          </w:p>
        </w:tc>
        <w:tc>
          <w:tcPr>
            <w:tcW w:w="1421"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4111"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850"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严重</w:t>
            </w:r>
          </w:p>
        </w:tc>
        <w:tc>
          <w:tcPr>
            <w:tcW w:w="2977"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多次违法，或造成严重经济损失的</w:t>
            </w:r>
          </w:p>
        </w:tc>
        <w:tc>
          <w:tcPr>
            <w:tcW w:w="4220" w:type="dxa"/>
            <w:gridSpan w:val="2"/>
            <w:tcBorders>
              <w:tl2br w:val="nil"/>
              <w:tr2bl w:val="nil"/>
            </w:tcBorders>
            <w:tcMar>
              <w:top w:w="57" w:type="dxa"/>
              <w:left w:w="57" w:type="dxa"/>
              <w:bottom w:w="57" w:type="dxa"/>
              <w:right w:w="57" w:type="dxa"/>
            </w:tcMar>
            <w:vAlign w:val="center"/>
          </w:tcPr>
          <w:p>
            <w:pPr>
              <w:widowControl/>
              <w:adjustRightInd w:val="0"/>
              <w:snapToGrid w:val="0"/>
              <w:jc w:val="left"/>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处以7万元以上10万元以下罚款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421" w:type="dxa"/>
            <w:vMerge w:val="restart"/>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3</w:t>
            </w:r>
          </w:p>
        </w:tc>
        <w:tc>
          <w:tcPr>
            <w:tcW w:w="1421" w:type="dxa"/>
            <w:vMerge w:val="restart"/>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从事农作物病虫害研究、饲养、繁殖、运输、展览等活动未采取有效措施，造成农作物病虫害逃逸、扩散的</w:t>
            </w:r>
          </w:p>
        </w:tc>
        <w:tc>
          <w:tcPr>
            <w:tcW w:w="4111" w:type="dxa"/>
            <w:vMerge w:val="restart"/>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《农作物病虫害防治条例》第四十一条　违反本条例规定，有下列行为之一的，由县级以上人民政府农业农村主管部门处5000元以上5万元以下罚款；情节严重的，处5万元以上10万元以下罚款；造成损失的，依法承担赔偿责任；构成犯罪的，依法追究刑事责任：</w:t>
            </w:r>
            <w:r>
              <w:rPr>
                <w:rFonts w:hint="eastAsia" w:ascii="仿宋_GB2312" w:hAnsi="仿宋_GB2312" w:eastAsia="仿宋_GB2312" w:cs="仿宋_GB2312"/>
                <w:color w:val="000000"/>
                <w:kern w:val="0"/>
                <w:sz w:val="21"/>
                <w:szCs w:val="21"/>
              </w:rPr>
              <w:br w:type="textWrapping"/>
            </w:r>
            <w:r>
              <w:rPr>
                <w:rFonts w:hint="eastAsia" w:ascii="仿宋_GB2312" w:hAnsi="仿宋_GB2312" w:eastAsia="仿宋_GB2312" w:cs="仿宋_GB2312"/>
                <w:color w:val="000000"/>
                <w:kern w:val="0"/>
                <w:sz w:val="21"/>
                <w:szCs w:val="21"/>
              </w:rPr>
              <w:t>(二)从事农作物病虫害研究、饲养、繁殖、运输、展览等活动未采取有效措施，造成农作物病虫害逃逸、扩散；</w:t>
            </w:r>
          </w:p>
        </w:tc>
        <w:tc>
          <w:tcPr>
            <w:tcW w:w="850"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较轻</w:t>
            </w:r>
          </w:p>
        </w:tc>
        <w:tc>
          <w:tcPr>
            <w:tcW w:w="2977"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 xml:space="preserve">违法行为轻微，未造成经济损失或损失较小的  </w:t>
            </w:r>
          </w:p>
        </w:tc>
        <w:tc>
          <w:tcPr>
            <w:tcW w:w="4220" w:type="dxa"/>
            <w:gridSpan w:val="2"/>
            <w:tcBorders>
              <w:tl2br w:val="nil"/>
              <w:tr2bl w:val="nil"/>
            </w:tcBorders>
            <w:tcMar>
              <w:top w:w="57" w:type="dxa"/>
              <w:left w:w="57" w:type="dxa"/>
              <w:bottom w:w="57" w:type="dxa"/>
              <w:right w:w="57" w:type="dxa"/>
            </w:tcMar>
            <w:vAlign w:val="center"/>
          </w:tcPr>
          <w:p>
            <w:pPr>
              <w:widowControl/>
              <w:adjustRightInd w:val="0"/>
              <w:snapToGrid w:val="0"/>
              <w:jc w:val="left"/>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处以5000元以上2万元以下罚款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421" w:type="dxa"/>
            <w:vMerge w:val="continue"/>
            <w:tcBorders>
              <w:tl2br w:val="nil"/>
              <w:tr2bl w:val="nil"/>
            </w:tcBorders>
            <w:tcMar>
              <w:top w:w="57" w:type="dxa"/>
              <w:left w:w="57" w:type="dxa"/>
              <w:bottom w:w="57" w:type="dxa"/>
              <w:right w:w="57" w:type="dxa"/>
            </w:tcMar>
            <w:vAlign w:val="center"/>
          </w:tcPr>
          <w:p>
            <w:pPr>
              <w:adjustRightInd w:val="0"/>
              <w:snapToGrid w:val="0"/>
              <w:jc w:val="center"/>
              <w:rPr>
                <w:rFonts w:ascii="仿宋_GB2312" w:hAnsi="仿宋_GB2312" w:eastAsia="仿宋_GB2312" w:cs="仿宋_GB2312"/>
                <w:color w:val="000000"/>
                <w:sz w:val="21"/>
                <w:szCs w:val="21"/>
              </w:rPr>
            </w:pPr>
          </w:p>
        </w:tc>
        <w:tc>
          <w:tcPr>
            <w:tcW w:w="1421"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4111"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850"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一般</w:t>
            </w:r>
          </w:p>
        </w:tc>
        <w:tc>
          <w:tcPr>
            <w:tcW w:w="2977"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造成逃逸、扩散的病虫害有一定危险性但不高，扩散能力不强，或造成一定经济损失的</w:t>
            </w:r>
          </w:p>
        </w:tc>
        <w:tc>
          <w:tcPr>
            <w:tcW w:w="4220" w:type="dxa"/>
            <w:gridSpan w:val="2"/>
            <w:tcBorders>
              <w:tl2br w:val="nil"/>
              <w:tr2bl w:val="nil"/>
            </w:tcBorders>
            <w:tcMar>
              <w:top w:w="57" w:type="dxa"/>
              <w:left w:w="57" w:type="dxa"/>
              <w:bottom w:w="57" w:type="dxa"/>
              <w:right w:w="57" w:type="dxa"/>
            </w:tcMar>
            <w:vAlign w:val="center"/>
          </w:tcPr>
          <w:p>
            <w:pPr>
              <w:widowControl/>
              <w:adjustRightInd w:val="0"/>
              <w:snapToGrid w:val="0"/>
              <w:jc w:val="left"/>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处以2万元以上5万元以下罚款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2" w:hRule="atLeast"/>
          <w:jc w:val="center"/>
        </w:trPr>
        <w:tc>
          <w:tcPr>
            <w:tcW w:w="421" w:type="dxa"/>
            <w:vMerge w:val="continue"/>
            <w:tcBorders>
              <w:tl2br w:val="nil"/>
              <w:tr2bl w:val="nil"/>
            </w:tcBorders>
            <w:tcMar>
              <w:top w:w="57" w:type="dxa"/>
              <w:left w:w="57" w:type="dxa"/>
              <w:bottom w:w="57" w:type="dxa"/>
              <w:right w:w="57" w:type="dxa"/>
            </w:tcMar>
            <w:vAlign w:val="center"/>
          </w:tcPr>
          <w:p>
            <w:pPr>
              <w:adjustRightInd w:val="0"/>
              <w:snapToGrid w:val="0"/>
              <w:jc w:val="center"/>
              <w:rPr>
                <w:rFonts w:ascii="仿宋_GB2312" w:hAnsi="仿宋_GB2312" w:eastAsia="仿宋_GB2312" w:cs="仿宋_GB2312"/>
                <w:color w:val="000000"/>
                <w:sz w:val="21"/>
                <w:szCs w:val="21"/>
              </w:rPr>
            </w:pPr>
          </w:p>
        </w:tc>
        <w:tc>
          <w:tcPr>
            <w:tcW w:w="1421"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4111"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850"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较重</w:t>
            </w:r>
          </w:p>
        </w:tc>
        <w:tc>
          <w:tcPr>
            <w:tcW w:w="2977"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造成逃逸、扩散的病虫害危险性较高，扩散能力较强，或造成较大经济损失的</w:t>
            </w:r>
          </w:p>
        </w:tc>
        <w:tc>
          <w:tcPr>
            <w:tcW w:w="4220" w:type="dxa"/>
            <w:gridSpan w:val="2"/>
            <w:tcBorders>
              <w:tl2br w:val="nil"/>
              <w:tr2bl w:val="nil"/>
            </w:tcBorders>
            <w:tcMar>
              <w:top w:w="57" w:type="dxa"/>
              <w:left w:w="57" w:type="dxa"/>
              <w:bottom w:w="57" w:type="dxa"/>
              <w:right w:w="57" w:type="dxa"/>
            </w:tcMar>
            <w:vAlign w:val="center"/>
          </w:tcPr>
          <w:p>
            <w:pPr>
              <w:widowControl/>
              <w:adjustRightInd w:val="0"/>
              <w:snapToGrid w:val="0"/>
              <w:jc w:val="left"/>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处以5万元以上7万元以下罚款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3" w:hRule="atLeast"/>
          <w:jc w:val="center"/>
        </w:trPr>
        <w:tc>
          <w:tcPr>
            <w:tcW w:w="421" w:type="dxa"/>
            <w:vMerge w:val="continue"/>
            <w:tcBorders>
              <w:tl2br w:val="nil"/>
              <w:tr2bl w:val="nil"/>
            </w:tcBorders>
            <w:tcMar>
              <w:top w:w="57" w:type="dxa"/>
              <w:left w:w="57" w:type="dxa"/>
              <w:bottom w:w="57" w:type="dxa"/>
              <w:right w:w="57" w:type="dxa"/>
            </w:tcMar>
            <w:vAlign w:val="center"/>
          </w:tcPr>
          <w:p>
            <w:pPr>
              <w:adjustRightInd w:val="0"/>
              <w:snapToGrid w:val="0"/>
              <w:jc w:val="center"/>
              <w:rPr>
                <w:rFonts w:ascii="仿宋_GB2312" w:hAnsi="仿宋_GB2312" w:eastAsia="仿宋_GB2312" w:cs="仿宋_GB2312"/>
                <w:color w:val="000000"/>
                <w:sz w:val="21"/>
                <w:szCs w:val="21"/>
              </w:rPr>
            </w:pPr>
          </w:p>
        </w:tc>
        <w:tc>
          <w:tcPr>
            <w:tcW w:w="1421"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4111"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850"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严重</w:t>
            </w:r>
          </w:p>
        </w:tc>
        <w:tc>
          <w:tcPr>
            <w:tcW w:w="2977"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造成逃逸、扩散的病虫害危险性高，扩散能力强，或造成严重经济损失的</w:t>
            </w:r>
          </w:p>
        </w:tc>
        <w:tc>
          <w:tcPr>
            <w:tcW w:w="4220" w:type="dxa"/>
            <w:gridSpan w:val="2"/>
            <w:tcBorders>
              <w:tl2br w:val="nil"/>
              <w:tr2bl w:val="nil"/>
            </w:tcBorders>
            <w:tcMar>
              <w:top w:w="57" w:type="dxa"/>
              <w:left w:w="57" w:type="dxa"/>
              <w:bottom w:w="57" w:type="dxa"/>
              <w:right w:w="57" w:type="dxa"/>
            </w:tcMar>
            <w:vAlign w:val="center"/>
          </w:tcPr>
          <w:p>
            <w:pPr>
              <w:widowControl/>
              <w:adjustRightInd w:val="0"/>
              <w:snapToGrid w:val="0"/>
              <w:jc w:val="left"/>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处以7万元以上10万元以下罚款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1" w:hRule="atLeast"/>
          <w:jc w:val="center"/>
        </w:trPr>
        <w:tc>
          <w:tcPr>
            <w:tcW w:w="421" w:type="dxa"/>
            <w:vMerge w:val="restart"/>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4</w:t>
            </w:r>
          </w:p>
        </w:tc>
        <w:tc>
          <w:tcPr>
            <w:tcW w:w="1421" w:type="dxa"/>
            <w:vMerge w:val="restart"/>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开展农作物病虫害预防控制航空作业未按照国家有关规定进行公告的</w:t>
            </w:r>
          </w:p>
        </w:tc>
        <w:tc>
          <w:tcPr>
            <w:tcW w:w="4111" w:type="dxa"/>
            <w:vMerge w:val="restart"/>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《农作物病虫害防治条例》第四十一条　违反本条例规定，有下列行为之一的，由县级以上人民政府农业农村主管部门处5000元以上5万元以下罚款；情节严重的，处5万元以上10万元以下罚款；造成损失的，依法承担赔偿责任；构成犯罪的，依法追究刑事责任：</w:t>
            </w:r>
            <w:r>
              <w:rPr>
                <w:rFonts w:hint="eastAsia" w:ascii="仿宋_GB2312" w:hAnsi="仿宋_GB2312" w:eastAsia="仿宋_GB2312" w:cs="仿宋_GB2312"/>
                <w:color w:val="000000"/>
                <w:kern w:val="0"/>
                <w:sz w:val="21"/>
                <w:szCs w:val="21"/>
              </w:rPr>
              <w:br w:type="textWrapping"/>
            </w:r>
            <w:r>
              <w:rPr>
                <w:rFonts w:hint="eastAsia" w:ascii="仿宋_GB2312" w:hAnsi="仿宋_GB2312" w:eastAsia="仿宋_GB2312" w:cs="仿宋_GB2312"/>
                <w:color w:val="000000"/>
                <w:kern w:val="0"/>
                <w:sz w:val="21"/>
                <w:szCs w:val="21"/>
              </w:rPr>
              <w:t xml:space="preserve"> (三)开展农作物病虫害预防控制航空作业未按照国家有关规定进行公告。</w:t>
            </w:r>
          </w:p>
        </w:tc>
        <w:tc>
          <w:tcPr>
            <w:tcW w:w="850"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较轻</w:t>
            </w:r>
          </w:p>
        </w:tc>
        <w:tc>
          <w:tcPr>
            <w:tcW w:w="2977"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 xml:space="preserve">违法行为轻微，未造成经济损失或损失较小的  </w:t>
            </w:r>
          </w:p>
        </w:tc>
        <w:tc>
          <w:tcPr>
            <w:tcW w:w="4220" w:type="dxa"/>
            <w:gridSpan w:val="2"/>
            <w:tcBorders>
              <w:tl2br w:val="nil"/>
              <w:tr2bl w:val="nil"/>
            </w:tcBorders>
            <w:tcMar>
              <w:top w:w="57" w:type="dxa"/>
              <w:left w:w="57" w:type="dxa"/>
              <w:bottom w:w="57" w:type="dxa"/>
              <w:right w:w="57" w:type="dxa"/>
            </w:tcMar>
            <w:vAlign w:val="center"/>
          </w:tcPr>
          <w:p>
            <w:pPr>
              <w:widowControl/>
              <w:adjustRightInd w:val="0"/>
              <w:snapToGrid w:val="0"/>
              <w:jc w:val="left"/>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处以5000元以上2万元以下罚款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1" w:hRule="atLeast"/>
          <w:jc w:val="center"/>
        </w:trPr>
        <w:tc>
          <w:tcPr>
            <w:tcW w:w="421" w:type="dxa"/>
            <w:vMerge w:val="continue"/>
            <w:tcBorders>
              <w:tl2br w:val="nil"/>
              <w:tr2bl w:val="nil"/>
            </w:tcBorders>
            <w:tcMar>
              <w:top w:w="57" w:type="dxa"/>
              <w:left w:w="57" w:type="dxa"/>
              <w:bottom w:w="57" w:type="dxa"/>
              <w:right w:w="57" w:type="dxa"/>
            </w:tcMar>
            <w:vAlign w:val="center"/>
          </w:tcPr>
          <w:p>
            <w:pPr>
              <w:adjustRightInd w:val="0"/>
              <w:snapToGrid w:val="0"/>
              <w:jc w:val="center"/>
              <w:rPr>
                <w:rFonts w:ascii="仿宋_GB2312" w:hAnsi="仿宋_GB2312" w:eastAsia="仿宋_GB2312" w:cs="仿宋_GB2312"/>
                <w:color w:val="000000"/>
                <w:sz w:val="21"/>
                <w:szCs w:val="21"/>
              </w:rPr>
            </w:pPr>
          </w:p>
        </w:tc>
        <w:tc>
          <w:tcPr>
            <w:tcW w:w="1421"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4111"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850"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一般</w:t>
            </w:r>
          </w:p>
        </w:tc>
        <w:tc>
          <w:tcPr>
            <w:tcW w:w="2977"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再次违法，或造成一定经济损失的</w:t>
            </w:r>
          </w:p>
        </w:tc>
        <w:tc>
          <w:tcPr>
            <w:tcW w:w="4220" w:type="dxa"/>
            <w:gridSpan w:val="2"/>
            <w:tcBorders>
              <w:tl2br w:val="nil"/>
              <w:tr2bl w:val="nil"/>
            </w:tcBorders>
            <w:tcMar>
              <w:top w:w="57" w:type="dxa"/>
              <w:left w:w="57" w:type="dxa"/>
              <w:bottom w:w="57" w:type="dxa"/>
              <w:right w:w="57" w:type="dxa"/>
            </w:tcMar>
            <w:vAlign w:val="center"/>
          </w:tcPr>
          <w:p>
            <w:pPr>
              <w:widowControl/>
              <w:adjustRightInd w:val="0"/>
              <w:snapToGrid w:val="0"/>
              <w:jc w:val="left"/>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处以2万元以上5万元以下罚款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1" w:hRule="atLeast"/>
          <w:jc w:val="center"/>
        </w:trPr>
        <w:tc>
          <w:tcPr>
            <w:tcW w:w="421" w:type="dxa"/>
            <w:vMerge w:val="continue"/>
            <w:tcBorders>
              <w:tl2br w:val="nil"/>
              <w:tr2bl w:val="nil"/>
            </w:tcBorders>
            <w:tcMar>
              <w:top w:w="57" w:type="dxa"/>
              <w:left w:w="57" w:type="dxa"/>
              <w:bottom w:w="57" w:type="dxa"/>
              <w:right w:w="57" w:type="dxa"/>
            </w:tcMar>
            <w:vAlign w:val="center"/>
          </w:tcPr>
          <w:p>
            <w:pPr>
              <w:adjustRightInd w:val="0"/>
              <w:snapToGrid w:val="0"/>
              <w:jc w:val="center"/>
              <w:rPr>
                <w:rFonts w:ascii="仿宋_GB2312" w:hAnsi="仿宋_GB2312" w:eastAsia="仿宋_GB2312" w:cs="仿宋_GB2312"/>
                <w:color w:val="000000"/>
                <w:sz w:val="21"/>
                <w:szCs w:val="21"/>
              </w:rPr>
            </w:pPr>
          </w:p>
        </w:tc>
        <w:tc>
          <w:tcPr>
            <w:tcW w:w="1421"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4111"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850"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较重</w:t>
            </w:r>
          </w:p>
        </w:tc>
        <w:tc>
          <w:tcPr>
            <w:tcW w:w="2977"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多次违法，或造成较大经济损失的</w:t>
            </w:r>
          </w:p>
        </w:tc>
        <w:tc>
          <w:tcPr>
            <w:tcW w:w="4220" w:type="dxa"/>
            <w:gridSpan w:val="2"/>
            <w:tcBorders>
              <w:tl2br w:val="nil"/>
              <w:tr2bl w:val="nil"/>
            </w:tcBorders>
            <w:tcMar>
              <w:top w:w="57" w:type="dxa"/>
              <w:left w:w="57" w:type="dxa"/>
              <w:bottom w:w="57" w:type="dxa"/>
              <w:right w:w="57" w:type="dxa"/>
            </w:tcMar>
            <w:vAlign w:val="center"/>
          </w:tcPr>
          <w:p>
            <w:pPr>
              <w:widowControl/>
              <w:adjustRightInd w:val="0"/>
              <w:snapToGrid w:val="0"/>
              <w:jc w:val="left"/>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处以5万元以上7万元以下罚款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1" w:hRule="atLeast"/>
          <w:jc w:val="center"/>
        </w:trPr>
        <w:tc>
          <w:tcPr>
            <w:tcW w:w="421" w:type="dxa"/>
            <w:vMerge w:val="continue"/>
            <w:tcBorders>
              <w:tl2br w:val="nil"/>
              <w:tr2bl w:val="nil"/>
            </w:tcBorders>
            <w:tcMar>
              <w:top w:w="57" w:type="dxa"/>
              <w:left w:w="57" w:type="dxa"/>
              <w:bottom w:w="57" w:type="dxa"/>
              <w:right w:w="57" w:type="dxa"/>
            </w:tcMar>
            <w:vAlign w:val="center"/>
          </w:tcPr>
          <w:p>
            <w:pPr>
              <w:adjustRightInd w:val="0"/>
              <w:snapToGrid w:val="0"/>
              <w:jc w:val="center"/>
              <w:rPr>
                <w:rFonts w:ascii="仿宋_GB2312" w:hAnsi="仿宋_GB2312" w:eastAsia="仿宋_GB2312" w:cs="仿宋_GB2312"/>
                <w:color w:val="000000"/>
                <w:sz w:val="21"/>
                <w:szCs w:val="21"/>
              </w:rPr>
            </w:pPr>
          </w:p>
        </w:tc>
        <w:tc>
          <w:tcPr>
            <w:tcW w:w="1421"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4111"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850"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严重</w:t>
            </w:r>
          </w:p>
        </w:tc>
        <w:tc>
          <w:tcPr>
            <w:tcW w:w="2977"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多次违法，或造成严重经济损失的</w:t>
            </w:r>
          </w:p>
        </w:tc>
        <w:tc>
          <w:tcPr>
            <w:tcW w:w="4220" w:type="dxa"/>
            <w:gridSpan w:val="2"/>
            <w:tcBorders>
              <w:tl2br w:val="nil"/>
              <w:tr2bl w:val="nil"/>
            </w:tcBorders>
            <w:tcMar>
              <w:top w:w="57" w:type="dxa"/>
              <w:left w:w="57" w:type="dxa"/>
              <w:bottom w:w="57" w:type="dxa"/>
              <w:right w:w="57" w:type="dxa"/>
            </w:tcMar>
            <w:vAlign w:val="center"/>
          </w:tcPr>
          <w:p>
            <w:pPr>
              <w:widowControl/>
              <w:adjustRightInd w:val="0"/>
              <w:snapToGrid w:val="0"/>
              <w:jc w:val="left"/>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处以7万元以上10万元以下罚款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421" w:type="dxa"/>
            <w:vMerge w:val="restart"/>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5</w:t>
            </w:r>
          </w:p>
        </w:tc>
        <w:tc>
          <w:tcPr>
            <w:tcW w:w="1421" w:type="dxa"/>
            <w:vMerge w:val="restart"/>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专业化病虫害防治服务组织不具备相应的设施设备、技术人员、田间作业人员以及规范的管理制度的</w:t>
            </w:r>
          </w:p>
        </w:tc>
        <w:tc>
          <w:tcPr>
            <w:tcW w:w="4111" w:type="dxa"/>
            <w:vMerge w:val="restart"/>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《农作物病虫害防治条例》第四十二条　专业化病虫害防治服务组织有下列行为之一的，由县级以上人民政府农业农村主管部门责令改正；拒不改正或者情节严重的，处2000元以上2万元以下罚款；造成损失的，依法承担赔偿责任：</w:t>
            </w:r>
            <w:r>
              <w:rPr>
                <w:rFonts w:hint="eastAsia" w:ascii="仿宋_GB2312" w:hAnsi="仿宋_GB2312" w:eastAsia="仿宋_GB2312" w:cs="仿宋_GB2312"/>
                <w:color w:val="000000"/>
                <w:kern w:val="0"/>
                <w:sz w:val="21"/>
                <w:szCs w:val="21"/>
              </w:rPr>
              <w:br w:type="textWrapping"/>
            </w:r>
            <w:r>
              <w:rPr>
                <w:rFonts w:hint="eastAsia" w:ascii="仿宋_GB2312" w:hAnsi="仿宋_GB2312" w:eastAsia="仿宋_GB2312" w:cs="仿宋_GB2312"/>
                <w:color w:val="000000"/>
                <w:kern w:val="0"/>
                <w:sz w:val="21"/>
                <w:szCs w:val="21"/>
              </w:rPr>
              <w:t>(一)不具备相应的设施设备、技术人员、田间作业人员以及规范的管理制度；</w:t>
            </w:r>
          </w:p>
        </w:tc>
        <w:tc>
          <w:tcPr>
            <w:tcW w:w="850"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较轻</w:t>
            </w:r>
          </w:p>
        </w:tc>
        <w:tc>
          <w:tcPr>
            <w:tcW w:w="2977"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初次违法， 未造成经济损失或损失较小的</w:t>
            </w:r>
          </w:p>
        </w:tc>
        <w:tc>
          <w:tcPr>
            <w:tcW w:w="1843" w:type="dxa"/>
            <w:vMerge w:val="restart"/>
            <w:tcBorders>
              <w:tl2br w:val="nil"/>
              <w:tr2bl w:val="nil"/>
            </w:tcBorders>
            <w:tcMar>
              <w:top w:w="57" w:type="dxa"/>
              <w:left w:w="57" w:type="dxa"/>
              <w:bottom w:w="57" w:type="dxa"/>
              <w:right w:w="57" w:type="dxa"/>
            </w:tcMar>
            <w:vAlign w:val="center"/>
          </w:tcPr>
          <w:p>
            <w:pPr>
              <w:widowControl/>
              <w:adjustRightInd w:val="0"/>
              <w:snapToGrid w:val="0"/>
              <w:jc w:val="left"/>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责令改正；拒不改正</w:t>
            </w:r>
          </w:p>
        </w:tc>
        <w:tc>
          <w:tcPr>
            <w:tcW w:w="2377" w:type="dxa"/>
            <w:tcBorders>
              <w:tl2br w:val="nil"/>
              <w:tr2bl w:val="nil"/>
            </w:tcBorders>
            <w:tcMar>
              <w:top w:w="57" w:type="dxa"/>
              <w:left w:w="57" w:type="dxa"/>
              <w:bottom w:w="57" w:type="dxa"/>
              <w:right w:w="57" w:type="dxa"/>
            </w:tcMar>
            <w:vAlign w:val="center"/>
          </w:tcPr>
          <w:p>
            <w:pPr>
              <w:widowControl/>
              <w:adjustRightInd w:val="0"/>
              <w:snapToGrid w:val="0"/>
              <w:jc w:val="left"/>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处2000元以上5000元以下罚款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421" w:type="dxa"/>
            <w:vMerge w:val="continue"/>
            <w:tcBorders>
              <w:tl2br w:val="nil"/>
              <w:tr2bl w:val="nil"/>
            </w:tcBorders>
            <w:tcMar>
              <w:top w:w="57" w:type="dxa"/>
              <w:left w:w="57" w:type="dxa"/>
              <w:bottom w:w="57" w:type="dxa"/>
              <w:right w:w="57" w:type="dxa"/>
            </w:tcMar>
            <w:vAlign w:val="center"/>
          </w:tcPr>
          <w:p>
            <w:pPr>
              <w:adjustRightInd w:val="0"/>
              <w:snapToGrid w:val="0"/>
              <w:jc w:val="left"/>
              <w:rPr>
                <w:rFonts w:ascii="仿宋_GB2312" w:hAnsi="仿宋_GB2312" w:eastAsia="仿宋_GB2312" w:cs="仿宋_GB2312"/>
                <w:color w:val="000000"/>
                <w:sz w:val="21"/>
                <w:szCs w:val="21"/>
              </w:rPr>
            </w:pPr>
          </w:p>
        </w:tc>
        <w:tc>
          <w:tcPr>
            <w:tcW w:w="1421"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4111"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850"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一般</w:t>
            </w:r>
          </w:p>
        </w:tc>
        <w:tc>
          <w:tcPr>
            <w:tcW w:w="2977"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再次违法，或造成一定经济损失的</w:t>
            </w:r>
          </w:p>
        </w:tc>
        <w:tc>
          <w:tcPr>
            <w:tcW w:w="1843" w:type="dxa"/>
            <w:vMerge w:val="continue"/>
            <w:tcBorders>
              <w:tl2br w:val="nil"/>
              <w:tr2bl w:val="nil"/>
            </w:tcBorders>
            <w:tcMar>
              <w:top w:w="57" w:type="dxa"/>
              <w:left w:w="57" w:type="dxa"/>
              <w:bottom w:w="57" w:type="dxa"/>
              <w:right w:w="57" w:type="dxa"/>
            </w:tcMar>
            <w:vAlign w:val="center"/>
          </w:tcPr>
          <w:p>
            <w:pPr>
              <w:adjustRightInd w:val="0"/>
              <w:snapToGrid w:val="0"/>
              <w:jc w:val="left"/>
              <w:rPr>
                <w:rFonts w:ascii="仿宋_GB2312" w:hAnsi="仿宋_GB2312" w:eastAsia="仿宋_GB2312" w:cs="仿宋_GB2312"/>
                <w:color w:val="000000"/>
                <w:sz w:val="21"/>
                <w:szCs w:val="21"/>
              </w:rPr>
            </w:pPr>
          </w:p>
        </w:tc>
        <w:tc>
          <w:tcPr>
            <w:tcW w:w="2377" w:type="dxa"/>
            <w:tcBorders>
              <w:tl2br w:val="nil"/>
              <w:tr2bl w:val="nil"/>
            </w:tcBorders>
            <w:tcMar>
              <w:top w:w="57" w:type="dxa"/>
              <w:left w:w="57" w:type="dxa"/>
              <w:bottom w:w="57" w:type="dxa"/>
              <w:right w:w="57" w:type="dxa"/>
            </w:tcMar>
            <w:vAlign w:val="center"/>
          </w:tcPr>
          <w:p>
            <w:pPr>
              <w:widowControl/>
              <w:adjustRightInd w:val="0"/>
              <w:snapToGrid w:val="0"/>
              <w:jc w:val="left"/>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处5000元以上1万元以下罚款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421" w:type="dxa"/>
            <w:vMerge w:val="continue"/>
            <w:tcBorders>
              <w:tl2br w:val="nil"/>
              <w:tr2bl w:val="nil"/>
            </w:tcBorders>
            <w:tcMar>
              <w:top w:w="57" w:type="dxa"/>
              <w:left w:w="57" w:type="dxa"/>
              <w:bottom w:w="57" w:type="dxa"/>
              <w:right w:w="57" w:type="dxa"/>
            </w:tcMar>
            <w:vAlign w:val="center"/>
          </w:tcPr>
          <w:p>
            <w:pPr>
              <w:adjustRightInd w:val="0"/>
              <w:snapToGrid w:val="0"/>
              <w:jc w:val="left"/>
              <w:rPr>
                <w:rFonts w:ascii="仿宋_GB2312" w:hAnsi="仿宋_GB2312" w:eastAsia="仿宋_GB2312" w:cs="仿宋_GB2312"/>
                <w:color w:val="000000"/>
                <w:sz w:val="21"/>
                <w:szCs w:val="21"/>
              </w:rPr>
            </w:pPr>
          </w:p>
        </w:tc>
        <w:tc>
          <w:tcPr>
            <w:tcW w:w="1421"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4111"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850"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严重</w:t>
            </w:r>
          </w:p>
        </w:tc>
        <w:tc>
          <w:tcPr>
            <w:tcW w:w="2977"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多次违法，或造成重大经济损失的</w:t>
            </w:r>
          </w:p>
        </w:tc>
        <w:tc>
          <w:tcPr>
            <w:tcW w:w="1843" w:type="dxa"/>
            <w:vMerge w:val="continue"/>
            <w:tcBorders>
              <w:tl2br w:val="nil"/>
              <w:tr2bl w:val="nil"/>
            </w:tcBorders>
            <w:tcMar>
              <w:top w:w="57" w:type="dxa"/>
              <w:left w:w="57" w:type="dxa"/>
              <w:bottom w:w="57" w:type="dxa"/>
              <w:right w:w="57" w:type="dxa"/>
            </w:tcMar>
            <w:vAlign w:val="center"/>
          </w:tcPr>
          <w:p>
            <w:pPr>
              <w:adjustRightInd w:val="0"/>
              <w:snapToGrid w:val="0"/>
              <w:jc w:val="left"/>
              <w:rPr>
                <w:rFonts w:ascii="仿宋_GB2312" w:hAnsi="仿宋_GB2312" w:eastAsia="仿宋_GB2312" w:cs="仿宋_GB2312"/>
                <w:color w:val="000000"/>
                <w:sz w:val="21"/>
                <w:szCs w:val="21"/>
              </w:rPr>
            </w:pPr>
          </w:p>
        </w:tc>
        <w:tc>
          <w:tcPr>
            <w:tcW w:w="2377" w:type="dxa"/>
            <w:tcBorders>
              <w:tl2br w:val="nil"/>
              <w:tr2bl w:val="nil"/>
            </w:tcBorders>
            <w:tcMar>
              <w:top w:w="57" w:type="dxa"/>
              <w:left w:w="57" w:type="dxa"/>
              <w:bottom w:w="57" w:type="dxa"/>
              <w:right w:w="57" w:type="dxa"/>
            </w:tcMar>
            <w:vAlign w:val="center"/>
          </w:tcPr>
          <w:p>
            <w:pPr>
              <w:widowControl/>
              <w:adjustRightInd w:val="0"/>
              <w:snapToGrid w:val="0"/>
              <w:jc w:val="left"/>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处1万元以上2万元以下罚款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51" w:hRule="atLeast"/>
          <w:jc w:val="center"/>
        </w:trPr>
        <w:tc>
          <w:tcPr>
            <w:tcW w:w="421" w:type="dxa"/>
            <w:vMerge w:val="restart"/>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6</w:t>
            </w:r>
          </w:p>
        </w:tc>
        <w:tc>
          <w:tcPr>
            <w:tcW w:w="1421" w:type="dxa"/>
            <w:vMerge w:val="restart"/>
            <w:tcBorders>
              <w:tl2br w:val="nil"/>
              <w:tr2bl w:val="nil"/>
            </w:tcBorders>
            <w:tcMar>
              <w:top w:w="57" w:type="dxa"/>
              <w:left w:w="57" w:type="dxa"/>
              <w:bottom w:w="57" w:type="dxa"/>
              <w:right w:w="57" w:type="dxa"/>
            </w:tcMar>
            <w:vAlign w:val="center"/>
          </w:tcPr>
          <w:p>
            <w:pPr>
              <w:widowControl/>
              <w:adjustRightInd w:val="0"/>
              <w:snapToGrid w:val="0"/>
              <w:spacing w:line="292" w:lineRule="exact"/>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专业化病虫害防治服务组织其田间作业人员不能正确识别服务区域的农作物病虫害，或者不能正确掌握农药适用范围、施用方法、安全间隔期等专业知识以及田间作业安全防护知识，或者不能正确使用施药机械以及农作物病虫害防治相关用品的</w:t>
            </w:r>
          </w:p>
        </w:tc>
        <w:tc>
          <w:tcPr>
            <w:tcW w:w="4111" w:type="dxa"/>
            <w:vMerge w:val="restart"/>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《农作物病虫害防治条例》第四十二条　专业化病虫害防治服务组织有下列行为之一的，由县级以上人民政府农业农村主管部门责令改正；拒不改正或者情节严重的，处2000元以上2万元以下罚款；造成损失的，依法承担赔偿责任：</w:t>
            </w:r>
            <w:r>
              <w:rPr>
                <w:rFonts w:hint="eastAsia" w:ascii="仿宋_GB2312" w:hAnsi="仿宋_GB2312" w:eastAsia="仿宋_GB2312" w:cs="仿宋_GB2312"/>
                <w:color w:val="000000"/>
                <w:kern w:val="0"/>
                <w:sz w:val="21"/>
                <w:szCs w:val="21"/>
              </w:rPr>
              <w:br w:type="textWrapping"/>
            </w:r>
            <w:r>
              <w:rPr>
                <w:rFonts w:hint="eastAsia" w:ascii="仿宋_GB2312" w:hAnsi="仿宋_GB2312" w:eastAsia="仿宋_GB2312" w:cs="仿宋_GB2312"/>
                <w:color w:val="000000"/>
                <w:kern w:val="0"/>
                <w:sz w:val="21"/>
                <w:szCs w:val="21"/>
              </w:rPr>
              <w:t>(二)其田间作业人员不能正确识别服务区域的农作物病虫害，或者不能正确掌握农药适用范围、施用方法、安全间隔期等专业知识以及田间作业安全防护知识，或者不能正确使用施药机械以及农作物病虫害防治相关用品；</w:t>
            </w:r>
          </w:p>
        </w:tc>
        <w:tc>
          <w:tcPr>
            <w:tcW w:w="850"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较轻</w:t>
            </w:r>
          </w:p>
        </w:tc>
        <w:tc>
          <w:tcPr>
            <w:tcW w:w="2977"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初次违法， 未造成经济损失或损失较小的</w:t>
            </w:r>
          </w:p>
        </w:tc>
        <w:tc>
          <w:tcPr>
            <w:tcW w:w="1843" w:type="dxa"/>
            <w:vMerge w:val="restart"/>
            <w:tcBorders>
              <w:tl2br w:val="nil"/>
              <w:tr2bl w:val="nil"/>
            </w:tcBorders>
            <w:tcMar>
              <w:top w:w="57" w:type="dxa"/>
              <w:left w:w="57" w:type="dxa"/>
              <w:bottom w:w="57" w:type="dxa"/>
              <w:right w:w="57" w:type="dxa"/>
            </w:tcMar>
            <w:vAlign w:val="center"/>
          </w:tcPr>
          <w:p>
            <w:pPr>
              <w:widowControl/>
              <w:adjustRightInd w:val="0"/>
              <w:snapToGrid w:val="0"/>
              <w:jc w:val="left"/>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责令改正；拒不改正</w:t>
            </w:r>
          </w:p>
        </w:tc>
        <w:tc>
          <w:tcPr>
            <w:tcW w:w="2377" w:type="dxa"/>
            <w:tcBorders>
              <w:tl2br w:val="nil"/>
              <w:tr2bl w:val="nil"/>
            </w:tcBorders>
            <w:tcMar>
              <w:top w:w="57" w:type="dxa"/>
              <w:left w:w="57" w:type="dxa"/>
              <w:bottom w:w="57" w:type="dxa"/>
              <w:right w:w="57" w:type="dxa"/>
            </w:tcMar>
            <w:vAlign w:val="center"/>
          </w:tcPr>
          <w:p>
            <w:pPr>
              <w:widowControl/>
              <w:adjustRightInd w:val="0"/>
              <w:snapToGrid w:val="0"/>
              <w:jc w:val="left"/>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处2000元以上5000元以下罚款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20" w:hRule="atLeast"/>
          <w:jc w:val="center"/>
        </w:trPr>
        <w:tc>
          <w:tcPr>
            <w:tcW w:w="421" w:type="dxa"/>
            <w:vMerge w:val="continue"/>
            <w:tcBorders>
              <w:tl2br w:val="nil"/>
              <w:tr2bl w:val="nil"/>
            </w:tcBorders>
            <w:tcMar>
              <w:top w:w="57" w:type="dxa"/>
              <w:left w:w="57" w:type="dxa"/>
              <w:bottom w:w="57" w:type="dxa"/>
              <w:right w:w="57" w:type="dxa"/>
            </w:tcMar>
            <w:vAlign w:val="center"/>
          </w:tcPr>
          <w:p>
            <w:pPr>
              <w:adjustRightInd w:val="0"/>
              <w:snapToGrid w:val="0"/>
              <w:jc w:val="center"/>
              <w:rPr>
                <w:rFonts w:ascii="仿宋_GB2312" w:hAnsi="仿宋_GB2312" w:eastAsia="仿宋_GB2312" w:cs="仿宋_GB2312"/>
                <w:color w:val="000000"/>
                <w:sz w:val="21"/>
                <w:szCs w:val="21"/>
              </w:rPr>
            </w:pPr>
          </w:p>
        </w:tc>
        <w:tc>
          <w:tcPr>
            <w:tcW w:w="1421"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4111"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850"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一般</w:t>
            </w:r>
          </w:p>
        </w:tc>
        <w:tc>
          <w:tcPr>
            <w:tcW w:w="2977"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再次违法，或造成一定经济损失的</w:t>
            </w:r>
          </w:p>
        </w:tc>
        <w:tc>
          <w:tcPr>
            <w:tcW w:w="1843" w:type="dxa"/>
            <w:vMerge w:val="continue"/>
            <w:tcBorders>
              <w:tl2br w:val="nil"/>
              <w:tr2bl w:val="nil"/>
            </w:tcBorders>
            <w:tcMar>
              <w:top w:w="57" w:type="dxa"/>
              <w:left w:w="57" w:type="dxa"/>
              <w:bottom w:w="57" w:type="dxa"/>
              <w:right w:w="57" w:type="dxa"/>
            </w:tcMar>
            <w:vAlign w:val="center"/>
          </w:tcPr>
          <w:p>
            <w:pPr>
              <w:adjustRightInd w:val="0"/>
              <w:snapToGrid w:val="0"/>
              <w:jc w:val="left"/>
              <w:rPr>
                <w:rFonts w:ascii="仿宋_GB2312" w:hAnsi="仿宋_GB2312" w:eastAsia="仿宋_GB2312" w:cs="仿宋_GB2312"/>
                <w:color w:val="000000"/>
                <w:sz w:val="21"/>
                <w:szCs w:val="21"/>
              </w:rPr>
            </w:pPr>
          </w:p>
        </w:tc>
        <w:tc>
          <w:tcPr>
            <w:tcW w:w="2377" w:type="dxa"/>
            <w:tcBorders>
              <w:tl2br w:val="nil"/>
              <w:tr2bl w:val="nil"/>
            </w:tcBorders>
            <w:tcMar>
              <w:top w:w="57" w:type="dxa"/>
              <w:left w:w="57" w:type="dxa"/>
              <w:bottom w:w="57" w:type="dxa"/>
              <w:right w:w="57" w:type="dxa"/>
            </w:tcMar>
            <w:vAlign w:val="center"/>
          </w:tcPr>
          <w:p>
            <w:pPr>
              <w:widowControl/>
              <w:adjustRightInd w:val="0"/>
              <w:snapToGrid w:val="0"/>
              <w:jc w:val="left"/>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处5000元以上1万元以下罚款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11" w:hRule="atLeast"/>
          <w:jc w:val="center"/>
        </w:trPr>
        <w:tc>
          <w:tcPr>
            <w:tcW w:w="421" w:type="dxa"/>
            <w:vMerge w:val="continue"/>
            <w:tcBorders>
              <w:tl2br w:val="nil"/>
              <w:tr2bl w:val="nil"/>
            </w:tcBorders>
            <w:tcMar>
              <w:top w:w="57" w:type="dxa"/>
              <w:left w:w="57" w:type="dxa"/>
              <w:bottom w:w="57" w:type="dxa"/>
              <w:right w:w="57" w:type="dxa"/>
            </w:tcMar>
            <w:vAlign w:val="center"/>
          </w:tcPr>
          <w:p>
            <w:pPr>
              <w:adjustRightInd w:val="0"/>
              <w:snapToGrid w:val="0"/>
              <w:jc w:val="center"/>
              <w:rPr>
                <w:rFonts w:ascii="仿宋_GB2312" w:hAnsi="仿宋_GB2312" w:eastAsia="仿宋_GB2312" w:cs="仿宋_GB2312"/>
                <w:color w:val="000000"/>
                <w:sz w:val="21"/>
                <w:szCs w:val="21"/>
              </w:rPr>
            </w:pPr>
          </w:p>
        </w:tc>
        <w:tc>
          <w:tcPr>
            <w:tcW w:w="1421"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4111"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850"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严重</w:t>
            </w:r>
          </w:p>
        </w:tc>
        <w:tc>
          <w:tcPr>
            <w:tcW w:w="2977"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多次违法，或造成重大经济损失的</w:t>
            </w:r>
          </w:p>
        </w:tc>
        <w:tc>
          <w:tcPr>
            <w:tcW w:w="1843" w:type="dxa"/>
            <w:vMerge w:val="continue"/>
            <w:tcBorders>
              <w:tl2br w:val="nil"/>
              <w:tr2bl w:val="nil"/>
            </w:tcBorders>
            <w:tcMar>
              <w:top w:w="57" w:type="dxa"/>
              <w:left w:w="57" w:type="dxa"/>
              <w:bottom w:w="57" w:type="dxa"/>
              <w:right w:w="57" w:type="dxa"/>
            </w:tcMar>
            <w:vAlign w:val="center"/>
          </w:tcPr>
          <w:p>
            <w:pPr>
              <w:adjustRightInd w:val="0"/>
              <w:snapToGrid w:val="0"/>
              <w:jc w:val="left"/>
              <w:rPr>
                <w:rFonts w:ascii="仿宋_GB2312" w:hAnsi="仿宋_GB2312" w:eastAsia="仿宋_GB2312" w:cs="仿宋_GB2312"/>
                <w:color w:val="000000"/>
                <w:sz w:val="21"/>
                <w:szCs w:val="21"/>
              </w:rPr>
            </w:pPr>
          </w:p>
        </w:tc>
        <w:tc>
          <w:tcPr>
            <w:tcW w:w="2377" w:type="dxa"/>
            <w:tcBorders>
              <w:tl2br w:val="nil"/>
              <w:tr2bl w:val="nil"/>
            </w:tcBorders>
            <w:tcMar>
              <w:top w:w="57" w:type="dxa"/>
              <w:left w:w="57" w:type="dxa"/>
              <w:bottom w:w="57" w:type="dxa"/>
              <w:right w:w="57" w:type="dxa"/>
            </w:tcMar>
            <w:vAlign w:val="center"/>
          </w:tcPr>
          <w:p>
            <w:pPr>
              <w:widowControl/>
              <w:adjustRightInd w:val="0"/>
              <w:snapToGrid w:val="0"/>
              <w:jc w:val="left"/>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处1万元以上2万元以下罚款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421" w:type="dxa"/>
            <w:vMerge w:val="restart"/>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7</w:t>
            </w:r>
          </w:p>
        </w:tc>
        <w:tc>
          <w:tcPr>
            <w:tcW w:w="1421" w:type="dxa"/>
            <w:vMerge w:val="restart"/>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专业化病虫害防治服务组织未按规定建立或者保存服务档案的</w:t>
            </w:r>
          </w:p>
        </w:tc>
        <w:tc>
          <w:tcPr>
            <w:tcW w:w="4111" w:type="dxa"/>
            <w:vMerge w:val="restart"/>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《农作物病虫害防治条例》第四十二条　专业化病虫害防治服务组织有下列行为之一的，由县级以上人民政府农业农村主管部门责令改正；拒不改正或者情节严重的，处2000元以上2万元以下罚款；造成损失的，依法承担赔偿责任：</w:t>
            </w:r>
            <w:r>
              <w:rPr>
                <w:rFonts w:hint="eastAsia" w:ascii="仿宋_GB2312" w:hAnsi="仿宋_GB2312" w:eastAsia="仿宋_GB2312" w:cs="仿宋_GB2312"/>
                <w:color w:val="000000"/>
                <w:kern w:val="0"/>
                <w:sz w:val="21"/>
                <w:szCs w:val="21"/>
              </w:rPr>
              <w:br w:type="textWrapping"/>
            </w:r>
            <w:r>
              <w:rPr>
                <w:rFonts w:hint="eastAsia" w:ascii="仿宋_GB2312" w:hAnsi="仿宋_GB2312" w:eastAsia="仿宋_GB2312" w:cs="仿宋_GB2312"/>
                <w:color w:val="000000"/>
                <w:kern w:val="0"/>
                <w:sz w:val="21"/>
                <w:szCs w:val="21"/>
              </w:rPr>
              <w:t>(三)未按规定建立或者保存服务档案；</w:t>
            </w:r>
          </w:p>
        </w:tc>
        <w:tc>
          <w:tcPr>
            <w:tcW w:w="850"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较轻</w:t>
            </w:r>
          </w:p>
        </w:tc>
        <w:tc>
          <w:tcPr>
            <w:tcW w:w="2977"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初次违法，保存服务档案资料不全的</w:t>
            </w:r>
          </w:p>
        </w:tc>
        <w:tc>
          <w:tcPr>
            <w:tcW w:w="1843" w:type="dxa"/>
            <w:vMerge w:val="restart"/>
            <w:tcBorders>
              <w:tl2br w:val="nil"/>
              <w:tr2bl w:val="nil"/>
            </w:tcBorders>
            <w:tcMar>
              <w:top w:w="57" w:type="dxa"/>
              <w:left w:w="57" w:type="dxa"/>
              <w:bottom w:w="57" w:type="dxa"/>
              <w:right w:w="57" w:type="dxa"/>
            </w:tcMar>
            <w:vAlign w:val="center"/>
          </w:tcPr>
          <w:p>
            <w:pPr>
              <w:widowControl/>
              <w:adjustRightInd w:val="0"/>
              <w:snapToGrid w:val="0"/>
              <w:jc w:val="left"/>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责令改正；拒不改正</w:t>
            </w:r>
          </w:p>
        </w:tc>
        <w:tc>
          <w:tcPr>
            <w:tcW w:w="2377" w:type="dxa"/>
            <w:tcBorders>
              <w:tl2br w:val="nil"/>
              <w:tr2bl w:val="nil"/>
            </w:tcBorders>
            <w:tcMar>
              <w:top w:w="57" w:type="dxa"/>
              <w:left w:w="57" w:type="dxa"/>
              <w:bottom w:w="57" w:type="dxa"/>
              <w:right w:w="57" w:type="dxa"/>
            </w:tcMar>
            <w:vAlign w:val="center"/>
          </w:tcPr>
          <w:p>
            <w:pPr>
              <w:widowControl/>
              <w:adjustRightInd w:val="0"/>
              <w:snapToGrid w:val="0"/>
              <w:jc w:val="left"/>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处2000元以上5000元以下罚款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421" w:type="dxa"/>
            <w:vMerge w:val="continue"/>
            <w:tcBorders>
              <w:tl2br w:val="nil"/>
              <w:tr2bl w:val="nil"/>
            </w:tcBorders>
            <w:tcMar>
              <w:top w:w="57" w:type="dxa"/>
              <w:left w:w="57" w:type="dxa"/>
              <w:bottom w:w="57" w:type="dxa"/>
              <w:right w:w="57" w:type="dxa"/>
            </w:tcMar>
            <w:vAlign w:val="center"/>
          </w:tcPr>
          <w:p>
            <w:pPr>
              <w:adjustRightInd w:val="0"/>
              <w:snapToGrid w:val="0"/>
              <w:jc w:val="left"/>
              <w:rPr>
                <w:rFonts w:ascii="仿宋_GB2312" w:hAnsi="仿宋_GB2312" w:eastAsia="仿宋_GB2312" w:cs="仿宋_GB2312"/>
                <w:color w:val="000000"/>
                <w:sz w:val="21"/>
                <w:szCs w:val="21"/>
              </w:rPr>
            </w:pPr>
          </w:p>
        </w:tc>
        <w:tc>
          <w:tcPr>
            <w:tcW w:w="1421"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4111"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850"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一般</w:t>
            </w:r>
          </w:p>
        </w:tc>
        <w:tc>
          <w:tcPr>
            <w:tcW w:w="2977"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再次违法，未建立服务档案或建立服务档案资料存在缺失的</w:t>
            </w:r>
          </w:p>
        </w:tc>
        <w:tc>
          <w:tcPr>
            <w:tcW w:w="1843" w:type="dxa"/>
            <w:vMerge w:val="continue"/>
            <w:tcBorders>
              <w:tl2br w:val="nil"/>
              <w:tr2bl w:val="nil"/>
            </w:tcBorders>
            <w:tcMar>
              <w:top w:w="57" w:type="dxa"/>
              <w:left w:w="57" w:type="dxa"/>
              <w:bottom w:w="57" w:type="dxa"/>
              <w:right w:w="57" w:type="dxa"/>
            </w:tcMar>
            <w:vAlign w:val="center"/>
          </w:tcPr>
          <w:p>
            <w:pPr>
              <w:adjustRightInd w:val="0"/>
              <w:snapToGrid w:val="0"/>
              <w:jc w:val="left"/>
              <w:rPr>
                <w:rFonts w:ascii="仿宋_GB2312" w:hAnsi="仿宋_GB2312" w:eastAsia="仿宋_GB2312" w:cs="仿宋_GB2312"/>
                <w:color w:val="000000"/>
                <w:sz w:val="21"/>
                <w:szCs w:val="21"/>
              </w:rPr>
            </w:pPr>
          </w:p>
        </w:tc>
        <w:tc>
          <w:tcPr>
            <w:tcW w:w="2377" w:type="dxa"/>
            <w:tcBorders>
              <w:tl2br w:val="nil"/>
              <w:tr2bl w:val="nil"/>
            </w:tcBorders>
            <w:tcMar>
              <w:top w:w="57" w:type="dxa"/>
              <w:left w:w="57" w:type="dxa"/>
              <w:bottom w:w="57" w:type="dxa"/>
              <w:right w:w="57" w:type="dxa"/>
            </w:tcMar>
            <w:vAlign w:val="center"/>
          </w:tcPr>
          <w:p>
            <w:pPr>
              <w:widowControl/>
              <w:adjustRightInd w:val="0"/>
              <w:snapToGrid w:val="0"/>
              <w:jc w:val="left"/>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处5000元以上1万元以下罚款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421" w:type="dxa"/>
            <w:vMerge w:val="continue"/>
            <w:tcBorders>
              <w:tl2br w:val="nil"/>
              <w:tr2bl w:val="nil"/>
            </w:tcBorders>
            <w:tcMar>
              <w:top w:w="57" w:type="dxa"/>
              <w:left w:w="57" w:type="dxa"/>
              <w:bottom w:w="57" w:type="dxa"/>
              <w:right w:w="57" w:type="dxa"/>
            </w:tcMar>
            <w:vAlign w:val="center"/>
          </w:tcPr>
          <w:p>
            <w:pPr>
              <w:adjustRightInd w:val="0"/>
              <w:snapToGrid w:val="0"/>
              <w:jc w:val="left"/>
              <w:rPr>
                <w:rFonts w:ascii="仿宋_GB2312" w:hAnsi="仿宋_GB2312" w:eastAsia="仿宋_GB2312" w:cs="仿宋_GB2312"/>
                <w:color w:val="000000"/>
                <w:sz w:val="21"/>
                <w:szCs w:val="21"/>
              </w:rPr>
            </w:pPr>
          </w:p>
        </w:tc>
        <w:tc>
          <w:tcPr>
            <w:tcW w:w="1421"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4111"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850"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严重</w:t>
            </w:r>
          </w:p>
        </w:tc>
        <w:tc>
          <w:tcPr>
            <w:tcW w:w="2977"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多次违法，未建立服务档案或保存服务档案存在严重缺失的</w:t>
            </w:r>
          </w:p>
        </w:tc>
        <w:tc>
          <w:tcPr>
            <w:tcW w:w="1843" w:type="dxa"/>
            <w:vMerge w:val="continue"/>
            <w:tcBorders>
              <w:tl2br w:val="nil"/>
              <w:tr2bl w:val="nil"/>
            </w:tcBorders>
            <w:tcMar>
              <w:top w:w="57" w:type="dxa"/>
              <w:left w:w="57" w:type="dxa"/>
              <w:bottom w:w="57" w:type="dxa"/>
              <w:right w:w="57" w:type="dxa"/>
            </w:tcMar>
            <w:vAlign w:val="center"/>
          </w:tcPr>
          <w:p>
            <w:pPr>
              <w:adjustRightInd w:val="0"/>
              <w:snapToGrid w:val="0"/>
              <w:jc w:val="left"/>
              <w:rPr>
                <w:rFonts w:ascii="仿宋_GB2312" w:hAnsi="仿宋_GB2312" w:eastAsia="仿宋_GB2312" w:cs="仿宋_GB2312"/>
                <w:color w:val="000000"/>
                <w:sz w:val="21"/>
                <w:szCs w:val="21"/>
              </w:rPr>
            </w:pPr>
          </w:p>
        </w:tc>
        <w:tc>
          <w:tcPr>
            <w:tcW w:w="2377" w:type="dxa"/>
            <w:tcBorders>
              <w:tl2br w:val="nil"/>
              <w:tr2bl w:val="nil"/>
            </w:tcBorders>
            <w:tcMar>
              <w:top w:w="57" w:type="dxa"/>
              <w:left w:w="57" w:type="dxa"/>
              <w:bottom w:w="57" w:type="dxa"/>
              <w:right w:w="57" w:type="dxa"/>
            </w:tcMar>
            <w:vAlign w:val="center"/>
          </w:tcPr>
          <w:p>
            <w:pPr>
              <w:widowControl/>
              <w:adjustRightInd w:val="0"/>
              <w:snapToGrid w:val="0"/>
              <w:jc w:val="left"/>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处1万元以上2万元以下罚款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421" w:type="dxa"/>
            <w:vMerge w:val="restart"/>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8</w:t>
            </w:r>
          </w:p>
        </w:tc>
        <w:tc>
          <w:tcPr>
            <w:tcW w:w="1421" w:type="dxa"/>
            <w:vMerge w:val="restart"/>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专业化病虫害防治服务组织未为田间作业人员配备必要的防护用品的</w:t>
            </w:r>
          </w:p>
        </w:tc>
        <w:tc>
          <w:tcPr>
            <w:tcW w:w="4111" w:type="dxa"/>
            <w:vMerge w:val="restart"/>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《农作物病虫害防治条例》第四十二条　专业化病虫害防治服务组织有下列行为之一的，由县级以上人民政府农业农村主管部门责令改正；拒不改正或者情节严重的，处2000元以上2万元以下罚款；造成损失的，依法承担赔偿责任：</w:t>
            </w:r>
            <w:r>
              <w:rPr>
                <w:rFonts w:hint="eastAsia" w:ascii="仿宋_GB2312" w:hAnsi="仿宋_GB2312" w:eastAsia="仿宋_GB2312" w:cs="仿宋_GB2312"/>
                <w:color w:val="000000"/>
                <w:kern w:val="0"/>
                <w:sz w:val="21"/>
                <w:szCs w:val="21"/>
              </w:rPr>
              <w:br w:type="textWrapping"/>
            </w:r>
            <w:r>
              <w:rPr>
                <w:rFonts w:hint="eastAsia" w:ascii="仿宋_GB2312" w:hAnsi="仿宋_GB2312" w:eastAsia="仿宋_GB2312" w:cs="仿宋_GB2312"/>
                <w:color w:val="000000"/>
                <w:kern w:val="0"/>
                <w:sz w:val="21"/>
                <w:szCs w:val="21"/>
              </w:rPr>
              <w:t>(四)未为田间作业人员配备必要的防护用品。</w:t>
            </w:r>
          </w:p>
        </w:tc>
        <w:tc>
          <w:tcPr>
            <w:tcW w:w="850"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较轻</w:t>
            </w:r>
          </w:p>
        </w:tc>
        <w:tc>
          <w:tcPr>
            <w:tcW w:w="2977"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初次违法，违法行为轻微，未形成对作业人员的伤害的</w:t>
            </w:r>
          </w:p>
        </w:tc>
        <w:tc>
          <w:tcPr>
            <w:tcW w:w="1843" w:type="dxa"/>
            <w:vMerge w:val="restart"/>
            <w:tcBorders>
              <w:tl2br w:val="nil"/>
              <w:tr2bl w:val="nil"/>
            </w:tcBorders>
            <w:tcMar>
              <w:top w:w="57" w:type="dxa"/>
              <w:left w:w="57" w:type="dxa"/>
              <w:bottom w:w="57" w:type="dxa"/>
              <w:right w:w="57" w:type="dxa"/>
            </w:tcMar>
            <w:vAlign w:val="center"/>
          </w:tcPr>
          <w:p>
            <w:pPr>
              <w:widowControl/>
              <w:adjustRightInd w:val="0"/>
              <w:snapToGrid w:val="0"/>
              <w:jc w:val="left"/>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责令改正；拒不改正的</w:t>
            </w:r>
          </w:p>
        </w:tc>
        <w:tc>
          <w:tcPr>
            <w:tcW w:w="2377" w:type="dxa"/>
            <w:tcBorders>
              <w:tl2br w:val="nil"/>
              <w:tr2bl w:val="nil"/>
            </w:tcBorders>
            <w:tcMar>
              <w:top w:w="57" w:type="dxa"/>
              <w:left w:w="57" w:type="dxa"/>
              <w:bottom w:w="57" w:type="dxa"/>
              <w:right w:w="57" w:type="dxa"/>
            </w:tcMar>
            <w:vAlign w:val="center"/>
          </w:tcPr>
          <w:p>
            <w:pPr>
              <w:widowControl/>
              <w:adjustRightInd w:val="0"/>
              <w:snapToGrid w:val="0"/>
              <w:jc w:val="left"/>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处2000元以上5000元以下罚款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421" w:type="dxa"/>
            <w:vMerge w:val="continue"/>
            <w:tcBorders>
              <w:tl2br w:val="nil"/>
              <w:tr2bl w:val="nil"/>
            </w:tcBorders>
            <w:tcMar>
              <w:top w:w="57" w:type="dxa"/>
              <w:left w:w="57" w:type="dxa"/>
              <w:bottom w:w="57" w:type="dxa"/>
              <w:right w:w="57" w:type="dxa"/>
            </w:tcMar>
            <w:vAlign w:val="center"/>
          </w:tcPr>
          <w:p>
            <w:pPr>
              <w:adjustRightInd w:val="0"/>
              <w:snapToGrid w:val="0"/>
              <w:jc w:val="center"/>
              <w:rPr>
                <w:rFonts w:ascii="仿宋_GB2312" w:hAnsi="仿宋_GB2312" w:eastAsia="仿宋_GB2312" w:cs="仿宋_GB2312"/>
                <w:color w:val="000000"/>
                <w:sz w:val="21"/>
                <w:szCs w:val="21"/>
              </w:rPr>
            </w:pPr>
          </w:p>
        </w:tc>
        <w:tc>
          <w:tcPr>
            <w:tcW w:w="1421"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4111"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850"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一般</w:t>
            </w:r>
          </w:p>
        </w:tc>
        <w:tc>
          <w:tcPr>
            <w:tcW w:w="2977"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再次违法，作业人员受到伤害但伤害较轻的</w:t>
            </w:r>
          </w:p>
        </w:tc>
        <w:tc>
          <w:tcPr>
            <w:tcW w:w="1843" w:type="dxa"/>
            <w:vMerge w:val="continue"/>
            <w:tcBorders>
              <w:tl2br w:val="nil"/>
              <w:tr2bl w:val="nil"/>
            </w:tcBorders>
            <w:tcMar>
              <w:top w:w="57" w:type="dxa"/>
              <w:left w:w="57" w:type="dxa"/>
              <w:bottom w:w="57" w:type="dxa"/>
              <w:right w:w="57" w:type="dxa"/>
            </w:tcMar>
            <w:vAlign w:val="center"/>
          </w:tcPr>
          <w:p>
            <w:pPr>
              <w:adjustRightInd w:val="0"/>
              <w:snapToGrid w:val="0"/>
              <w:jc w:val="left"/>
              <w:rPr>
                <w:rFonts w:ascii="仿宋_GB2312" w:hAnsi="仿宋_GB2312" w:eastAsia="仿宋_GB2312" w:cs="仿宋_GB2312"/>
                <w:color w:val="000000"/>
                <w:sz w:val="21"/>
                <w:szCs w:val="21"/>
              </w:rPr>
            </w:pPr>
          </w:p>
        </w:tc>
        <w:tc>
          <w:tcPr>
            <w:tcW w:w="2377" w:type="dxa"/>
            <w:tcBorders>
              <w:tl2br w:val="nil"/>
              <w:tr2bl w:val="nil"/>
            </w:tcBorders>
            <w:tcMar>
              <w:top w:w="57" w:type="dxa"/>
              <w:left w:w="57" w:type="dxa"/>
              <w:bottom w:w="57" w:type="dxa"/>
              <w:right w:w="57" w:type="dxa"/>
            </w:tcMar>
            <w:vAlign w:val="center"/>
          </w:tcPr>
          <w:p>
            <w:pPr>
              <w:widowControl/>
              <w:adjustRightInd w:val="0"/>
              <w:snapToGrid w:val="0"/>
              <w:jc w:val="left"/>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处5000元以上1万元以下罚款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421" w:type="dxa"/>
            <w:vMerge w:val="continue"/>
            <w:tcBorders>
              <w:tl2br w:val="nil"/>
              <w:tr2bl w:val="nil"/>
            </w:tcBorders>
            <w:tcMar>
              <w:top w:w="57" w:type="dxa"/>
              <w:left w:w="57" w:type="dxa"/>
              <w:bottom w:w="57" w:type="dxa"/>
              <w:right w:w="57" w:type="dxa"/>
            </w:tcMar>
            <w:vAlign w:val="center"/>
          </w:tcPr>
          <w:p>
            <w:pPr>
              <w:adjustRightInd w:val="0"/>
              <w:snapToGrid w:val="0"/>
              <w:jc w:val="center"/>
              <w:rPr>
                <w:rFonts w:ascii="仿宋_GB2312" w:hAnsi="仿宋_GB2312" w:eastAsia="仿宋_GB2312" w:cs="仿宋_GB2312"/>
                <w:color w:val="000000"/>
                <w:sz w:val="21"/>
                <w:szCs w:val="21"/>
              </w:rPr>
            </w:pPr>
          </w:p>
        </w:tc>
        <w:tc>
          <w:tcPr>
            <w:tcW w:w="1421"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4111"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850"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严重</w:t>
            </w:r>
          </w:p>
        </w:tc>
        <w:tc>
          <w:tcPr>
            <w:tcW w:w="2977"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多次违法，拒不改正，造成作业人员受到严重伤害的</w:t>
            </w:r>
          </w:p>
        </w:tc>
        <w:tc>
          <w:tcPr>
            <w:tcW w:w="1843" w:type="dxa"/>
            <w:vMerge w:val="continue"/>
            <w:tcBorders>
              <w:tl2br w:val="nil"/>
              <w:tr2bl w:val="nil"/>
            </w:tcBorders>
            <w:tcMar>
              <w:top w:w="57" w:type="dxa"/>
              <w:left w:w="57" w:type="dxa"/>
              <w:bottom w:w="57" w:type="dxa"/>
              <w:right w:w="57" w:type="dxa"/>
            </w:tcMar>
            <w:vAlign w:val="center"/>
          </w:tcPr>
          <w:p>
            <w:pPr>
              <w:adjustRightInd w:val="0"/>
              <w:snapToGrid w:val="0"/>
              <w:jc w:val="left"/>
              <w:rPr>
                <w:rFonts w:ascii="仿宋_GB2312" w:hAnsi="仿宋_GB2312" w:eastAsia="仿宋_GB2312" w:cs="仿宋_GB2312"/>
                <w:color w:val="000000"/>
                <w:sz w:val="21"/>
                <w:szCs w:val="21"/>
              </w:rPr>
            </w:pPr>
          </w:p>
        </w:tc>
        <w:tc>
          <w:tcPr>
            <w:tcW w:w="2377" w:type="dxa"/>
            <w:tcBorders>
              <w:tl2br w:val="nil"/>
              <w:tr2bl w:val="nil"/>
            </w:tcBorders>
            <w:tcMar>
              <w:top w:w="57" w:type="dxa"/>
              <w:left w:w="57" w:type="dxa"/>
              <w:bottom w:w="57" w:type="dxa"/>
              <w:right w:w="57" w:type="dxa"/>
            </w:tcMar>
            <w:vAlign w:val="center"/>
          </w:tcPr>
          <w:p>
            <w:pPr>
              <w:widowControl/>
              <w:adjustRightInd w:val="0"/>
              <w:snapToGrid w:val="0"/>
              <w:jc w:val="left"/>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处1万元以上2万元以下罚款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421" w:type="dxa"/>
            <w:vMerge w:val="restart"/>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9</w:t>
            </w:r>
          </w:p>
        </w:tc>
        <w:tc>
          <w:tcPr>
            <w:tcW w:w="1421" w:type="dxa"/>
            <w:vMerge w:val="restart"/>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境外组织和个人违反本条例规定，在我国境内开展农作物病虫害监测活动的</w:t>
            </w:r>
          </w:p>
        </w:tc>
        <w:tc>
          <w:tcPr>
            <w:tcW w:w="4111" w:type="dxa"/>
            <w:vMerge w:val="restart"/>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《农作物病虫害防治条例》第四十三条　境外组织和个人违反本条例规定，在我国境内开展农作物病虫害监测活动的，由县级以上人民政府农业农村主管部门责令其停止监测活动，没收监测数据和工具，并处10万元以上50万元以下罚款；情节严重的，并处50万元以上100万元以下罚款；构成犯罪的，依法追究刑事责任。</w:t>
            </w:r>
          </w:p>
        </w:tc>
        <w:tc>
          <w:tcPr>
            <w:tcW w:w="850"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较轻</w:t>
            </w:r>
          </w:p>
        </w:tc>
        <w:tc>
          <w:tcPr>
            <w:tcW w:w="2977"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在个别点或乡域范围内开展监测活动的</w:t>
            </w:r>
          </w:p>
        </w:tc>
        <w:tc>
          <w:tcPr>
            <w:tcW w:w="1843" w:type="dxa"/>
            <w:vMerge w:val="restart"/>
            <w:tcBorders>
              <w:tl2br w:val="nil"/>
              <w:tr2bl w:val="nil"/>
            </w:tcBorders>
            <w:tcMar>
              <w:top w:w="57" w:type="dxa"/>
              <w:left w:w="57" w:type="dxa"/>
              <w:bottom w:w="57" w:type="dxa"/>
              <w:right w:w="57" w:type="dxa"/>
            </w:tcMar>
            <w:vAlign w:val="center"/>
          </w:tcPr>
          <w:p>
            <w:pPr>
              <w:widowControl/>
              <w:adjustRightInd w:val="0"/>
              <w:snapToGrid w:val="0"/>
              <w:jc w:val="left"/>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责令其停止监测活动，没收监测数据和工具</w:t>
            </w:r>
          </w:p>
        </w:tc>
        <w:tc>
          <w:tcPr>
            <w:tcW w:w="2377" w:type="dxa"/>
            <w:tcBorders>
              <w:tl2br w:val="nil"/>
              <w:tr2bl w:val="nil"/>
            </w:tcBorders>
            <w:tcMar>
              <w:top w:w="57" w:type="dxa"/>
              <w:left w:w="57" w:type="dxa"/>
              <w:bottom w:w="57" w:type="dxa"/>
              <w:right w:w="57" w:type="dxa"/>
            </w:tcMar>
            <w:vAlign w:val="center"/>
          </w:tcPr>
          <w:p>
            <w:pPr>
              <w:widowControl/>
              <w:adjustRightInd w:val="0"/>
              <w:snapToGrid w:val="0"/>
              <w:jc w:val="left"/>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并处10万元以上30万元以下罚款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421" w:type="dxa"/>
            <w:vMerge w:val="continue"/>
            <w:tcBorders>
              <w:tl2br w:val="nil"/>
              <w:tr2bl w:val="nil"/>
            </w:tcBorders>
            <w:tcMar>
              <w:top w:w="57" w:type="dxa"/>
              <w:left w:w="57" w:type="dxa"/>
              <w:bottom w:w="57" w:type="dxa"/>
              <w:right w:w="57" w:type="dxa"/>
            </w:tcMar>
            <w:vAlign w:val="center"/>
          </w:tcPr>
          <w:p>
            <w:pPr>
              <w:adjustRightInd w:val="0"/>
              <w:snapToGrid w:val="0"/>
              <w:jc w:val="center"/>
              <w:rPr>
                <w:rFonts w:ascii="仿宋_GB2312" w:hAnsi="仿宋_GB2312" w:eastAsia="仿宋_GB2312" w:cs="仿宋_GB2312"/>
                <w:color w:val="000000"/>
                <w:sz w:val="21"/>
                <w:szCs w:val="21"/>
              </w:rPr>
            </w:pPr>
          </w:p>
        </w:tc>
        <w:tc>
          <w:tcPr>
            <w:tcW w:w="1421"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4111"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850"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一般</w:t>
            </w:r>
          </w:p>
        </w:tc>
        <w:tc>
          <w:tcPr>
            <w:tcW w:w="2977"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在多点或县域范围内开展监测活动的</w:t>
            </w:r>
          </w:p>
        </w:tc>
        <w:tc>
          <w:tcPr>
            <w:tcW w:w="1843" w:type="dxa"/>
            <w:vMerge w:val="continue"/>
            <w:tcBorders>
              <w:tl2br w:val="nil"/>
              <w:tr2bl w:val="nil"/>
            </w:tcBorders>
            <w:tcMar>
              <w:top w:w="57" w:type="dxa"/>
              <w:left w:w="57" w:type="dxa"/>
              <w:bottom w:w="57" w:type="dxa"/>
              <w:right w:w="57" w:type="dxa"/>
            </w:tcMar>
            <w:vAlign w:val="center"/>
          </w:tcPr>
          <w:p>
            <w:pPr>
              <w:adjustRightInd w:val="0"/>
              <w:snapToGrid w:val="0"/>
              <w:jc w:val="left"/>
              <w:rPr>
                <w:rFonts w:ascii="仿宋_GB2312" w:hAnsi="仿宋_GB2312" w:eastAsia="仿宋_GB2312" w:cs="仿宋_GB2312"/>
                <w:color w:val="000000"/>
                <w:sz w:val="21"/>
                <w:szCs w:val="21"/>
              </w:rPr>
            </w:pPr>
          </w:p>
        </w:tc>
        <w:tc>
          <w:tcPr>
            <w:tcW w:w="2377" w:type="dxa"/>
            <w:tcBorders>
              <w:tl2br w:val="nil"/>
              <w:tr2bl w:val="nil"/>
            </w:tcBorders>
            <w:tcMar>
              <w:top w:w="57" w:type="dxa"/>
              <w:left w:w="57" w:type="dxa"/>
              <w:bottom w:w="57" w:type="dxa"/>
              <w:right w:w="57" w:type="dxa"/>
            </w:tcMar>
            <w:vAlign w:val="center"/>
          </w:tcPr>
          <w:p>
            <w:pPr>
              <w:widowControl/>
              <w:adjustRightInd w:val="0"/>
              <w:snapToGrid w:val="0"/>
              <w:jc w:val="left"/>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并处30万元以上50万元以下罚款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421" w:type="dxa"/>
            <w:vMerge w:val="continue"/>
            <w:tcBorders>
              <w:tl2br w:val="nil"/>
              <w:tr2bl w:val="nil"/>
            </w:tcBorders>
            <w:tcMar>
              <w:top w:w="57" w:type="dxa"/>
              <w:left w:w="57" w:type="dxa"/>
              <w:bottom w:w="57" w:type="dxa"/>
              <w:right w:w="57" w:type="dxa"/>
            </w:tcMar>
            <w:vAlign w:val="center"/>
          </w:tcPr>
          <w:p>
            <w:pPr>
              <w:adjustRightInd w:val="0"/>
              <w:snapToGrid w:val="0"/>
              <w:jc w:val="center"/>
              <w:rPr>
                <w:rFonts w:ascii="仿宋_GB2312" w:hAnsi="仿宋_GB2312" w:eastAsia="仿宋_GB2312" w:cs="仿宋_GB2312"/>
                <w:color w:val="000000"/>
                <w:sz w:val="21"/>
                <w:szCs w:val="21"/>
              </w:rPr>
            </w:pPr>
          </w:p>
        </w:tc>
        <w:tc>
          <w:tcPr>
            <w:tcW w:w="1421"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4111"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850"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较重</w:t>
            </w:r>
          </w:p>
        </w:tc>
        <w:tc>
          <w:tcPr>
            <w:tcW w:w="2977"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监测多种病虫害或在设区的市域内开展监测活动的</w:t>
            </w:r>
          </w:p>
        </w:tc>
        <w:tc>
          <w:tcPr>
            <w:tcW w:w="1843" w:type="dxa"/>
            <w:vMerge w:val="continue"/>
            <w:tcBorders>
              <w:tl2br w:val="nil"/>
              <w:tr2bl w:val="nil"/>
            </w:tcBorders>
            <w:tcMar>
              <w:top w:w="57" w:type="dxa"/>
              <w:left w:w="57" w:type="dxa"/>
              <w:bottom w:w="57" w:type="dxa"/>
              <w:right w:w="57" w:type="dxa"/>
            </w:tcMar>
            <w:vAlign w:val="center"/>
          </w:tcPr>
          <w:p>
            <w:pPr>
              <w:adjustRightInd w:val="0"/>
              <w:snapToGrid w:val="0"/>
              <w:jc w:val="left"/>
              <w:rPr>
                <w:rFonts w:ascii="仿宋_GB2312" w:hAnsi="仿宋_GB2312" w:eastAsia="仿宋_GB2312" w:cs="仿宋_GB2312"/>
                <w:color w:val="000000"/>
                <w:sz w:val="21"/>
                <w:szCs w:val="21"/>
              </w:rPr>
            </w:pPr>
          </w:p>
        </w:tc>
        <w:tc>
          <w:tcPr>
            <w:tcW w:w="2377" w:type="dxa"/>
            <w:tcBorders>
              <w:tl2br w:val="nil"/>
              <w:tr2bl w:val="nil"/>
            </w:tcBorders>
            <w:tcMar>
              <w:top w:w="57" w:type="dxa"/>
              <w:left w:w="57" w:type="dxa"/>
              <w:bottom w:w="57" w:type="dxa"/>
              <w:right w:w="57" w:type="dxa"/>
            </w:tcMar>
            <w:vAlign w:val="center"/>
          </w:tcPr>
          <w:p>
            <w:pPr>
              <w:widowControl/>
              <w:adjustRightInd w:val="0"/>
              <w:snapToGrid w:val="0"/>
              <w:jc w:val="left"/>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并处50万元以上75万元以下罚款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421" w:type="dxa"/>
            <w:vMerge w:val="continue"/>
            <w:tcBorders>
              <w:tl2br w:val="nil"/>
              <w:tr2bl w:val="nil"/>
            </w:tcBorders>
            <w:tcMar>
              <w:top w:w="57" w:type="dxa"/>
              <w:left w:w="57" w:type="dxa"/>
              <w:bottom w:w="57" w:type="dxa"/>
              <w:right w:w="57" w:type="dxa"/>
            </w:tcMar>
            <w:vAlign w:val="center"/>
          </w:tcPr>
          <w:p>
            <w:pPr>
              <w:adjustRightInd w:val="0"/>
              <w:snapToGrid w:val="0"/>
              <w:jc w:val="center"/>
              <w:rPr>
                <w:rFonts w:ascii="仿宋_GB2312" w:hAnsi="仿宋_GB2312" w:eastAsia="仿宋_GB2312" w:cs="仿宋_GB2312"/>
                <w:color w:val="000000"/>
                <w:sz w:val="21"/>
                <w:szCs w:val="21"/>
              </w:rPr>
            </w:pPr>
          </w:p>
        </w:tc>
        <w:tc>
          <w:tcPr>
            <w:tcW w:w="1421"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4111"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850"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严重</w:t>
            </w:r>
          </w:p>
        </w:tc>
        <w:tc>
          <w:tcPr>
            <w:tcW w:w="2977"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监测多种病虫害或在省域内开展监测活动的</w:t>
            </w:r>
          </w:p>
        </w:tc>
        <w:tc>
          <w:tcPr>
            <w:tcW w:w="1843" w:type="dxa"/>
            <w:vMerge w:val="continue"/>
            <w:tcBorders>
              <w:tl2br w:val="nil"/>
              <w:tr2bl w:val="nil"/>
            </w:tcBorders>
            <w:tcMar>
              <w:top w:w="57" w:type="dxa"/>
              <w:left w:w="57" w:type="dxa"/>
              <w:bottom w:w="57" w:type="dxa"/>
              <w:right w:w="57" w:type="dxa"/>
            </w:tcMar>
            <w:vAlign w:val="center"/>
          </w:tcPr>
          <w:p>
            <w:pPr>
              <w:adjustRightInd w:val="0"/>
              <w:snapToGrid w:val="0"/>
              <w:jc w:val="left"/>
              <w:rPr>
                <w:rFonts w:ascii="仿宋_GB2312" w:hAnsi="仿宋_GB2312" w:eastAsia="仿宋_GB2312" w:cs="仿宋_GB2312"/>
                <w:color w:val="000000"/>
                <w:sz w:val="21"/>
                <w:szCs w:val="21"/>
              </w:rPr>
            </w:pPr>
          </w:p>
        </w:tc>
        <w:tc>
          <w:tcPr>
            <w:tcW w:w="2377" w:type="dxa"/>
            <w:tcBorders>
              <w:tl2br w:val="nil"/>
              <w:tr2bl w:val="nil"/>
            </w:tcBorders>
            <w:tcMar>
              <w:top w:w="57" w:type="dxa"/>
              <w:left w:w="57" w:type="dxa"/>
              <w:bottom w:w="57" w:type="dxa"/>
              <w:right w:w="57" w:type="dxa"/>
            </w:tcMar>
            <w:vAlign w:val="center"/>
          </w:tcPr>
          <w:p>
            <w:pPr>
              <w:widowControl/>
              <w:adjustRightInd w:val="0"/>
              <w:snapToGrid w:val="0"/>
              <w:jc w:val="left"/>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并处75万元以上100万元以下罚款</w:t>
            </w:r>
          </w:p>
        </w:tc>
      </w:tr>
    </w:tbl>
    <w:p>
      <w:pPr>
        <w:ind w:firstLine="640" w:firstLineChars="200"/>
        <w:rPr>
          <w:rFonts w:hint="eastAsia" w:ascii="黑体" w:hAnsi="黑体" w:eastAsia="黑体" w:cs="黑体"/>
          <w:color w:val="000000"/>
          <w:kern w:val="0"/>
          <w:sz w:val="32"/>
          <w:szCs w:val="32"/>
        </w:rPr>
      </w:pPr>
    </w:p>
    <w:p>
      <w:pPr>
        <w:ind w:firstLine="640" w:firstLineChars="200"/>
      </w:pPr>
      <w:r>
        <w:rPr>
          <w:rFonts w:hint="eastAsia" w:ascii="黑体" w:hAnsi="黑体" w:eastAsia="黑体" w:cs="黑体"/>
          <w:color w:val="000000"/>
          <w:kern w:val="0"/>
          <w:sz w:val="32"/>
          <w:szCs w:val="32"/>
        </w:rPr>
        <w:t>六、农产品质量安全</w:t>
      </w:r>
    </w:p>
    <w:tbl>
      <w:tblPr>
        <w:tblStyle w:val="7"/>
        <w:tblW w:w="140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21"/>
        <w:gridCol w:w="1098"/>
        <w:gridCol w:w="3531"/>
        <w:gridCol w:w="730"/>
        <w:gridCol w:w="2378"/>
        <w:gridCol w:w="2105"/>
        <w:gridCol w:w="373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blHeader/>
          <w:jc w:val="center"/>
        </w:trPr>
        <w:tc>
          <w:tcPr>
            <w:tcW w:w="421"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黑体" w:hAnsi="黑体" w:eastAsia="黑体" w:cs="黑体"/>
                <w:color w:val="000000"/>
                <w:sz w:val="24"/>
                <w:szCs w:val="24"/>
              </w:rPr>
            </w:pPr>
            <w:r>
              <w:rPr>
                <w:rFonts w:hint="eastAsia" w:ascii="黑体" w:hAnsi="黑体" w:eastAsia="黑体" w:cs="黑体"/>
                <w:color w:val="000000"/>
                <w:kern w:val="0"/>
                <w:sz w:val="24"/>
                <w:szCs w:val="24"/>
              </w:rPr>
              <w:t>序号</w:t>
            </w:r>
          </w:p>
        </w:tc>
        <w:tc>
          <w:tcPr>
            <w:tcW w:w="1098"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黑体" w:hAnsi="黑体" w:eastAsia="黑体" w:cs="黑体"/>
                <w:color w:val="000000"/>
                <w:sz w:val="24"/>
                <w:szCs w:val="24"/>
              </w:rPr>
            </w:pPr>
            <w:r>
              <w:rPr>
                <w:rFonts w:hint="eastAsia" w:ascii="黑体" w:hAnsi="黑体" w:eastAsia="黑体" w:cs="黑体"/>
                <w:color w:val="000000"/>
                <w:kern w:val="0"/>
                <w:sz w:val="24"/>
                <w:szCs w:val="24"/>
              </w:rPr>
              <w:t>违法行为</w:t>
            </w:r>
          </w:p>
        </w:tc>
        <w:tc>
          <w:tcPr>
            <w:tcW w:w="3531"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黑体" w:hAnsi="黑体" w:eastAsia="黑体" w:cs="黑体"/>
                <w:color w:val="000000"/>
                <w:sz w:val="24"/>
                <w:szCs w:val="24"/>
              </w:rPr>
            </w:pPr>
            <w:r>
              <w:rPr>
                <w:rFonts w:hint="eastAsia" w:ascii="黑体" w:hAnsi="黑体" w:eastAsia="黑体" w:cs="黑体"/>
                <w:color w:val="000000"/>
                <w:kern w:val="0"/>
                <w:sz w:val="24"/>
                <w:szCs w:val="24"/>
              </w:rPr>
              <w:t>处罚依据</w:t>
            </w:r>
          </w:p>
        </w:tc>
        <w:tc>
          <w:tcPr>
            <w:tcW w:w="730"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黑体" w:hAnsi="黑体" w:eastAsia="黑体" w:cs="黑体"/>
                <w:color w:val="000000"/>
                <w:sz w:val="24"/>
                <w:szCs w:val="24"/>
              </w:rPr>
            </w:pPr>
            <w:r>
              <w:rPr>
                <w:rFonts w:hint="eastAsia" w:ascii="黑体" w:hAnsi="黑体" w:eastAsia="黑体" w:cs="黑体"/>
                <w:color w:val="000000"/>
                <w:kern w:val="0"/>
                <w:sz w:val="24"/>
                <w:szCs w:val="24"/>
              </w:rPr>
              <w:t>违法程度</w:t>
            </w:r>
          </w:p>
        </w:tc>
        <w:tc>
          <w:tcPr>
            <w:tcW w:w="2378"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黑体" w:hAnsi="黑体" w:eastAsia="黑体" w:cs="黑体"/>
                <w:color w:val="000000"/>
                <w:sz w:val="24"/>
                <w:szCs w:val="24"/>
              </w:rPr>
            </w:pPr>
            <w:r>
              <w:rPr>
                <w:rFonts w:hint="eastAsia" w:ascii="黑体" w:hAnsi="黑体" w:eastAsia="黑体" w:cs="黑体"/>
                <w:color w:val="000000"/>
                <w:kern w:val="0"/>
                <w:sz w:val="24"/>
                <w:szCs w:val="24"/>
              </w:rPr>
              <w:t>违法情节</w:t>
            </w:r>
          </w:p>
        </w:tc>
        <w:tc>
          <w:tcPr>
            <w:tcW w:w="5842" w:type="dxa"/>
            <w:gridSpan w:val="2"/>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黑体" w:hAnsi="黑体" w:eastAsia="黑体" w:cs="黑体"/>
                <w:color w:val="000000"/>
                <w:sz w:val="24"/>
                <w:szCs w:val="24"/>
              </w:rPr>
            </w:pPr>
            <w:r>
              <w:rPr>
                <w:rFonts w:hint="eastAsia" w:ascii="黑体" w:hAnsi="黑体" w:eastAsia="黑体" w:cs="黑体"/>
                <w:color w:val="000000"/>
                <w:kern w:val="0"/>
                <w:sz w:val="24"/>
                <w:szCs w:val="24"/>
              </w:rPr>
              <w:t>裁量标准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1" w:hRule="atLeast"/>
          <w:jc w:val="center"/>
        </w:trPr>
        <w:tc>
          <w:tcPr>
            <w:tcW w:w="421" w:type="dxa"/>
            <w:vMerge w:val="restart"/>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1</w:t>
            </w:r>
          </w:p>
        </w:tc>
        <w:tc>
          <w:tcPr>
            <w:tcW w:w="1098" w:type="dxa"/>
            <w:vMerge w:val="restart"/>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农产品质量安全检测机构、检测人员出具虚假检测报告的</w:t>
            </w:r>
          </w:p>
        </w:tc>
        <w:tc>
          <w:tcPr>
            <w:tcW w:w="3531" w:type="dxa"/>
            <w:vMerge w:val="restart"/>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《中华人民共和国农产品质量安全法》第六十五条 农产品质量安全检测机构、检测人员出具虚假检测报告的，由县级以上人民政府农业农村主管部门没收所收取的检测费用，检测费用不足一万元的，并处五万元以上十万元以下罚款，检测费用一万元以上的，并处检测费用五倍以上十倍以下罚款；对直接负责的主管人员和其他直接责任人员处一万元以上五万元以下罚款</w:t>
            </w:r>
          </w:p>
        </w:tc>
        <w:tc>
          <w:tcPr>
            <w:tcW w:w="730" w:type="dxa"/>
            <w:tcBorders>
              <w:tl2br w:val="nil"/>
              <w:tr2bl w:val="nil"/>
            </w:tcBorders>
            <w:tcMar>
              <w:top w:w="57" w:type="dxa"/>
              <w:left w:w="57" w:type="dxa"/>
              <w:bottom w:w="57" w:type="dxa"/>
              <w:right w:w="57" w:type="dxa"/>
            </w:tcMar>
            <w:vAlign w:val="center"/>
          </w:tcPr>
          <w:p>
            <w:pPr>
              <w:widowControl/>
              <w:adjustRightInd w:val="0"/>
              <w:snapToGrid w:val="0"/>
              <w:jc w:val="left"/>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较轻</w:t>
            </w:r>
          </w:p>
        </w:tc>
        <w:tc>
          <w:tcPr>
            <w:tcW w:w="2378"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检测费用不足五千元的</w:t>
            </w:r>
          </w:p>
        </w:tc>
        <w:tc>
          <w:tcPr>
            <w:tcW w:w="2105" w:type="dxa"/>
            <w:vMerge w:val="restart"/>
            <w:tcBorders>
              <w:tl2br w:val="nil"/>
              <w:tr2bl w:val="nil"/>
            </w:tcBorders>
            <w:tcMar>
              <w:top w:w="57" w:type="dxa"/>
              <w:left w:w="57" w:type="dxa"/>
              <w:bottom w:w="57" w:type="dxa"/>
              <w:right w:w="57" w:type="dxa"/>
            </w:tcMar>
            <w:vAlign w:val="center"/>
          </w:tcPr>
          <w:p>
            <w:pPr>
              <w:widowControl/>
              <w:adjustRightInd w:val="0"/>
              <w:snapToGrid w:val="0"/>
              <w:jc w:val="left"/>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没收所收取的检测费用</w:t>
            </w:r>
          </w:p>
        </w:tc>
        <w:tc>
          <w:tcPr>
            <w:tcW w:w="3737" w:type="dxa"/>
            <w:tcBorders>
              <w:tl2br w:val="nil"/>
              <w:tr2bl w:val="nil"/>
            </w:tcBorders>
            <w:tcMar>
              <w:top w:w="57" w:type="dxa"/>
              <w:left w:w="57" w:type="dxa"/>
              <w:bottom w:w="57" w:type="dxa"/>
              <w:right w:w="57" w:type="dxa"/>
            </w:tcMar>
            <w:vAlign w:val="center"/>
          </w:tcPr>
          <w:p>
            <w:pPr>
              <w:widowControl/>
              <w:adjustRightInd w:val="0"/>
              <w:snapToGrid w:val="0"/>
              <w:jc w:val="left"/>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并处五万元以上八万元以下罚款；对直接负责的主管人员和其他直接责任人员处一万元以上二万元以下罚款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7" w:hRule="atLeast"/>
          <w:jc w:val="center"/>
        </w:trPr>
        <w:tc>
          <w:tcPr>
            <w:tcW w:w="421" w:type="dxa"/>
            <w:vMerge w:val="continue"/>
            <w:tcBorders>
              <w:tl2br w:val="nil"/>
              <w:tr2bl w:val="nil"/>
            </w:tcBorders>
            <w:tcMar>
              <w:top w:w="57" w:type="dxa"/>
              <w:left w:w="57" w:type="dxa"/>
              <w:bottom w:w="57" w:type="dxa"/>
              <w:right w:w="57" w:type="dxa"/>
            </w:tcMar>
            <w:vAlign w:val="center"/>
          </w:tcPr>
          <w:p>
            <w:pPr>
              <w:adjustRightInd w:val="0"/>
              <w:snapToGrid w:val="0"/>
              <w:jc w:val="left"/>
              <w:rPr>
                <w:rFonts w:ascii="仿宋_GB2312" w:hAnsi="仿宋_GB2312" w:eastAsia="仿宋_GB2312" w:cs="仿宋_GB2312"/>
                <w:color w:val="000000"/>
                <w:sz w:val="24"/>
                <w:szCs w:val="24"/>
              </w:rPr>
            </w:pPr>
          </w:p>
        </w:tc>
        <w:tc>
          <w:tcPr>
            <w:tcW w:w="1098"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3531"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730" w:type="dxa"/>
            <w:tcBorders>
              <w:tl2br w:val="nil"/>
              <w:tr2bl w:val="nil"/>
            </w:tcBorders>
            <w:tcMar>
              <w:top w:w="57" w:type="dxa"/>
              <w:left w:w="57" w:type="dxa"/>
              <w:bottom w:w="57" w:type="dxa"/>
              <w:right w:w="57" w:type="dxa"/>
            </w:tcMar>
            <w:vAlign w:val="center"/>
          </w:tcPr>
          <w:p>
            <w:pPr>
              <w:widowControl/>
              <w:adjustRightInd w:val="0"/>
              <w:snapToGrid w:val="0"/>
              <w:jc w:val="left"/>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一般</w:t>
            </w:r>
          </w:p>
        </w:tc>
        <w:tc>
          <w:tcPr>
            <w:tcW w:w="2378"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检测费用五千元以上不足一万元的</w:t>
            </w:r>
          </w:p>
        </w:tc>
        <w:tc>
          <w:tcPr>
            <w:tcW w:w="2105" w:type="dxa"/>
            <w:vMerge w:val="continue"/>
            <w:tcBorders>
              <w:tl2br w:val="nil"/>
              <w:tr2bl w:val="nil"/>
            </w:tcBorders>
            <w:tcMar>
              <w:top w:w="57" w:type="dxa"/>
              <w:left w:w="57" w:type="dxa"/>
              <w:bottom w:w="57" w:type="dxa"/>
              <w:right w:w="57" w:type="dxa"/>
            </w:tcMar>
            <w:vAlign w:val="center"/>
          </w:tcPr>
          <w:p>
            <w:pPr>
              <w:adjustRightInd w:val="0"/>
              <w:snapToGrid w:val="0"/>
              <w:jc w:val="left"/>
              <w:rPr>
                <w:rFonts w:ascii="仿宋_GB2312" w:hAnsi="仿宋_GB2312" w:eastAsia="仿宋_GB2312" w:cs="仿宋_GB2312"/>
                <w:color w:val="000000"/>
                <w:sz w:val="21"/>
                <w:szCs w:val="21"/>
              </w:rPr>
            </w:pPr>
          </w:p>
        </w:tc>
        <w:tc>
          <w:tcPr>
            <w:tcW w:w="3737" w:type="dxa"/>
            <w:tcBorders>
              <w:tl2br w:val="nil"/>
              <w:tr2bl w:val="nil"/>
            </w:tcBorders>
            <w:tcMar>
              <w:top w:w="57" w:type="dxa"/>
              <w:left w:w="57" w:type="dxa"/>
              <w:bottom w:w="57" w:type="dxa"/>
              <w:right w:w="57" w:type="dxa"/>
            </w:tcMar>
            <w:vAlign w:val="center"/>
          </w:tcPr>
          <w:p>
            <w:pPr>
              <w:widowControl/>
              <w:adjustRightInd w:val="0"/>
              <w:snapToGrid w:val="0"/>
              <w:jc w:val="left"/>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并处八万元以上十万元以下罚款；对直接负责的主管人员和其他直接责任人员处二万元以上四万元以下罚款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1" w:hRule="atLeast"/>
          <w:jc w:val="center"/>
        </w:trPr>
        <w:tc>
          <w:tcPr>
            <w:tcW w:w="421" w:type="dxa"/>
            <w:vMerge w:val="continue"/>
            <w:tcBorders>
              <w:tl2br w:val="nil"/>
              <w:tr2bl w:val="nil"/>
            </w:tcBorders>
            <w:tcMar>
              <w:top w:w="57" w:type="dxa"/>
              <w:left w:w="57" w:type="dxa"/>
              <w:bottom w:w="57" w:type="dxa"/>
              <w:right w:w="57" w:type="dxa"/>
            </w:tcMar>
            <w:vAlign w:val="center"/>
          </w:tcPr>
          <w:p>
            <w:pPr>
              <w:adjustRightInd w:val="0"/>
              <w:snapToGrid w:val="0"/>
              <w:jc w:val="left"/>
              <w:rPr>
                <w:rFonts w:ascii="仿宋_GB2312" w:hAnsi="仿宋_GB2312" w:eastAsia="仿宋_GB2312" w:cs="仿宋_GB2312"/>
                <w:color w:val="000000"/>
                <w:sz w:val="24"/>
                <w:szCs w:val="24"/>
              </w:rPr>
            </w:pPr>
          </w:p>
        </w:tc>
        <w:tc>
          <w:tcPr>
            <w:tcW w:w="1098"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3531"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730" w:type="dxa"/>
            <w:tcBorders>
              <w:tl2br w:val="nil"/>
              <w:tr2bl w:val="nil"/>
            </w:tcBorders>
            <w:tcMar>
              <w:top w:w="57" w:type="dxa"/>
              <w:left w:w="57" w:type="dxa"/>
              <w:bottom w:w="57" w:type="dxa"/>
              <w:right w:w="57" w:type="dxa"/>
            </w:tcMar>
            <w:vAlign w:val="center"/>
          </w:tcPr>
          <w:p>
            <w:pPr>
              <w:widowControl/>
              <w:adjustRightInd w:val="0"/>
              <w:snapToGrid w:val="0"/>
              <w:jc w:val="left"/>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较重</w:t>
            </w:r>
          </w:p>
        </w:tc>
        <w:tc>
          <w:tcPr>
            <w:tcW w:w="2378"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检测费用一万元以上的</w:t>
            </w:r>
          </w:p>
        </w:tc>
        <w:tc>
          <w:tcPr>
            <w:tcW w:w="2105" w:type="dxa"/>
            <w:vMerge w:val="continue"/>
            <w:tcBorders>
              <w:tl2br w:val="nil"/>
              <w:tr2bl w:val="nil"/>
            </w:tcBorders>
            <w:tcMar>
              <w:top w:w="57" w:type="dxa"/>
              <w:left w:w="57" w:type="dxa"/>
              <w:bottom w:w="57" w:type="dxa"/>
              <w:right w:w="57" w:type="dxa"/>
            </w:tcMar>
            <w:vAlign w:val="center"/>
          </w:tcPr>
          <w:p>
            <w:pPr>
              <w:adjustRightInd w:val="0"/>
              <w:snapToGrid w:val="0"/>
              <w:jc w:val="left"/>
              <w:rPr>
                <w:rFonts w:ascii="仿宋_GB2312" w:hAnsi="仿宋_GB2312" w:eastAsia="仿宋_GB2312" w:cs="仿宋_GB2312"/>
                <w:color w:val="000000"/>
                <w:sz w:val="21"/>
                <w:szCs w:val="21"/>
              </w:rPr>
            </w:pPr>
          </w:p>
        </w:tc>
        <w:tc>
          <w:tcPr>
            <w:tcW w:w="3737" w:type="dxa"/>
            <w:tcBorders>
              <w:tl2br w:val="nil"/>
              <w:tr2bl w:val="nil"/>
            </w:tcBorders>
            <w:tcMar>
              <w:top w:w="57" w:type="dxa"/>
              <w:left w:w="57" w:type="dxa"/>
              <w:bottom w:w="57" w:type="dxa"/>
              <w:right w:w="57" w:type="dxa"/>
            </w:tcMar>
            <w:vAlign w:val="center"/>
          </w:tcPr>
          <w:p>
            <w:pPr>
              <w:widowControl/>
              <w:adjustRightInd w:val="0"/>
              <w:snapToGrid w:val="0"/>
              <w:jc w:val="left"/>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并处检测费用五倍以上十倍以下罚款；对直接负责的主管人员和其他直接责任人员处四万元以上五万元以下罚款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421" w:type="dxa"/>
            <w:vMerge w:val="restart"/>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2</w:t>
            </w:r>
          </w:p>
        </w:tc>
        <w:tc>
          <w:tcPr>
            <w:tcW w:w="1098" w:type="dxa"/>
            <w:vMerge w:val="restart"/>
            <w:tcBorders>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在特定农产品禁止生产区域种植、养殖、捕捞、采集特定农产品或建立特定农产品生产基地的</w:t>
            </w:r>
          </w:p>
        </w:tc>
        <w:tc>
          <w:tcPr>
            <w:tcW w:w="3531" w:type="dxa"/>
            <w:vMerge w:val="restart"/>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Style w:val="10"/>
                <w:rFonts w:hint="default" w:hAnsi="仿宋_GB2312"/>
                <w:sz w:val="21"/>
                <w:szCs w:val="21"/>
              </w:rPr>
              <w:t>《中华人民共和国农产品质量安全法》第六十六条</w:t>
            </w:r>
            <w:r>
              <w:rPr>
                <w:rStyle w:val="12"/>
                <w:rFonts w:hint="eastAsia" w:ascii="仿宋_GB2312" w:hAnsi="仿宋_GB2312" w:eastAsia="仿宋_GB2312" w:cs="仿宋_GB2312"/>
                <w:sz w:val="21"/>
                <w:szCs w:val="21"/>
              </w:rPr>
              <w:t>  </w:t>
            </w:r>
            <w:r>
              <w:rPr>
                <w:rStyle w:val="10"/>
                <w:rFonts w:hint="default" w:hAnsi="仿宋_GB2312"/>
                <w:sz w:val="21"/>
                <w:szCs w:val="21"/>
              </w:rPr>
              <w:t>违反本法规定，在特定农产品禁止生产区域种植、养殖、捕捞、采集特定农产品或者建立特定农产品生产基地的，由县级以上地方人民政府农业农村主管部门责令停止违法行为，没收农产品和违法所得，并处违法所得一倍以上三倍以下罚款。</w:t>
            </w:r>
          </w:p>
        </w:tc>
        <w:tc>
          <w:tcPr>
            <w:tcW w:w="730" w:type="dxa"/>
            <w:tcBorders>
              <w:tl2br w:val="nil"/>
              <w:tr2bl w:val="nil"/>
            </w:tcBorders>
            <w:tcMar>
              <w:top w:w="57" w:type="dxa"/>
              <w:left w:w="57" w:type="dxa"/>
              <w:bottom w:w="57" w:type="dxa"/>
              <w:right w:w="57" w:type="dxa"/>
            </w:tcMar>
            <w:vAlign w:val="center"/>
          </w:tcPr>
          <w:p>
            <w:pPr>
              <w:widowControl/>
              <w:adjustRightInd w:val="0"/>
              <w:snapToGrid w:val="0"/>
              <w:jc w:val="left"/>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较轻</w:t>
            </w:r>
          </w:p>
        </w:tc>
        <w:tc>
          <w:tcPr>
            <w:tcW w:w="2378"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首次违法</w:t>
            </w:r>
          </w:p>
        </w:tc>
        <w:tc>
          <w:tcPr>
            <w:tcW w:w="2105" w:type="dxa"/>
            <w:vMerge w:val="restart"/>
            <w:tcBorders>
              <w:tl2br w:val="nil"/>
              <w:tr2bl w:val="nil"/>
            </w:tcBorders>
            <w:tcMar>
              <w:top w:w="57" w:type="dxa"/>
              <w:left w:w="57" w:type="dxa"/>
              <w:bottom w:w="57" w:type="dxa"/>
              <w:right w:w="57" w:type="dxa"/>
            </w:tcMar>
            <w:vAlign w:val="center"/>
          </w:tcPr>
          <w:p>
            <w:pPr>
              <w:widowControl/>
              <w:adjustRightInd w:val="0"/>
              <w:snapToGrid w:val="0"/>
              <w:jc w:val="left"/>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责令停止违法行为，没收农产品和违法所得</w:t>
            </w:r>
          </w:p>
        </w:tc>
        <w:tc>
          <w:tcPr>
            <w:tcW w:w="3737"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并处违法所得一倍以上二倍以下罚款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421" w:type="dxa"/>
            <w:vMerge w:val="continue"/>
            <w:tcBorders>
              <w:tl2br w:val="nil"/>
              <w:tr2bl w:val="nil"/>
            </w:tcBorders>
            <w:tcMar>
              <w:top w:w="57" w:type="dxa"/>
              <w:left w:w="57" w:type="dxa"/>
              <w:bottom w:w="57" w:type="dxa"/>
              <w:right w:w="57" w:type="dxa"/>
            </w:tcMar>
            <w:vAlign w:val="center"/>
          </w:tcPr>
          <w:p>
            <w:pPr>
              <w:adjustRightInd w:val="0"/>
              <w:snapToGrid w:val="0"/>
              <w:jc w:val="center"/>
              <w:rPr>
                <w:rFonts w:ascii="仿宋_GB2312" w:hAnsi="仿宋_GB2312" w:eastAsia="仿宋_GB2312" w:cs="仿宋_GB2312"/>
                <w:color w:val="000000"/>
                <w:sz w:val="24"/>
                <w:szCs w:val="24"/>
              </w:rPr>
            </w:pPr>
          </w:p>
        </w:tc>
        <w:tc>
          <w:tcPr>
            <w:tcW w:w="1098"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3531"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730" w:type="dxa"/>
            <w:tcBorders>
              <w:tl2br w:val="nil"/>
              <w:tr2bl w:val="nil"/>
            </w:tcBorders>
            <w:tcMar>
              <w:top w:w="57" w:type="dxa"/>
              <w:left w:w="57" w:type="dxa"/>
              <w:bottom w:w="57" w:type="dxa"/>
              <w:right w:w="57" w:type="dxa"/>
            </w:tcMar>
            <w:vAlign w:val="center"/>
          </w:tcPr>
          <w:p>
            <w:pPr>
              <w:widowControl/>
              <w:adjustRightInd w:val="0"/>
              <w:snapToGrid w:val="0"/>
              <w:jc w:val="left"/>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较重</w:t>
            </w:r>
          </w:p>
        </w:tc>
        <w:tc>
          <w:tcPr>
            <w:tcW w:w="2378"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多次违法</w:t>
            </w:r>
          </w:p>
        </w:tc>
        <w:tc>
          <w:tcPr>
            <w:tcW w:w="2105" w:type="dxa"/>
            <w:vMerge w:val="continue"/>
            <w:tcBorders>
              <w:tl2br w:val="nil"/>
              <w:tr2bl w:val="nil"/>
            </w:tcBorders>
            <w:tcMar>
              <w:top w:w="57" w:type="dxa"/>
              <w:left w:w="57" w:type="dxa"/>
              <w:bottom w:w="57" w:type="dxa"/>
              <w:right w:w="57" w:type="dxa"/>
            </w:tcMar>
            <w:vAlign w:val="center"/>
          </w:tcPr>
          <w:p>
            <w:pPr>
              <w:adjustRightInd w:val="0"/>
              <w:snapToGrid w:val="0"/>
              <w:jc w:val="center"/>
              <w:rPr>
                <w:rFonts w:ascii="仿宋_GB2312" w:hAnsi="仿宋_GB2312" w:eastAsia="仿宋_GB2312" w:cs="仿宋_GB2312"/>
                <w:color w:val="000000"/>
                <w:sz w:val="21"/>
                <w:szCs w:val="21"/>
              </w:rPr>
            </w:pPr>
          </w:p>
        </w:tc>
        <w:tc>
          <w:tcPr>
            <w:tcW w:w="3737"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并处违法所得二倍以上三倍以下罚款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421" w:type="dxa"/>
            <w:vMerge w:val="restart"/>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3</w:t>
            </w:r>
          </w:p>
        </w:tc>
        <w:tc>
          <w:tcPr>
            <w:tcW w:w="1098" w:type="dxa"/>
            <w:vMerge w:val="restart"/>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农产品生产企业未建立农产品质量安全管理制度的</w:t>
            </w:r>
          </w:p>
        </w:tc>
        <w:tc>
          <w:tcPr>
            <w:tcW w:w="3531" w:type="dxa"/>
            <w:vMerge w:val="restart"/>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Style w:val="10"/>
                <w:rFonts w:hint="default" w:hAnsi="仿宋_GB2312"/>
                <w:sz w:val="21"/>
                <w:szCs w:val="21"/>
              </w:rPr>
              <w:t>《中华人民共和国农产品质量安全法》第六十八条</w:t>
            </w:r>
            <w:r>
              <w:rPr>
                <w:rStyle w:val="12"/>
                <w:rFonts w:hint="eastAsia" w:ascii="仿宋_GB2312" w:hAnsi="仿宋_GB2312" w:eastAsia="仿宋_GB2312" w:cs="仿宋_GB2312"/>
                <w:sz w:val="21"/>
                <w:szCs w:val="21"/>
              </w:rPr>
              <w:t>  </w:t>
            </w:r>
            <w:r>
              <w:rPr>
                <w:rStyle w:val="10"/>
                <w:rFonts w:hint="default" w:hAnsi="仿宋_GB2312"/>
                <w:sz w:val="21"/>
                <w:szCs w:val="21"/>
              </w:rPr>
              <w:t>违反本法规定，农产品生产企业有下列情形之一的，由县级以上地方人民政府农业农村主管部门责令限期改正；逾期不改正的，处五千元以上五万元以下罚款：</w:t>
            </w:r>
            <w:r>
              <w:rPr>
                <w:rStyle w:val="10"/>
                <w:rFonts w:hint="default" w:hAnsi="仿宋_GB2312"/>
                <w:sz w:val="21"/>
                <w:szCs w:val="21"/>
              </w:rPr>
              <w:br w:type="textWrapping"/>
            </w:r>
            <w:r>
              <w:rPr>
                <w:rStyle w:val="10"/>
                <w:rFonts w:hint="default" w:hAnsi="仿宋_GB2312"/>
                <w:sz w:val="21"/>
                <w:szCs w:val="21"/>
              </w:rPr>
              <w:t>（一）未建立农产品质量安全管理制度；</w:t>
            </w:r>
          </w:p>
        </w:tc>
        <w:tc>
          <w:tcPr>
            <w:tcW w:w="730" w:type="dxa"/>
            <w:tcBorders>
              <w:tl2br w:val="nil"/>
              <w:tr2bl w:val="nil"/>
            </w:tcBorders>
            <w:tcMar>
              <w:top w:w="57" w:type="dxa"/>
              <w:left w:w="57" w:type="dxa"/>
              <w:bottom w:w="57" w:type="dxa"/>
              <w:right w:w="57" w:type="dxa"/>
            </w:tcMar>
            <w:vAlign w:val="center"/>
          </w:tcPr>
          <w:p>
            <w:pPr>
              <w:widowControl/>
              <w:adjustRightInd w:val="0"/>
              <w:snapToGrid w:val="0"/>
              <w:jc w:val="left"/>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较轻</w:t>
            </w:r>
          </w:p>
        </w:tc>
        <w:tc>
          <w:tcPr>
            <w:tcW w:w="2378" w:type="dxa"/>
            <w:tcBorders>
              <w:tl2br w:val="nil"/>
              <w:tr2bl w:val="nil"/>
            </w:tcBorders>
            <w:tcMar>
              <w:top w:w="57" w:type="dxa"/>
              <w:left w:w="57" w:type="dxa"/>
              <w:bottom w:w="57" w:type="dxa"/>
              <w:right w:w="57" w:type="dxa"/>
            </w:tcMar>
            <w:vAlign w:val="center"/>
          </w:tcPr>
          <w:p>
            <w:pPr>
              <w:widowControl/>
              <w:adjustRightInd w:val="0"/>
              <w:snapToGrid w:val="0"/>
              <w:spacing w:line="272" w:lineRule="exact"/>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未建立农产品质量安全管理制度，逾期改正不到位的</w:t>
            </w:r>
          </w:p>
        </w:tc>
        <w:tc>
          <w:tcPr>
            <w:tcW w:w="2105" w:type="dxa"/>
            <w:vMerge w:val="restart"/>
            <w:tcBorders>
              <w:tl2br w:val="nil"/>
              <w:tr2bl w:val="nil"/>
            </w:tcBorders>
            <w:tcMar>
              <w:top w:w="57" w:type="dxa"/>
              <w:left w:w="57" w:type="dxa"/>
              <w:bottom w:w="57" w:type="dxa"/>
              <w:right w:w="57" w:type="dxa"/>
            </w:tcMar>
            <w:vAlign w:val="center"/>
          </w:tcPr>
          <w:p>
            <w:pPr>
              <w:widowControl/>
              <w:adjustRightInd w:val="0"/>
              <w:snapToGrid w:val="0"/>
              <w:jc w:val="left"/>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责令限期改正，逾期不改正的，</w:t>
            </w:r>
          </w:p>
        </w:tc>
        <w:tc>
          <w:tcPr>
            <w:tcW w:w="3737" w:type="dxa"/>
            <w:tcBorders>
              <w:tl2br w:val="nil"/>
              <w:tr2bl w:val="nil"/>
            </w:tcBorders>
            <w:tcMar>
              <w:top w:w="57" w:type="dxa"/>
              <w:left w:w="57" w:type="dxa"/>
              <w:bottom w:w="57" w:type="dxa"/>
              <w:right w:w="57" w:type="dxa"/>
            </w:tcMar>
            <w:vAlign w:val="center"/>
          </w:tcPr>
          <w:p>
            <w:pPr>
              <w:widowControl/>
              <w:adjustRightInd w:val="0"/>
              <w:snapToGrid w:val="0"/>
              <w:jc w:val="left"/>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处五千元以上一万元以下罚款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421" w:type="dxa"/>
            <w:vMerge w:val="continue"/>
            <w:tcBorders>
              <w:tl2br w:val="nil"/>
              <w:tr2bl w:val="nil"/>
            </w:tcBorders>
            <w:tcMar>
              <w:top w:w="57" w:type="dxa"/>
              <w:left w:w="57" w:type="dxa"/>
              <w:bottom w:w="57" w:type="dxa"/>
              <w:right w:w="57" w:type="dxa"/>
            </w:tcMar>
            <w:vAlign w:val="center"/>
          </w:tcPr>
          <w:p>
            <w:pPr>
              <w:adjustRightInd w:val="0"/>
              <w:snapToGrid w:val="0"/>
              <w:jc w:val="left"/>
              <w:rPr>
                <w:rFonts w:ascii="仿宋_GB2312" w:hAnsi="仿宋_GB2312" w:eastAsia="仿宋_GB2312" w:cs="仿宋_GB2312"/>
                <w:color w:val="000000"/>
                <w:sz w:val="24"/>
                <w:szCs w:val="24"/>
              </w:rPr>
            </w:pPr>
          </w:p>
        </w:tc>
        <w:tc>
          <w:tcPr>
            <w:tcW w:w="1098"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3531"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730" w:type="dxa"/>
            <w:tcBorders>
              <w:tl2br w:val="nil"/>
              <w:tr2bl w:val="nil"/>
            </w:tcBorders>
            <w:tcMar>
              <w:top w:w="57" w:type="dxa"/>
              <w:left w:w="57" w:type="dxa"/>
              <w:bottom w:w="57" w:type="dxa"/>
              <w:right w:w="57" w:type="dxa"/>
            </w:tcMar>
            <w:vAlign w:val="center"/>
          </w:tcPr>
          <w:p>
            <w:pPr>
              <w:widowControl/>
              <w:adjustRightInd w:val="0"/>
              <w:snapToGrid w:val="0"/>
              <w:jc w:val="left"/>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一般</w:t>
            </w:r>
          </w:p>
        </w:tc>
        <w:tc>
          <w:tcPr>
            <w:tcW w:w="2378" w:type="dxa"/>
            <w:tcBorders>
              <w:tl2br w:val="nil"/>
              <w:tr2bl w:val="nil"/>
            </w:tcBorders>
            <w:tcMar>
              <w:top w:w="57" w:type="dxa"/>
              <w:left w:w="57" w:type="dxa"/>
              <w:bottom w:w="57" w:type="dxa"/>
              <w:right w:w="57" w:type="dxa"/>
            </w:tcMar>
            <w:vAlign w:val="center"/>
          </w:tcPr>
          <w:p>
            <w:pPr>
              <w:widowControl/>
              <w:adjustRightInd w:val="0"/>
              <w:snapToGrid w:val="0"/>
              <w:spacing w:line="272" w:lineRule="exact"/>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未建立农产品质量安全管理制度，在责令改正期限内未改正的</w:t>
            </w:r>
          </w:p>
        </w:tc>
        <w:tc>
          <w:tcPr>
            <w:tcW w:w="2105" w:type="dxa"/>
            <w:vMerge w:val="continue"/>
            <w:tcBorders>
              <w:tl2br w:val="nil"/>
              <w:tr2bl w:val="nil"/>
            </w:tcBorders>
            <w:tcMar>
              <w:top w:w="57" w:type="dxa"/>
              <w:left w:w="57" w:type="dxa"/>
              <w:bottom w:w="57" w:type="dxa"/>
              <w:right w:w="57" w:type="dxa"/>
            </w:tcMar>
            <w:vAlign w:val="center"/>
          </w:tcPr>
          <w:p>
            <w:pPr>
              <w:adjustRightInd w:val="0"/>
              <w:snapToGrid w:val="0"/>
              <w:jc w:val="left"/>
              <w:rPr>
                <w:rFonts w:ascii="仿宋_GB2312" w:hAnsi="仿宋_GB2312" w:eastAsia="仿宋_GB2312" w:cs="仿宋_GB2312"/>
                <w:color w:val="000000"/>
                <w:sz w:val="21"/>
                <w:szCs w:val="21"/>
              </w:rPr>
            </w:pPr>
          </w:p>
        </w:tc>
        <w:tc>
          <w:tcPr>
            <w:tcW w:w="3737" w:type="dxa"/>
            <w:tcBorders>
              <w:tl2br w:val="nil"/>
              <w:tr2bl w:val="nil"/>
            </w:tcBorders>
            <w:tcMar>
              <w:top w:w="57" w:type="dxa"/>
              <w:left w:w="57" w:type="dxa"/>
              <w:bottom w:w="57" w:type="dxa"/>
              <w:right w:w="57" w:type="dxa"/>
            </w:tcMar>
            <w:vAlign w:val="center"/>
          </w:tcPr>
          <w:p>
            <w:pPr>
              <w:widowControl/>
              <w:adjustRightInd w:val="0"/>
              <w:snapToGrid w:val="0"/>
              <w:jc w:val="left"/>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处一万元以上三万元以下罚款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421" w:type="dxa"/>
            <w:vMerge w:val="continue"/>
            <w:tcBorders>
              <w:tl2br w:val="nil"/>
              <w:tr2bl w:val="nil"/>
            </w:tcBorders>
            <w:tcMar>
              <w:top w:w="57" w:type="dxa"/>
              <w:left w:w="57" w:type="dxa"/>
              <w:bottom w:w="57" w:type="dxa"/>
              <w:right w:w="57" w:type="dxa"/>
            </w:tcMar>
            <w:vAlign w:val="center"/>
          </w:tcPr>
          <w:p>
            <w:pPr>
              <w:adjustRightInd w:val="0"/>
              <w:snapToGrid w:val="0"/>
              <w:jc w:val="left"/>
              <w:rPr>
                <w:rFonts w:ascii="仿宋_GB2312" w:hAnsi="仿宋_GB2312" w:eastAsia="仿宋_GB2312" w:cs="仿宋_GB2312"/>
                <w:color w:val="000000"/>
                <w:sz w:val="24"/>
                <w:szCs w:val="24"/>
              </w:rPr>
            </w:pPr>
          </w:p>
        </w:tc>
        <w:tc>
          <w:tcPr>
            <w:tcW w:w="1098"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3531"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730" w:type="dxa"/>
            <w:tcBorders>
              <w:tl2br w:val="nil"/>
              <w:tr2bl w:val="nil"/>
            </w:tcBorders>
            <w:tcMar>
              <w:top w:w="57" w:type="dxa"/>
              <w:left w:w="57" w:type="dxa"/>
              <w:bottom w:w="57" w:type="dxa"/>
              <w:right w:w="57" w:type="dxa"/>
            </w:tcMar>
            <w:vAlign w:val="center"/>
          </w:tcPr>
          <w:p>
            <w:pPr>
              <w:widowControl/>
              <w:adjustRightInd w:val="0"/>
              <w:snapToGrid w:val="0"/>
              <w:jc w:val="left"/>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较重</w:t>
            </w:r>
          </w:p>
        </w:tc>
        <w:tc>
          <w:tcPr>
            <w:tcW w:w="2378" w:type="dxa"/>
            <w:tcBorders>
              <w:tl2br w:val="nil"/>
              <w:tr2bl w:val="nil"/>
            </w:tcBorders>
            <w:tcMar>
              <w:top w:w="57" w:type="dxa"/>
              <w:left w:w="57" w:type="dxa"/>
              <w:bottom w:w="57" w:type="dxa"/>
              <w:right w:w="57" w:type="dxa"/>
            </w:tcMar>
            <w:vAlign w:val="center"/>
          </w:tcPr>
          <w:p>
            <w:pPr>
              <w:widowControl/>
              <w:adjustRightInd w:val="0"/>
              <w:snapToGrid w:val="0"/>
              <w:spacing w:line="272" w:lineRule="exact"/>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未建立农产品质量安全管理制度，在责令改正期满30日后仍不改正的</w:t>
            </w:r>
          </w:p>
        </w:tc>
        <w:tc>
          <w:tcPr>
            <w:tcW w:w="2105" w:type="dxa"/>
            <w:vMerge w:val="continue"/>
            <w:tcBorders>
              <w:tl2br w:val="nil"/>
              <w:tr2bl w:val="nil"/>
            </w:tcBorders>
            <w:tcMar>
              <w:top w:w="57" w:type="dxa"/>
              <w:left w:w="57" w:type="dxa"/>
              <w:bottom w:w="57" w:type="dxa"/>
              <w:right w:w="57" w:type="dxa"/>
            </w:tcMar>
            <w:vAlign w:val="center"/>
          </w:tcPr>
          <w:p>
            <w:pPr>
              <w:adjustRightInd w:val="0"/>
              <w:snapToGrid w:val="0"/>
              <w:jc w:val="left"/>
              <w:rPr>
                <w:rFonts w:ascii="仿宋_GB2312" w:hAnsi="仿宋_GB2312" w:eastAsia="仿宋_GB2312" w:cs="仿宋_GB2312"/>
                <w:color w:val="000000"/>
                <w:sz w:val="21"/>
                <w:szCs w:val="21"/>
              </w:rPr>
            </w:pPr>
          </w:p>
        </w:tc>
        <w:tc>
          <w:tcPr>
            <w:tcW w:w="3737" w:type="dxa"/>
            <w:tcBorders>
              <w:tl2br w:val="nil"/>
              <w:tr2bl w:val="nil"/>
            </w:tcBorders>
            <w:tcMar>
              <w:top w:w="57" w:type="dxa"/>
              <w:left w:w="57" w:type="dxa"/>
              <w:bottom w:w="57" w:type="dxa"/>
              <w:right w:w="57" w:type="dxa"/>
            </w:tcMar>
            <w:vAlign w:val="center"/>
          </w:tcPr>
          <w:p>
            <w:pPr>
              <w:widowControl/>
              <w:adjustRightInd w:val="0"/>
              <w:snapToGrid w:val="0"/>
              <w:jc w:val="left"/>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处三万元以上五万元以下罚款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421" w:type="dxa"/>
            <w:vMerge w:val="restart"/>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4</w:t>
            </w:r>
          </w:p>
        </w:tc>
        <w:tc>
          <w:tcPr>
            <w:tcW w:w="1098" w:type="dxa"/>
            <w:vMerge w:val="restart"/>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农产品生产企业未配备相应的农产品质量安全管理技术人员，且未委托具有专业技术知识的人员进行农产品质量安全指导的</w:t>
            </w:r>
          </w:p>
        </w:tc>
        <w:tc>
          <w:tcPr>
            <w:tcW w:w="3531" w:type="dxa"/>
            <w:vMerge w:val="restart"/>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Style w:val="10"/>
                <w:rFonts w:hint="default" w:hAnsi="仿宋_GB2312"/>
                <w:sz w:val="21"/>
                <w:szCs w:val="21"/>
              </w:rPr>
              <w:t>《中华人民共和国农产品质量安全法》第六十八条</w:t>
            </w:r>
            <w:r>
              <w:rPr>
                <w:rStyle w:val="12"/>
                <w:rFonts w:hint="eastAsia" w:ascii="仿宋_GB2312" w:hAnsi="仿宋_GB2312" w:eastAsia="仿宋_GB2312" w:cs="仿宋_GB2312"/>
                <w:sz w:val="21"/>
                <w:szCs w:val="21"/>
              </w:rPr>
              <w:t xml:space="preserve">  </w:t>
            </w:r>
            <w:r>
              <w:rPr>
                <w:rStyle w:val="10"/>
                <w:rFonts w:hint="default" w:hAnsi="仿宋_GB2312"/>
                <w:sz w:val="21"/>
                <w:szCs w:val="21"/>
              </w:rPr>
              <w:t>违反本法规定，农产品生产企业有下列情形之一的，由县级以上地方人民政府农业农村主管部门责令限期改正；逾期不改正的，处五千元以上五万元以下罚款：</w:t>
            </w:r>
            <w:r>
              <w:rPr>
                <w:rStyle w:val="10"/>
                <w:rFonts w:hint="default" w:hAnsi="仿宋_GB2312"/>
                <w:sz w:val="21"/>
                <w:szCs w:val="21"/>
              </w:rPr>
              <w:br w:type="textWrapping"/>
            </w:r>
            <w:r>
              <w:rPr>
                <w:rStyle w:val="10"/>
                <w:rFonts w:hint="default" w:hAnsi="仿宋_GB2312"/>
                <w:sz w:val="21"/>
                <w:szCs w:val="21"/>
              </w:rPr>
              <w:t>（二）未配备相应的农产品质量安全管理技术人员，且未委托具有专业技术知识的人员进行农产品质量安全指导。</w:t>
            </w:r>
          </w:p>
        </w:tc>
        <w:tc>
          <w:tcPr>
            <w:tcW w:w="730" w:type="dxa"/>
            <w:tcBorders>
              <w:tl2br w:val="nil"/>
              <w:tr2bl w:val="nil"/>
            </w:tcBorders>
            <w:tcMar>
              <w:top w:w="57" w:type="dxa"/>
              <w:left w:w="57" w:type="dxa"/>
              <w:bottom w:w="57" w:type="dxa"/>
              <w:right w:w="57" w:type="dxa"/>
            </w:tcMar>
            <w:vAlign w:val="center"/>
          </w:tcPr>
          <w:p>
            <w:pPr>
              <w:widowControl/>
              <w:adjustRightInd w:val="0"/>
              <w:snapToGrid w:val="0"/>
              <w:jc w:val="left"/>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较轻</w:t>
            </w:r>
          </w:p>
        </w:tc>
        <w:tc>
          <w:tcPr>
            <w:tcW w:w="2378" w:type="dxa"/>
            <w:tcBorders>
              <w:tl2br w:val="nil"/>
              <w:tr2bl w:val="nil"/>
            </w:tcBorders>
            <w:tcMar>
              <w:top w:w="57" w:type="dxa"/>
              <w:left w:w="57" w:type="dxa"/>
              <w:bottom w:w="57" w:type="dxa"/>
              <w:right w:w="57" w:type="dxa"/>
            </w:tcMar>
            <w:vAlign w:val="center"/>
          </w:tcPr>
          <w:p>
            <w:pPr>
              <w:widowControl/>
              <w:adjustRightInd w:val="0"/>
              <w:snapToGrid w:val="0"/>
              <w:spacing w:line="272" w:lineRule="exact"/>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未配备相应的农产品质量安全管理技术人员，或者未委托具有专业技术知识的人员进行农产品质量安全指导，在责令改正期限内未改正的</w:t>
            </w:r>
          </w:p>
        </w:tc>
        <w:tc>
          <w:tcPr>
            <w:tcW w:w="2105" w:type="dxa"/>
            <w:vMerge w:val="restart"/>
            <w:tcBorders>
              <w:tl2br w:val="nil"/>
              <w:tr2bl w:val="nil"/>
            </w:tcBorders>
            <w:tcMar>
              <w:top w:w="57" w:type="dxa"/>
              <w:left w:w="57" w:type="dxa"/>
              <w:bottom w:w="57" w:type="dxa"/>
              <w:right w:w="57" w:type="dxa"/>
            </w:tcMar>
            <w:vAlign w:val="center"/>
          </w:tcPr>
          <w:p>
            <w:pPr>
              <w:widowControl/>
              <w:adjustRightInd w:val="0"/>
              <w:snapToGrid w:val="0"/>
              <w:jc w:val="left"/>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责令限期改正，逾期不改正的，</w:t>
            </w:r>
          </w:p>
        </w:tc>
        <w:tc>
          <w:tcPr>
            <w:tcW w:w="3737" w:type="dxa"/>
            <w:tcBorders>
              <w:tl2br w:val="nil"/>
              <w:tr2bl w:val="nil"/>
            </w:tcBorders>
            <w:tcMar>
              <w:top w:w="57" w:type="dxa"/>
              <w:left w:w="57" w:type="dxa"/>
              <w:bottom w:w="57" w:type="dxa"/>
              <w:right w:w="57" w:type="dxa"/>
            </w:tcMar>
            <w:vAlign w:val="center"/>
          </w:tcPr>
          <w:p>
            <w:pPr>
              <w:widowControl/>
              <w:adjustRightInd w:val="0"/>
              <w:snapToGrid w:val="0"/>
              <w:jc w:val="left"/>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处五千元以上一万元以下罚款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421" w:type="dxa"/>
            <w:vMerge w:val="continue"/>
            <w:tcBorders>
              <w:tl2br w:val="nil"/>
              <w:tr2bl w:val="nil"/>
            </w:tcBorders>
            <w:tcMar>
              <w:top w:w="57" w:type="dxa"/>
              <w:left w:w="57" w:type="dxa"/>
              <w:bottom w:w="57" w:type="dxa"/>
              <w:right w:w="57" w:type="dxa"/>
            </w:tcMar>
            <w:vAlign w:val="center"/>
          </w:tcPr>
          <w:p>
            <w:pPr>
              <w:adjustRightInd w:val="0"/>
              <w:snapToGrid w:val="0"/>
              <w:jc w:val="left"/>
              <w:rPr>
                <w:rFonts w:ascii="仿宋_GB2312" w:hAnsi="仿宋_GB2312" w:eastAsia="仿宋_GB2312" w:cs="仿宋_GB2312"/>
                <w:color w:val="000000"/>
                <w:sz w:val="24"/>
                <w:szCs w:val="24"/>
              </w:rPr>
            </w:pPr>
          </w:p>
        </w:tc>
        <w:tc>
          <w:tcPr>
            <w:tcW w:w="1098"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3531"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730" w:type="dxa"/>
            <w:tcBorders>
              <w:tl2br w:val="nil"/>
              <w:tr2bl w:val="nil"/>
            </w:tcBorders>
            <w:tcMar>
              <w:top w:w="57" w:type="dxa"/>
              <w:left w:w="57" w:type="dxa"/>
              <w:bottom w:w="57" w:type="dxa"/>
              <w:right w:w="57" w:type="dxa"/>
            </w:tcMar>
            <w:vAlign w:val="center"/>
          </w:tcPr>
          <w:p>
            <w:pPr>
              <w:widowControl/>
              <w:adjustRightInd w:val="0"/>
              <w:snapToGrid w:val="0"/>
              <w:jc w:val="left"/>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一般</w:t>
            </w:r>
          </w:p>
        </w:tc>
        <w:tc>
          <w:tcPr>
            <w:tcW w:w="2378" w:type="dxa"/>
            <w:tcBorders>
              <w:tl2br w:val="nil"/>
              <w:tr2bl w:val="nil"/>
            </w:tcBorders>
            <w:tcMar>
              <w:top w:w="57" w:type="dxa"/>
              <w:left w:w="57" w:type="dxa"/>
              <w:bottom w:w="57" w:type="dxa"/>
              <w:right w:w="57" w:type="dxa"/>
            </w:tcMar>
            <w:vAlign w:val="center"/>
          </w:tcPr>
          <w:p>
            <w:pPr>
              <w:widowControl/>
              <w:adjustRightInd w:val="0"/>
              <w:snapToGrid w:val="0"/>
              <w:spacing w:line="272" w:lineRule="exact"/>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未配备相应的农产品质量安全管理技术人员，或者未委托具有专业技术知识的人员进行农产品质量安全指导，逾期改正不到位的</w:t>
            </w:r>
          </w:p>
        </w:tc>
        <w:tc>
          <w:tcPr>
            <w:tcW w:w="2105" w:type="dxa"/>
            <w:vMerge w:val="continue"/>
            <w:tcBorders>
              <w:tl2br w:val="nil"/>
              <w:tr2bl w:val="nil"/>
            </w:tcBorders>
            <w:tcMar>
              <w:top w:w="57" w:type="dxa"/>
              <w:left w:w="57" w:type="dxa"/>
              <w:bottom w:w="57" w:type="dxa"/>
              <w:right w:w="57" w:type="dxa"/>
            </w:tcMar>
            <w:vAlign w:val="center"/>
          </w:tcPr>
          <w:p>
            <w:pPr>
              <w:adjustRightInd w:val="0"/>
              <w:snapToGrid w:val="0"/>
              <w:jc w:val="left"/>
              <w:rPr>
                <w:rFonts w:ascii="仿宋_GB2312" w:hAnsi="仿宋_GB2312" w:eastAsia="仿宋_GB2312" w:cs="仿宋_GB2312"/>
                <w:color w:val="000000"/>
                <w:sz w:val="21"/>
                <w:szCs w:val="21"/>
              </w:rPr>
            </w:pPr>
          </w:p>
        </w:tc>
        <w:tc>
          <w:tcPr>
            <w:tcW w:w="3737" w:type="dxa"/>
            <w:tcBorders>
              <w:tl2br w:val="nil"/>
              <w:tr2bl w:val="nil"/>
            </w:tcBorders>
            <w:tcMar>
              <w:top w:w="57" w:type="dxa"/>
              <w:left w:w="57" w:type="dxa"/>
              <w:bottom w:w="57" w:type="dxa"/>
              <w:right w:w="57" w:type="dxa"/>
            </w:tcMar>
            <w:vAlign w:val="center"/>
          </w:tcPr>
          <w:p>
            <w:pPr>
              <w:widowControl/>
              <w:adjustRightInd w:val="0"/>
              <w:snapToGrid w:val="0"/>
              <w:jc w:val="left"/>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处一万元以上三万元以下罚款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421" w:type="dxa"/>
            <w:vMerge w:val="continue"/>
            <w:tcBorders>
              <w:tl2br w:val="nil"/>
              <w:tr2bl w:val="nil"/>
            </w:tcBorders>
            <w:tcMar>
              <w:top w:w="57" w:type="dxa"/>
              <w:left w:w="57" w:type="dxa"/>
              <w:bottom w:w="57" w:type="dxa"/>
              <w:right w:w="57" w:type="dxa"/>
            </w:tcMar>
            <w:vAlign w:val="center"/>
          </w:tcPr>
          <w:p>
            <w:pPr>
              <w:adjustRightInd w:val="0"/>
              <w:snapToGrid w:val="0"/>
              <w:jc w:val="left"/>
              <w:rPr>
                <w:rFonts w:ascii="仿宋_GB2312" w:hAnsi="仿宋_GB2312" w:eastAsia="仿宋_GB2312" w:cs="仿宋_GB2312"/>
                <w:color w:val="000000"/>
                <w:sz w:val="24"/>
                <w:szCs w:val="24"/>
              </w:rPr>
            </w:pPr>
          </w:p>
        </w:tc>
        <w:tc>
          <w:tcPr>
            <w:tcW w:w="1098"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3531"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730" w:type="dxa"/>
            <w:tcBorders>
              <w:tl2br w:val="nil"/>
              <w:tr2bl w:val="nil"/>
            </w:tcBorders>
            <w:tcMar>
              <w:top w:w="57" w:type="dxa"/>
              <w:left w:w="57" w:type="dxa"/>
              <w:bottom w:w="57" w:type="dxa"/>
              <w:right w:w="57" w:type="dxa"/>
            </w:tcMar>
            <w:vAlign w:val="center"/>
          </w:tcPr>
          <w:p>
            <w:pPr>
              <w:widowControl/>
              <w:adjustRightInd w:val="0"/>
              <w:snapToGrid w:val="0"/>
              <w:jc w:val="left"/>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较重</w:t>
            </w:r>
          </w:p>
        </w:tc>
        <w:tc>
          <w:tcPr>
            <w:tcW w:w="2378" w:type="dxa"/>
            <w:tcBorders>
              <w:tl2br w:val="nil"/>
              <w:tr2bl w:val="nil"/>
            </w:tcBorders>
            <w:tcMar>
              <w:top w:w="57" w:type="dxa"/>
              <w:left w:w="57" w:type="dxa"/>
              <w:bottom w:w="57" w:type="dxa"/>
              <w:right w:w="57" w:type="dxa"/>
            </w:tcMar>
            <w:vAlign w:val="center"/>
          </w:tcPr>
          <w:p>
            <w:pPr>
              <w:widowControl/>
              <w:adjustRightInd w:val="0"/>
              <w:snapToGrid w:val="0"/>
              <w:spacing w:line="272" w:lineRule="exact"/>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未配备相应的农产品质量安全管理技术人员，或者未委托具有专业技术知识的人员进行农产品质量安全指导，在责令改正期满30日后仍不改正的</w:t>
            </w:r>
          </w:p>
        </w:tc>
        <w:tc>
          <w:tcPr>
            <w:tcW w:w="2105" w:type="dxa"/>
            <w:vMerge w:val="continue"/>
            <w:tcBorders>
              <w:tl2br w:val="nil"/>
              <w:tr2bl w:val="nil"/>
            </w:tcBorders>
            <w:tcMar>
              <w:top w:w="57" w:type="dxa"/>
              <w:left w:w="57" w:type="dxa"/>
              <w:bottom w:w="57" w:type="dxa"/>
              <w:right w:w="57" w:type="dxa"/>
            </w:tcMar>
            <w:vAlign w:val="center"/>
          </w:tcPr>
          <w:p>
            <w:pPr>
              <w:adjustRightInd w:val="0"/>
              <w:snapToGrid w:val="0"/>
              <w:jc w:val="left"/>
              <w:rPr>
                <w:rFonts w:ascii="仿宋_GB2312" w:hAnsi="仿宋_GB2312" w:eastAsia="仿宋_GB2312" w:cs="仿宋_GB2312"/>
                <w:color w:val="000000"/>
                <w:sz w:val="21"/>
                <w:szCs w:val="21"/>
              </w:rPr>
            </w:pPr>
          </w:p>
        </w:tc>
        <w:tc>
          <w:tcPr>
            <w:tcW w:w="3737" w:type="dxa"/>
            <w:tcBorders>
              <w:tl2br w:val="nil"/>
              <w:tr2bl w:val="nil"/>
            </w:tcBorders>
            <w:tcMar>
              <w:top w:w="57" w:type="dxa"/>
              <w:left w:w="57" w:type="dxa"/>
              <w:bottom w:w="57" w:type="dxa"/>
              <w:right w:w="57" w:type="dxa"/>
            </w:tcMar>
            <w:vAlign w:val="center"/>
          </w:tcPr>
          <w:p>
            <w:pPr>
              <w:widowControl/>
              <w:adjustRightInd w:val="0"/>
              <w:snapToGrid w:val="0"/>
              <w:jc w:val="left"/>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处三万元以上五万元以下罚款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30" w:hRule="atLeast"/>
          <w:jc w:val="center"/>
        </w:trPr>
        <w:tc>
          <w:tcPr>
            <w:tcW w:w="421" w:type="dxa"/>
            <w:vMerge w:val="restart"/>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5</w:t>
            </w:r>
          </w:p>
        </w:tc>
        <w:tc>
          <w:tcPr>
            <w:tcW w:w="1098" w:type="dxa"/>
            <w:vMerge w:val="restart"/>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农产品生产企业、农民专业合作社、农业社会化服务组织未依照本法规定建立、保存农产品生产记录，或者伪造、变造农产品生产记录的</w:t>
            </w:r>
          </w:p>
        </w:tc>
        <w:tc>
          <w:tcPr>
            <w:tcW w:w="3531" w:type="dxa"/>
            <w:vMerge w:val="restart"/>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Style w:val="10"/>
                <w:rFonts w:hint="default" w:hAnsi="仿宋_GB2312"/>
                <w:sz w:val="21"/>
                <w:szCs w:val="21"/>
              </w:rPr>
              <w:t>《中华人民共和国农产品质量安全法》第六十九条</w:t>
            </w:r>
            <w:r>
              <w:rPr>
                <w:rStyle w:val="12"/>
                <w:rFonts w:hint="eastAsia" w:ascii="仿宋_GB2312" w:hAnsi="仿宋_GB2312" w:eastAsia="仿宋_GB2312" w:cs="仿宋_GB2312"/>
                <w:sz w:val="21"/>
                <w:szCs w:val="21"/>
              </w:rPr>
              <w:t>  </w:t>
            </w:r>
            <w:r>
              <w:rPr>
                <w:rStyle w:val="10"/>
                <w:rFonts w:hint="default" w:hAnsi="仿宋_GB2312"/>
                <w:sz w:val="21"/>
                <w:szCs w:val="21"/>
              </w:rPr>
              <w:t>农产品生产企业、农民专业合作社、农业社会化服务组织未依照本法规定建立、保存农产品生产记录，或者伪造、变造农产品生产记录的，由县级以上地方人民政府农业农村主管部门责令限期改正；逾期不改正的，处二千元以上二万元以下罚款。</w:t>
            </w:r>
          </w:p>
        </w:tc>
        <w:tc>
          <w:tcPr>
            <w:tcW w:w="730" w:type="dxa"/>
            <w:tcBorders>
              <w:tl2br w:val="nil"/>
              <w:tr2bl w:val="nil"/>
            </w:tcBorders>
            <w:tcMar>
              <w:top w:w="57" w:type="dxa"/>
              <w:left w:w="57" w:type="dxa"/>
              <w:bottom w:w="57" w:type="dxa"/>
              <w:right w:w="57" w:type="dxa"/>
            </w:tcMar>
            <w:vAlign w:val="center"/>
          </w:tcPr>
          <w:p>
            <w:pPr>
              <w:widowControl/>
              <w:adjustRightInd w:val="0"/>
              <w:snapToGrid w:val="0"/>
              <w:jc w:val="left"/>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较轻</w:t>
            </w:r>
          </w:p>
        </w:tc>
        <w:tc>
          <w:tcPr>
            <w:tcW w:w="2378"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未依照本法规定保存农产品生产记录的</w:t>
            </w:r>
          </w:p>
        </w:tc>
        <w:tc>
          <w:tcPr>
            <w:tcW w:w="2105" w:type="dxa"/>
            <w:vMerge w:val="restart"/>
            <w:tcBorders>
              <w:tl2br w:val="nil"/>
              <w:tr2bl w:val="nil"/>
            </w:tcBorders>
            <w:tcMar>
              <w:top w:w="57" w:type="dxa"/>
              <w:left w:w="57" w:type="dxa"/>
              <w:bottom w:w="57" w:type="dxa"/>
              <w:right w:w="57" w:type="dxa"/>
            </w:tcMar>
            <w:vAlign w:val="center"/>
          </w:tcPr>
          <w:p>
            <w:pPr>
              <w:widowControl/>
              <w:adjustRightInd w:val="0"/>
              <w:snapToGrid w:val="0"/>
              <w:jc w:val="left"/>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责令限期改正，逾期不改正的</w:t>
            </w:r>
          </w:p>
        </w:tc>
        <w:tc>
          <w:tcPr>
            <w:tcW w:w="3737" w:type="dxa"/>
            <w:tcBorders>
              <w:tl2br w:val="nil"/>
              <w:tr2bl w:val="nil"/>
            </w:tcBorders>
            <w:tcMar>
              <w:top w:w="57" w:type="dxa"/>
              <w:left w:w="57" w:type="dxa"/>
              <w:bottom w:w="57" w:type="dxa"/>
              <w:right w:w="57" w:type="dxa"/>
            </w:tcMar>
            <w:vAlign w:val="center"/>
          </w:tcPr>
          <w:p>
            <w:pPr>
              <w:widowControl/>
              <w:adjustRightInd w:val="0"/>
              <w:snapToGrid w:val="0"/>
              <w:jc w:val="left"/>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处二千元以上五千元以下罚款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65" w:hRule="atLeast"/>
          <w:jc w:val="center"/>
        </w:trPr>
        <w:tc>
          <w:tcPr>
            <w:tcW w:w="421" w:type="dxa"/>
            <w:vMerge w:val="continue"/>
            <w:tcBorders>
              <w:tl2br w:val="nil"/>
              <w:tr2bl w:val="nil"/>
            </w:tcBorders>
            <w:tcMar>
              <w:top w:w="57" w:type="dxa"/>
              <w:left w:w="57" w:type="dxa"/>
              <w:bottom w:w="57" w:type="dxa"/>
              <w:right w:w="57" w:type="dxa"/>
            </w:tcMar>
            <w:vAlign w:val="center"/>
          </w:tcPr>
          <w:p>
            <w:pPr>
              <w:adjustRightInd w:val="0"/>
              <w:snapToGrid w:val="0"/>
              <w:jc w:val="left"/>
              <w:rPr>
                <w:rFonts w:ascii="仿宋_GB2312" w:hAnsi="仿宋_GB2312" w:eastAsia="仿宋_GB2312" w:cs="仿宋_GB2312"/>
                <w:color w:val="000000"/>
                <w:sz w:val="24"/>
                <w:szCs w:val="24"/>
              </w:rPr>
            </w:pPr>
          </w:p>
        </w:tc>
        <w:tc>
          <w:tcPr>
            <w:tcW w:w="1098"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3531"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730" w:type="dxa"/>
            <w:tcBorders>
              <w:tl2br w:val="nil"/>
              <w:tr2bl w:val="nil"/>
            </w:tcBorders>
            <w:tcMar>
              <w:top w:w="57" w:type="dxa"/>
              <w:left w:w="57" w:type="dxa"/>
              <w:bottom w:w="57" w:type="dxa"/>
              <w:right w:w="57" w:type="dxa"/>
            </w:tcMar>
            <w:vAlign w:val="center"/>
          </w:tcPr>
          <w:p>
            <w:pPr>
              <w:widowControl/>
              <w:adjustRightInd w:val="0"/>
              <w:snapToGrid w:val="0"/>
              <w:jc w:val="left"/>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一般</w:t>
            </w:r>
          </w:p>
        </w:tc>
        <w:tc>
          <w:tcPr>
            <w:tcW w:w="2378"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未依照本法规定建立农产品生产记录的，</w:t>
            </w:r>
          </w:p>
        </w:tc>
        <w:tc>
          <w:tcPr>
            <w:tcW w:w="2105" w:type="dxa"/>
            <w:vMerge w:val="continue"/>
            <w:tcBorders>
              <w:tl2br w:val="nil"/>
              <w:tr2bl w:val="nil"/>
            </w:tcBorders>
            <w:tcMar>
              <w:top w:w="57" w:type="dxa"/>
              <w:left w:w="57" w:type="dxa"/>
              <w:bottom w:w="57" w:type="dxa"/>
              <w:right w:w="57" w:type="dxa"/>
            </w:tcMar>
            <w:vAlign w:val="center"/>
          </w:tcPr>
          <w:p>
            <w:pPr>
              <w:adjustRightInd w:val="0"/>
              <w:snapToGrid w:val="0"/>
              <w:jc w:val="left"/>
              <w:rPr>
                <w:rFonts w:ascii="仿宋_GB2312" w:hAnsi="仿宋_GB2312" w:eastAsia="仿宋_GB2312" w:cs="仿宋_GB2312"/>
                <w:color w:val="000000"/>
                <w:sz w:val="21"/>
                <w:szCs w:val="21"/>
              </w:rPr>
            </w:pPr>
          </w:p>
        </w:tc>
        <w:tc>
          <w:tcPr>
            <w:tcW w:w="3737" w:type="dxa"/>
            <w:tcBorders>
              <w:tl2br w:val="nil"/>
              <w:tr2bl w:val="nil"/>
            </w:tcBorders>
            <w:tcMar>
              <w:top w:w="57" w:type="dxa"/>
              <w:left w:w="57" w:type="dxa"/>
              <w:bottom w:w="57" w:type="dxa"/>
              <w:right w:w="57" w:type="dxa"/>
            </w:tcMar>
            <w:vAlign w:val="center"/>
          </w:tcPr>
          <w:p>
            <w:pPr>
              <w:widowControl/>
              <w:adjustRightInd w:val="0"/>
              <w:snapToGrid w:val="0"/>
              <w:jc w:val="left"/>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处五千元以上一万元以下罚款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6" w:hRule="atLeast"/>
          <w:jc w:val="center"/>
        </w:trPr>
        <w:tc>
          <w:tcPr>
            <w:tcW w:w="421" w:type="dxa"/>
            <w:vMerge w:val="continue"/>
            <w:tcBorders>
              <w:tl2br w:val="nil"/>
              <w:tr2bl w:val="nil"/>
            </w:tcBorders>
            <w:tcMar>
              <w:top w:w="57" w:type="dxa"/>
              <w:left w:w="57" w:type="dxa"/>
              <w:bottom w:w="57" w:type="dxa"/>
              <w:right w:w="57" w:type="dxa"/>
            </w:tcMar>
            <w:vAlign w:val="center"/>
          </w:tcPr>
          <w:p>
            <w:pPr>
              <w:adjustRightInd w:val="0"/>
              <w:snapToGrid w:val="0"/>
              <w:jc w:val="left"/>
              <w:rPr>
                <w:rFonts w:ascii="仿宋_GB2312" w:hAnsi="仿宋_GB2312" w:eastAsia="仿宋_GB2312" w:cs="仿宋_GB2312"/>
                <w:color w:val="000000"/>
                <w:sz w:val="24"/>
                <w:szCs w:val="24"/>
              </w:rPr>
            </w:pPr>
          </w:p>
        </w:tc>
        <w:tc>
          <w:tcPr>
            <w:tcW w:w="1098"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3531"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730" w:type="dxa"/>
            <w:tcBorders>
              <w:tl2br w:val="nil"/>
              <w:tr2bl w:val="nil"/>
            </w:tcBorders>
            <w:tcMar>
              <w:top w:w="57" w:type="dxa"/>
              <w:left w:w="57" w:type="dxa"/>
              <w:bottom w:w="57" w:type="dxa"/>
              <w:right w:w="57" w:type="dxa"/>
            </w:tcMar>
            <w:vAlign w:val="center"/>
          </w:tcPr>
          <w:p>
            <w:pPr>
              <w:widowControl/>
              <w:adjustRightInd w:val="0"/>
              <w:snapToGrid w:val="0"/>
              <w:jc w:val="left"/>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较重</w:t>
            </w:r>
          </w:p>
        </w:tc>
        <w:tc>
          <w:tcPr>
            <w:tcW w:w="2378"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伪造、变造农产品生产记录的</w:t>
            </w:r>
          </w:p>
        </w:tc>
        <w:tc>
          <w:tcPr>
            <w:tcW w:w="2105" w:type="dxa"/>
            <w:vMerge w:val="continue"/>
            <w:tcBorders>
              <w:tl2br w:val="nil"/>
              <w:tr2bl w:val="nil"/>
            </w:tcBorders>
            <w:tcMar>
              <w:top w:w="57" w:type="dxa"/>
              <w:left w:w="57" w:type="dxa"/>
              <w:bottom w:w="57" w:type="dxa"/>
              <w:right w:w="57" w:type="dxa"/>
            </w:tcMar>
            <w:vAlign w:val="center"/>
          </w:tcPr>
          <w:p>
            <w:pPr>
              <w:adjustRightInd w:val="0"/>
              <w:snapToGrid w:val="0"/>
              <w:jc w:val="left"/>
              <w:rPr>
                <w:rFonts w:ascii="仿宋_GB2312" w:hAnsi="仿宋_GB2312" w:eastAsia="仿宋_GB2312" w:cs="仿宋_GB2312"/>
                <w:color w:val="000000"/>
                <w:sz w:val="21"/>
                <w:szCs w:val="21"/>
              </w:rPr>
            </w:pPr>
          </w:p>
        </w:tc>
        <w:tc>
          <w:tcPr>
            <w:tcW w:w="3737" w:type="dxa"/>
            <w:tcBorders>
              <w:tl2br w:val="nil"/>
              <w:tr2bl w:val="nil"/>
            </w:tcBorders>
            <w:tcMar>
              <w:top w:w="57" w:type="dxa"/>
              <w:left w:w="57" w:type="dxa"/>
              <w:bottom w:w="57" w:type="dxa"/>
              <w:right w:w="57" w:type="dxa"/>
            </w:tcMar>
            <w:vAlign w:val="center"/>
          </w:tcPr>
          <w:p>
            <w:pPr>
              <w:widowControl/>
              <w:adjustRightInd w:val="0"/>
              <w:snapToGrid w:val="0"/>
              <w:jc w:val="left"/>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处一万元以上二万元以下罚款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82" w:hRule="atLeast"/>
          <w:jc w:val="center"/>
        </w:trPr>
        <w:tc>
          <w:tcPr>
            <w:tcW w:w="421" w:type="dxa"/>
            <w:vMerge w:val="restart"/>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6</w:t>
            </w:r>
          </w:p>
        </w:tc>
        <w:tc>
          <w:tcPr>
            <w:tcW w:w="1098" w:type="dxa"/>
            <w:vMerge w:val="restart"/>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农产品生产经营者在农产品生产经营过程中使用国家禁止使用的农业投入品或者其他有毒有害物质的</w:t>
            </w:r>
          </w:p>
        </w:tc>
        <w:tc>
          <w:tcPr>
            <w:tcW w:w="3531" w:type="dxa"/>
            <w:vMerge w:val="restart"/>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Style w:val="10"/>
                <w:rFonts w:hint="default" w:hAnsi="仿宋_GB2312"/>
                <w:sz w:val="21"/>
                <w:szCs w:val="21"/>
              </w:rPr>
              <w:t>《中华人民共和国农产品质量安全法》第七十条</w:t>
            </w:r>
            <w:r>
              <w:rPr>
                <w:rStyle w:val="12"/>
                <w:rFonts w:hint="eastAsia" w:ascii="仿宋_GB2312" w:hAnsi="仿宋_GB2312" w:eastAsia="仿宋_GB2312" w:cs="仿宋_GB2312"/>
                <w:sz w:val="21"/>
                <w:szCs w:val="21"/>
              </w:rPr>
              <w:t>  </w:t>
            </w:r>
            <w:r>
              <w:rPr>
                <w:rStyle w:val="10"/>
                <w:rFonts w:hint="default" w:hAnsi="仿宋_GB2312"/>
                <w:sz w:val="21"/>
                <w:szCs w:val="21"/>
              </w:rPr>
              <w:t>第一款 违反本法规定，农产品生产经营者有下列行为之一，尚不构成犯罪的，由县级以上地方人民政府农业农村主管部门责令停止生产经营、追回已经销售的农产品，对违法生产经营的农产品进行无害化处理或者予以监督销毁，没收违法所得，并可以没收用于违法生产经营的工具、设备、原料等物品；违法生产经营的农产品货值金额不足一万元的，并处十万元以上十五万元以下罚款，货值金额一万元以上的，并处货值金额十五倍以上三十倍以下罚款；对农户，并处一千元以上一万元以下罚款；情节严重的，有许可证的吊销许可证，并可以由公安机关对其直接负责的主管人员和其他直接责任人员处五日以上十五日以下拘留：</w:t>
            </w:r>
            <w:r>
              <w:rPr>
                <w:rStyle w:val="10"/>
                <w:rFonts w:hint="default" w:hAnsi="仿宋_GB2312"/>
                <w:sz w:val="21"/>
                <w:szCs w:val="21"/>
              </w:rPr>
              <w:br w:type="textWrapping"/>
            </w:r>
            <w:r>
              <w:rPr>
                <w:rStyle w:val="10"/>
                <w:rFonts w:hint="default" w:hAnsi="仿宋_GB2312"/>
                <w:sz w:val="21"/>
                <w:szCs w:val="21"/>
              </w:rPr>
              <w:t xml:space="preserve">（一）在农产品生产经营过程中使用国家禁止使用的农业投入品或者其他有毒有害物质； </w:t>
            </w:r>
          </w:p>
        </w:tc>
        <w:tc>
          <w:tcPr>
            <w:tcW w:w="730" w:type="dxa"/>
            <w:tcBorders>
              <w:tl2br w:val="nil"/>
              <w:tr2bl w:val="nil"/>
            </w:tcBorders>
            <w:tcMar>
              <w:top w:w="57" w:type="dxa"/>
              <w:left w:w="57" w:type="dxa"/>
              <w:bottom w:w="57" w:type="dxa"/>
              <w:right w:w="57" w:type="dxa"/>
            </w:tcMar>
            <w:vAlign w:val="center"/>
          </w:tcPr>
          <w:p>
            <w:pPr>
              <w:widowControl/>
              <w:adjustRightInd w:val="0"/>
              <w:snapToGrid w:val="0"/>
              <w:jc w:val="left"/>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较轻</w:t>
            </w:r>
          </w:p>
        </w:tc>
        <w:tc>
          <w:tcPr>
            <w:tcW w:w="2378"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农产品生产经营者主动终止违法行为，且涉案产品未销售的</w:t>
            </w:r>
          </w:p>
        </w:tc>
        <w:tc>
          <w:tcPr>
            <w:tcW w:w="2105" w:type="dxa"/>
            <w:vMerge w:val="restart"/>
            <w:tcBorders>
              <w:tl2br w:val="nil"/>
              <w:tr2bl w:val="nil"/>
            </w:tcBorders>
            <w:tcMar>
              <w:top w:w="57" w:type="dxa"/>
              <w:left w:w="57" w:type="dxa"/>
              <w:bottom w:w="57" w:type="dxa"/>
              <w:right w:w="57" w:type="dxa"/>
            </w:tcMar>
            <w:vAlign w:val="center"/>
          </w:tcPr>
          <w:p>
            <w:pPr>
              <w:widowControl/>
              <w:adjustRightInd w:val="0"/>
              <w:snapToGrid w:val="0"/>
              <w:jc w:val="left"/>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尚不构成犯罪的，责令停止生产经营、追回已经销售的农产品，对违法生产经营的农产品进行无害化处理或者予以监督销毁，没收违法所得，并可以没收用于违法生产经营的工具、设备、原料等物品。情节严重的，有许可证的吊销许可证</w:t>
            </w:r>
          </w:p>
        </w:tc>
        <w:tc>
          <w:tcPr>
            <w:tcW w:w="3737" w:type="dxa"/>
            <w:tcBorders>
              <w:tl2br w:val="nil"/>
              <w:tr2bl w:val="nil"/>
            </w:tcBorders>
            <w:tcMar>
              <w:top w:w="57" w:type="dxa"/>
              <w:left w:w="57" w:type="dxa"/>
              <w:bottom w:w="57" w:type="dxa"/>
              <w:right w:w="57" w:type="dxa"/>
            </w:tcMar>
            <w:vAlign w:val="center"/>
          </w:tcPr>
          <w:p>
            <w:pPr>
              <w:widowControl/>
              <w:adjustRightInd w:val="0"/>
              <w:snapToGrid w:val="0"/>
              <w:jc w:val="left"/>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货值金额不足一万元的，并处十万元以上十二万元以下罚款，货值金额一万元以上的，并处十五倍以上二十倍以下罚款；对农户，并处一千元以上四千元以下罚款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99" w:hRule="atLeast"/>
          <w:jc w:val="center"/>
        </w:trPr>
        <w:tc>
          <w:tcPr>
            <w:tcW w:w="421" w:type="dxa"/>
            <w:vMerge w:val="continue"/>
            <w:tcBorders>
              <w:tl2br w:val="nil"/>
              <w:tr2bl w:val="nil"/>
            </w:tcBorders>
            <w:tcMar>
              <w:top w:w="57" w:type="dxa"/>
              <w:left w:w="57" w:type="dxa"/>
              <w:bottom w:w="57" w:type="dxa"/>
              <w:right w:w="57" w:type="dxa"/>
            </w:tcMar>
            <w:vAlign w:val="center"/>
          </w:tcPr>
          <w:p>
            <w:pPr>
              <w:adjustRightInd w:val="0"/>
              <w:snapToGrid w:val="0"/>
              <w:jc w:val="left"/>
              <w:rPr>
                <w:rFonts w:ascii="仿宋_GB2312" w:hAnsi="仿宋_GB2312" w:eastAsia="仿宋_GB2312" w:cs="仿宋_GB2312"/>
                <w:color w:val="000000"/>
                <w:sz w:val="24"/>
                <w:szCs w:val="24"/>
              </w:rPr>
            </w:pPr>
          </w:p>
        </w:tc>
        <w:tc>
          <w:tcPr>
            <w:tcW w:w="1098"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3531"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730" w:type="dxa"/>
            <w:tcBorders>
              <w:tl2br w:val="nil"/>
              <w:tr2bl w:val="nil"/>
            </w:tcBorders>
            <w:tcMar>
              <w:top w:w="57" w:type="dxa"/>
              <w:left w:w="57" w:type="dxa"/>
              <w:bottom w:w="57" w:type="dxa"/>
              <w:right w:w="57" w:type="dxa"/>
            </w:tcMar>
            <w:vAlign w:val="center"/>
          </w:tcPr>
          <w:p>
            <w:pPr>
              <w:widowControl/>
              <w:adjustRightInd w:val="0"/>
              <w:snapToGrid w:val="0"/>
              <w:jc w:val="left"/>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一般</w:t>
            </w:r>
          </w:p>
        </w:tc>
        <w:tc>
          <w:tcPr>
            <w:tcW w:w="2378"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不具有不予处罚、减轻、从轻、从重等情节的，或者具有多个裁量因素时结合案情综合裁量，可以适用一般情形的</w:t>
            </w:r>
          </w:p>
        </w:tc>
        <w:tc>
          <w:tcPr>
            <w:tcW w:w="2105" w:type="dxa"/>
            <w:vMerge w:val="continue"/>
            <w:tcBorders>
              <w:tl2br w:val="nil"/>
              <w:tr2bl w:val="nil"/>
            </w:tcBorders>
            <w:tcMar>
              <w:top w:w="57" w:type="dxa"/>
              <w:left w:w="57" w:type="dxa"/>
              <w:bottom w:w="57" w:type="dxa"/>
              <w:right w:w="57" w:type="dxa"/>
            </w:tcMar>
            <w:vAlign w:val="center"/>
          </w:tcPr>
          <w:p>
            <w:pPr>
              <w:adjustRightInd w:val="0"/>
              <w:snapToGrid w:val="0"/>
              <w:jc w:val="left"/>
              <w:rPr>
                <w:rFonts w:ascii="仿宋_GB2312" w:hAnsi="仿宋_GB2312" w:eastAsia="仿宋_GB2312" w:cs="仿宋_GB2312"/>
                <w:color w:val="000000"/>
                <w:sz w:val="21"/>
                <w:szCs w:val="21"/>
              </w:rPr>
            </w:pPr>
          </w:p>
        </w:tc>
        <w:tc>
          <w:tcPr>
            <w:tcW w:w="3737" w:type="dxa"/>
            <w:tcBorders>
              <w:tl2br w:val="nil"/>
              <w:tr2bl w:val="nil"/>
            </w:tcBorders>
            <w:tcMar>
              <w:top w:w="57" w:type="dxa"/>
              <w:left w:w="57" w:type="dxa"/>
              <w:bottom w:w="57" w:type="dxa"/>
              <w:right w:w="57" w:type="dxa"/>
            </w:tcMar>
            <w:vAlign w:val="center"/>
          </w:tcPr>
          <w:p>
            <w:pPr>
              <w:widowControl/>
              <w:adjustRightInd w:val="0"/>
              <w:snapToGrid w:val="0"/>
              <w:jc w:val="left"/>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货值金额不足一万元的，并处十二万元以上十四万元以下罚款，货值金额一万元以上的，并处二十倍以上二十五倍以下罚款；对农户，并处四千元以上七千元以下罚款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9" w:hRule="atLeast"/>
          <w:jc w:val="center"/>
        </w:trPr>
        <w:tc>
          <w:tcPr>
            <w:tcW w:w="421" w:type="dxa"/>
            <w:vMerge w:val="continue"/>
            <w:tcBorders>
              <w:tl2br w:val="nil"/>
              <w:tr2bl w:val="nil"/>
            </w:tcBorders>
            <w:tcMar>
              <w:top w:w="57" w:type="dxa"/>
              <w:left w:w="57" w:type="dxa"/>
              <w:bottom w:w="57" w:type="dxa"/>
              <w:right w:w="57" w:type="dxa"/>
            </w:tcMar>
            <w:vAlign w:val="center"/>
          </w:tcPr>
          <w:p>
            <w:pPr>
              <w:adjustRightInd w:val="0"/>
              <w:snapToGrid w:val="0"/>
              <w:jc w:val="left"/>
              <w:rPr>
                <w:rFonts w:ascii="仿宋_GB2312" w:hAnsi="仿宋_GB2312" w:eastAsia="仿宋_GB2312" w:cs="仿宋_GB2312"/>
                <w:color w:val="000000"/>
                <w:sz w:val="24"/>
                <w:szCs w:val="24"/>
              </w:rPr>
            </w:pPr>
          </w:p>
        </w:tc>
        <w:tc>
          <w:tcPr>
            <w:tcW w:w="1098"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3531"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730" w:type="dxa"/>
            <w:tcBorders>
              <w:tl2br w:val="nil"/>
              <w:tr2bl w:val="nil"/>
            </w:tcBorders>
            <w:tcMar>
              <w:top w:w="57" w:type="dxa"/>
              <w:left w:w="57" w:type="dxa"/>
              <w:bottom w:w="57" w:type="dxa"/>
              <w:right w:w="57" w:type="dxa"/>
            </w:tcMar>
            <w:vAlign w:val="center"/>
          </w:tcPr>
          <w:p>
            <w:pPr>
              <w:widowControl/>
              <w:adjustRightInd w:val="0"/>
              <w:snapToGrid w:val="0"/>
              <w:jc w:val="left"/>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较重</w:t>
            </w:r>
          </w:p>
        </w:tc>
        <w:tc>
          <w:tcPr>
            <w:tcW w:w="2378"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具有从重情节的，或者导致食品安全事故的</w:t>
            </w:r>
          </w:p>
        </w:tc>
        <w:tc>
          <w:tcPr>
            <w:tcW w:w="2105" w:type="dxa"/>
            <w:vMerge w:val="continue"/>
            <w:tcBorders>
              <w:tl2br w:val="nil"/>
              <w:tr2bl w:val="nil"/>
            </w:tcBorders>
            <w:tcMar>
              <w:top w:w="57" w:type="dxa"/>
              <w:left w:w="57" w:type="dxa"/>
              <w:bottom w:w="57" w:type="dxa"/>
              <w:right w:w="57" w:type="dxa"/>
            </w:tcMar>
            <w:vAlign w:val="center"/>
          </w:tcPr>
          <w:p>
            <w:pPr>
              <w:adjustRightInd w:val="0"/>
              <w:snapToGrid w:val="0"/>
              <w:jc w:val="left"/>
              <w:rPr>
                <w:rFonts w:ascii="仿宋_GB2312" w:hAnsi="仿宋_GB2312" w:eastAsia="仿宋_GB2312" w:cs="仿宋_GB2312"/>
                <w:color w:val="000000"/>
                <w:sz w:val="21"/>
                <w:szCs w:val="21"/>
              </w:rPr>
            </w:pPr>
          </w:p>
        </w:tc>
        <w:tc>
          <w:tcPr>
            <w:tcW w:w="3737" w:type="dxa"/>
            <w:tcBorders>
              <w:tl2br w:val="nil"/>
              <w:tr2bl w:val="nil"/>
            </w:tcBorders>
            <w:tcMar>
              <w:top w:w="57" w:type="dxa"/>
              <w:left w:w="57" w:type="dxa"/>
              <w:bottom w:w="57" w:type="dxa"/>
              <w:right w:w="57" w:type="dxa"/>
            </w:tcMar>
            <w:vAlign w:val="center"/>
          </w:tcPr>
          <w:p>
            <w:pPr>
              <w:widowControl/>
              <w:adjustRightInd w:val="0"/>
              <w:snapToGrid w:val="0"/>
              <w:jc w:val="left"/>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货值金额不足一万元的，并处十四万元以上十五万元以下罚款，货值金额一万元以上的，并处二十五倍以上三十倍以下罚款；对农户，并处七千元以上一万元以下罚款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88" w:hRule="atLeast"/>
          <w:jc w:val="center"/>
        </w:trPr>
        <w:tc>
          <w:tcPr>
            <w:tcW w:w="421" w:type="dxa"/>
            <w:vMerge w:val="restart"/>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7</w:t>
            </w:r>
          </w:p>
        </w:tc>
        <w:tc>
          <w:tcPr>
            <w:tcW w:w="1098" w:type="dxa"/>
            <w:vMerge w:val="restart"/>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农产品生产经营者销售含有国家禁止使用的农药、兽药或者其他化合物的农产品的</w:t>
            </w:r>
          </w:p>
        </w:tc>
        <w:tc>
          <w:tcPr>
            <w:tcW w:w="3531" w:type="dxa"/>
            <w:vMerge w:val="restart"/>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Style w:val="13"/>
                <w:rFonts w:hint="default" w:hAnsi="仿宋_GB2312"/>
                <w:sz w:val="21"/>
                <w:szCs w:val="21"/>
              </w:rPr>
              <w:t>《中华人民共和国农产品质量安全法》第七十条</w:t>
            </w:r>
            <w:r>
              <w:rPr>
                <w:rStyle w:val="14"/>
                <w:rFonts w:hint="eastAsia" w:ascii="仿宋_GB2312" w:hAnsi="仿宋_GB2312" w:eastAsia="仿宋_GB2312" w:cs="仿宋_GB2312"/>
                <w:sz w:val="21"/>
                <w:szCs w:val="21"/>
              </w:rPr>
              <w:t> </w:t>
            </w:r>
            <w:r>
              <w:rPr>
                <w:rStyle w:val="13"/>
                <w:rFonts w:hint="default" w:hAnsi="仿宋_GB2312"/>
                <w:sz w:val="21"/>
                <w:szCs w:val="21"/>
              </w:rPr>
              <w:t>第一款</w:t>
            </w:r>
            <w:r>
              <w:rPr>
                <w:rStyle w:val="14"/>
                <w:rFonts w:hint="eastAsia" w:ascii="仿宋_GB2312" w:hAnsi="仿宋_GB2312" w:eastAsia="仿宋_GB2312" w:cs="仿宋_GB2312"/>
                <w:sz w:val="21"/>
                <w:szCs w:val="21"/>
              </w:rPr>
              <w:t> </w:t>
            </w:r>
            <w:r>
              <w:rPr>
                <w:rStyle w:val="13"/>
                <w:rFonts w:hint="default" w:hAnsi="仿宋_GB2312"/>
                <w:sz w:val="21"/>
                <w:szCs w:val="21"/>
              </w:rPr>
              <w:t>违反本法规定，农产品生产经营者有下列行为之一，尚不构成犯罪的，由县级以上地方人民政府农业农村主管部门责令停止生产经营、追回已经销售的农产品，对违法生产经营的农产品进行无害化处理或者予以监督销毁，没收违法所得，并可以没收用于违法生产经营的工具、设备、原料等物品；违法生产经营的农产品货值金额不足一万元的，并处十万元以上十五万元以下罚款，货值金额一万元以上的，并处货值金额十五倍以上三十倍以下罚款；对农户，并处一千元以上一万元以下罚款；情节严重的，有许可证的吊销许可证，并可以由公安机关对其直接负责的主管人员和其他直接责任人员处五日以上十五日以下拘留：</w:t>
            </w:r>
            <w:r>
              <w:rPr>
                <w:rStyle w:val="13"/>
                <w:rFonts w:hint="default" w:hAnsi="仿宋_GB2312"/>
                <w:sz w:val="21"/>
                <w:szCs w:val="21"/>
              </w:rPr>
              <w:br w:type="textWrapping"/>
            </w:r>
            <w:r>
              <w:rPr>
                <w:rStyle w:val="13"/>
                <w:rFonts w:hint="default" w:hAnsi="仿宋_GB2312"/>
                <w:sz w:val="21"/>
                <w:szCs w:val="21"/>
              </w:rPr>
              <w:t>（二）销售含有国家禁止使用的农药、兽药或者其他化合物的农产品；</w:t>
            </w:r>
          </w:p>
        </w:tc>
        <w:tc>
          <w:tcPr>
            <w:tcW w:w="730" w:type="dxa"/>
            <w:tcBorders>
              <w:tl2br w:val="nil"/>
              <w:tr2bl w:val="nil"/>
            </w:tcBorders>
            <w:tcMar>
              <w:top w:w="57" w:type="dxa"/>
              <w:left w:w="57" w:type="dxa"/>
              <w:bottom w:w="57" w:type="dxa"/>
              <w:right w:w="57" w:type="dxa"/>
            </w:tcMar>
            <w:vAlign w:val="center"/>
          </w:tcPr>
          <w:p>
            <w:pPr>
              <w:widowControl/>
              <w:adjustRightInd w:val="0"/>
              <w:snapToGrid w:val="0"/>
              <w:jc w:val="left"/>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较轻</w:t>
            </w:r>
          </w:p>
        </w:tc>
        <w:tc>
          <w:tcPr>
            <w:tcW w:w="2378"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农产品生产经营者主动终止违法行为，且涉案产品未销售的</w:t>
            </w:r>
          </w:p>
        </w:tc>
        <w:tc>
          <w:tcPr>
            <w:tcW w:w="2105" w:type="dxa"/>
            <w:vMerge w:val="restart"/>
            <w:tcBorders>
              <w:tl2br w:val="nil"/>
              <w:tr2bl w:val="nil"/>
            </w:tcBorders>
            <w:tcMar>
              <w:top w:w="57" w:type="dxa"/>
              <w:left w:w="57" w:type="dxa"/>
              <w:bottom w:w="57" w:type="dxa"/>
              <w:right w:w="57" w:type="dxa"/>
            </w:tcMar>
            <w:vAlign w:val="center"/>
          </w:tcPr>
          <w:p>
            <w:pPr>
              <w:widowControl/>
              <w:adjustRightInd w:val="0"/>
              <w:snapToGrid w:val="0"/>
              <w:jc w:val="left"/>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尚不构成犯罪的，责令停止生产经营、追回已经销售的农产品，对违法生产经营的农产品进行无害化处理或者予以监督销毁，没收违法所得，并可以没收用于违法生产经营的工具、设备、原料等物品。情节严重的，有许可证的吊销许可证</w:t>
            </w:r>
          </w:p>
        </w:tc>
        <w:tc>
          <w:tcPr>
            <w:tcW w:w="3737" w:type="dxa"/>
            <w:tcBorders>
              <w:tl2br w:val="nil"/>
              <w:tr2bl w:val="nil"/>
            </w:tcBorders>
            <w:tcMar>
              <w:top w:w="57" w:type="dxa"/>
              <w:left w:w="57" w:type="dxa"/>
              <w:bottom w:w="57" w:type="dxa"/>
              <w:right w:w="57" w:type="dxa"/>
            </w:tcMar>
            <w:vAlign w:val="center"/>
          </w:tcPr>
          <w:p>
            <w:pPr>
              <w:widowControl/>
              <w:adjustRightInd w:val="0"/>
              <w:snapToGrid w:val="0"/>
              <w:jc w:val="left"/>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货值金额不足一万元的，并处十万元以上十二万元以下罚款，货值金额一万元以上的，并处十五倍以上二十倍以下罚款；对农户，并处一千元以上四千元以下罚款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40" w:hRule="atLeast"/>
          <w:jc w:val="center"/>
        </w:trPr>
        <w:tc>
          <w:tcPr>
            <w:tcW w:w="421" w:type="dxa"/>
            <w:vMerge w:val="continue"/>
            <w:tcBorders>
              <w:tl2br w:val="nil"/>
              <w:tr2bl w:val="nil"/>
            </w:tcBorders>
            <w:tcMar>
              <w:top w:w="57" w:type="dxa"/>
              <w:left w:w="57" w:type="dxa"/>
              <w:bottom w:w="57" w:type="dxa"/>
              <w:right w:w="57" w:type="dxa"/>
            </w:tcMar>
            <w:vAlign w:val="center"/>
          </w:tcPr>
          <w:p>
            <w:pPr>
              <w:adjustRightInd w:val="0"/>
              <w:snapToGrid w:val="0"/>
              <w:jc w:val="left"/>
              <w:rPr>
                <w:rFonts w:ascii="仿宋_GB2312" w:hAnsi="仿宋_GB2312" w:eastAsia="仿宋_GB2312" w:cs="仿宋_GB2312"/>
                <w:color w:val="000000"/>
                <w:sz w:val="24"/>
                <w:szCs w:val="24"/>
              </w:rPr>
            </w:pPr>
          </w:p>
        </w:tc>
        <w:tc>
          <w:tcPr>
            <w:tcW w:w="1098"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3531"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730" w:type="dxa"/>
            <w:tcBorders>
              <w:tl2br w:val="nil"/>
              <w:tr2bl w:val="nil"/>
            </w:tcBorders>
            <w:tcMar>
              <w:top w:w="57" w:type="dxa"/>
              <w:left w:w="57" w:type="dxa"/>
              <w:bottom w:w="57" w:type="dxa"/>
              <w:right w:w="57" w:type="dxa"/>
            </w:tcMar>
            <w:vAlign w:val="center"/>
          </w:tcPr>
          <w:p>
            <w:pPr>
              <w:widowControl/>
              <w:adjustRightInd w:val="0"/>
              <w:snapToGrid w:val="0"/>
              <w:jc w:val="left"/>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一般</w:t>
            </w:r>
          </w:p>
        </w:tc>
        <w:tc>
          <w:tcPr>
            <w:tcW w:w="2378"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不具有不予处罚、减轻、从轻、从重等情节的，或者具有多个裁量因素时结合案情综合裁量，可以适用一般情形的</w:t>
            </w:r>
          </w:p>
        </w:tc>
        <w:tc>
          <w:tcPr>
            <w:tcW w:w="2105" w:type="dxa"/>
            <w:vMerge w:val="continue"/>
            <w:tcBorders>
              <w:tl2br w:val="nil"/>
              <w:tr2bl w:val="nil"/>
            </w:tcBorders>
            <w:tcMar>
              <w:top w:w="57" w:type="dxa"/>
              <w:left w:w="57" w:type="dxa"/>
              <w:bottom w:w="57" w:type="dxa"/>
              <w:right w:w="57" w:type="dxa"/>
            </w:tcMar>
            <w:vAlign w:val="center"/>
          </w:tcPr>
          <w:p>
            <w:pPr>
              <w:adjustRightInd w:val="0"/>
              <w:snapToGrid w:val="0"/>
              <w:jc w:val="left"/>
              <w:rPr>
                <w:rFonts w:ascii="仿宋_GB2312" w:hAnsi="仿宋_GB2312" w:eastAsia="仿宋_GB2312" w:cs="仿宋_GB2312"/>
                <w:color w:val="000000"/>
                <w:sz w:val="21"/>
                <w:szCs w:val="21"/>
              </w:rPr>
            </w:pPr>
          </w:p>
        </w:tc>
        <w:tc>
          <w:tcPr>
            <w:tcW w:w="3737" w:type="dxa"/>
            <w:tcBorders>
              <w:tl2br w:val="nil"/>
              <w:tr2bl w:val="nil"/>
            </w:tcBorders>
            <w:tcMar>
              <w:top w:w="57" w:type="dxa"/>
              <w:left w:w="57" w:type="dxa"/>
              <w:bottom w:w="57" w:type="dxa"/>
              <w:right w:w="57" w:type="dxa"/>
            </w:tcMar>
            <w:vAlign w:val="center"/>
          </w:tcPr>
          <w:p>
            <w:pPr>
              <w:widowControl/>
              <w:adjustRightInd w:val="0"/>
              <w:snapToGrid w:val="0"/>
              <w:jc w:val="left"/>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货值金额不足一万元的，并处十二万元以上十四万元以下罚款，货值金额一万元以上的，并处二十倍以上二十五倍以下罚款；对农户，并处四千元以上七千元以下罚款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0" w:hRule="atLeast"/>
          <w:jc w:val="center"/>
        </w:trPr>
        <w:tc>
          <w:tcPr>
            <w:tcW w:w="421" w:type="dxa"/>
            <w:vMerge w:val="continue"/>
            <w:tcBorders>
              <w:tl2br w:val="nil"/>
              <w:tr2bl w:val="nil"/>
            </w:tcBorders>
            <w:tcMar>
              <w:top w:w="57" w:type="dxa"/>
              <w:left w:w="57" w:type="dxa"/>
              <w:bottom w:w="57" w:type="dxa"/>
              <w:right w:w="57" w:type="dxa"/>
            </w:tcMar>
            <w:vAlign w:val="center"/>
          </w:tcPr>
          <w:p>
            <w:pPr>
              <w:adjustRightInd w:val="0"/>
              <w:snapToGrid w:val="0"/>
              <w:jc w:val="left"/>
              <w:rPr>
                <w:rFonts w:ascii="仿宋_GB2312" w:hAnsi="仿宋_GB2312" w:eastAsia="仿宋_GB2312" w:cs="仿宋_GB2312"/>
                <w:color w:val="000000"/>
                <w:sz w:val="24"/>
                <w:szCs w:val="24"/>
              </w:rPr>
            </w:pPr>
          </w:p>
        </w:tc>
        <w:tc>
          <w:tcPr>
            <w:tcW w:w="1098"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3531"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730" w:type="dxa"/>
            <w:tcBorders>
              <w:tl2br w:val="nil"/>
              <w:tr2bl w:val="nil"/>
            </w:tcBorders>
            <w:tcMar>
              <w:top w:w="57" w:type="dxa"/>
              <w:left w:w="57" w:type="dxa"/>
              <w:bottom w:w="57" w:type="dxa"/>
              <w:right w:w="57" w:type="dxa"/>
            </w:tcMar>
            <w:vAlign w:val="center"/>
          </w:tcPr>
          <w:p>
            <w:pPr>
              <w:widowControl/>
              <w:adjustRightInd w:val="0"/>
              <w:snapToGrid w:val="0"/>
              <w:jc w:val="left"/>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较重</w:t>
            </w:r>
          </w:p>
        </w:tc>
        <w:tc>
          <w:tcPr>
            <w:tcW w:w="2378"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具有从重情节的，或者导致食品安全事故的</w:t>
            </w:r>
          </w:p>
        </w:tc>
        <w:tc>
          <w:tcPr>
            <w:tcW w:w="2105" w:type="dxa"/>
            <w:vMerge w:val="continue"/>
            <w:tcBorders>
              <w:tl2br w:val="nil"/>
              <w:tr2bl w:val="nil"/>
            </w:tcBorders>
            <w:tcMar>
              <w:top w:w="57" w:type="dxa"/>
              <w:left w:w="57" w:type="dxa"/>
              <w:bottom w:w="57" w:type="dxa"/>
              <w:right w:w="57" w:type="dxa"/>
            </w:tcMar>
            <w:vAlign w:val="center"/>
          </w:tcPr>
          <w:p>
            <w:pPr>
              <w:adjustRightInd w:val="0"/>
              <w:snapToGrid w:val="0"/>
              <w:jc w:val="left"/>
              <w:rPr>
                <w:rFonts w:ascii="仿宋_GB2312" w:hAnsi="仿宋_GB2312" w:eastAsia="仿宋_GB2312" w:cs="仿宋_GB2312"/>
                <w:color w:val="000000"/>
                <w:sz w:val="21"/>
                <w:szCs w:val="21"/>
              </w:rPr>
            </w:pPr>
          </w:p>
        </w:tc>
        <w:tc>
          <w:tcPr>
            <w:tcW w:w="3737" w:type="dxa"/>
            <w:tcBorders>
              <w:tl2br w:val="nil"/>
              <w:tr2bl w:val="nil"/>
            </w:tcBorders>
            <w:tcMar>
              <w:top w:w="57" w:type="dxa"/>
              <w:left w:w="57" w:type="dxa"/>
              <w:bottom w:w="57" w:type="dxa"/>
              <w:right w:w="57" w:type="dxa"/>
            </w:tcMar>
            <w:vAlign w:val="center"/>
          </w:tcPr>
          <w:p>
            <w:pPr>
              <w:widowControl/>
              <w:adjustRightInd w:val="0"/>
              <w:snapToGrid w:val="0"/>
              <w:jc w:val="left"/>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货值金额不足一万元的，并处十四万元以上十五万元以下罚款，货值金额一万元以上的，并处二十五倍以上三十倍以下罚款；对农户，并处七千元以上一万元以下罚款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88" w:hRule="atLeast"/>
          <w:jc w:val="center"/>
        </w:trPr>
        <w:tc>
          <w:tcPr>
            <w:tcW w:w="421" w:type="dxa"/>
            <w:vMerge w:val="restart"/>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8</w:t>
            </w:r>
          </w:p>
        </w:tc>
        <w:tc>
          <w:tcPr>
            <w:tcW w:w="1098" w:type="dxa"/>
            <w:vMerge w:val="restart"/>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农产品生产经营者销售病死、毒死或者死因不明的动物及其产品的</w:t>
            </w:r>
          </w:p>
        </w:tc>
        <w:tc>
          <w:tcPr>
            <w:tcW w:w="3531" w:type="dxa"/>
            <w:vMerge w:val="restart"/>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Style w:val="10"/>
                <w:rFonts w:hint="default" w:hAnsi="仿宋_GB2312"/>
                <w:sz w:val="21"/>
                <w:szCs w:val="21"/>
              </w:rPr>
              <w:t>《中华人民共和国农产品质量安全法》第七十条</w:t>
            </w:r>
            <w:r>
              <w:rPr>
                <w:rStyle w:val="12"/>
                <w:rFonts w:hint="eastAsia" w:ascii="仿宋_GB2312" w:hAnsi="仿宋_GB2312" w:eastAsia="仿宋_GB2312" w:cs="仿宋_GB2312"/>
                <w:sz w:val="21"/>
                <w:szCs w:val="21"/>
              </w:rPr>
              <w:t> </w:t>
            </w:r>
            <w:r>
              <w:rPr>
                <w:rStyle w:val="10"/>
                <w:rFonts w:hint="default" w:hAnsi="仿宋_GB2312"/>
                <w:sz w:val="21"/>
                <w:szCs w:val="21"/>
              </w:rPr>
              <w:t>第一款</w:t>
            </w:r>
            <w:r>
              <w:rPr>
                <w:rStyle w:val="12"/>
                <w:rFonts w:hint="eastAsia" w:ascii="仿宋_GB2312" w:hAnsi="仿宋_GB2312" w:eastAsia="仿宋_GB2312" w:cs="仿宋_GB2312"/>
                <w:sz w:val="21"/>
                <w:szCs w:val="21"/>
              </w:rPr>
              <w:t> </w:t>
            </w:r>
            <w:r>
              <w:rPr>
                <w:rStyle w:val="10"/>
                <w:rFonts w:hint="default" w:hAnsi="仿宋_GB2312"/>
                <w:sz w:val="21"/>
                <w:szCs w:val="21"/>
              </w:rPr>
              <w:t>违反本法规定，农产品生产经营者有下列行为之一，尚不构成犯罪的，由县级以上地方人民政府农业农村主管部门责令停止生产经营、追回已经销售的农产品，对违法生产经营的农产品进行无害化处理或者予以监督销毁，没收违法所得，并可以没收用于违法生产经营的工具、设备、原料等物品；违法生产经营的农产品货值金额不足一万元的，并处十万元以上十五万元以下罚款，货值金额一万元以上的，并处货值金额十五倍以上三十倍以下罚款；对农户，并处一千元以上一万元以下罚款；情节严重的，有许可证的吊销许可证，并可以由公安机关对其直接负责的主管人员和其他直接责任人员处五日以上十五日以下拘留：</w:t>
            </w:r>
            <w:r>
              <w:rPr>
                <w:rStyle w:val="10"/>
                <w:rFonts w:hint="default" w:hAnsi="仿宋_GB2312"/>
                <w:sz w:val="21"/>
                <w:szCs w:val="21"/>
              </w:rPr>
              <w:br w:type="textWrapping"/>
            </w:r>
            <w:r>
              <w:rPr>
                <w:rStyle w:val="10"/>
                <w:rFonts w:hint="default" w:hAnsi="仿宋_GB2312"/>
                <w:sz w:val="21"/>
                <w:szCs w:val="21"/>
              </w:rPr>
              <w:t>（三）销售病死、毒死或者死因不明的动物及其产品。</w:t>
            </w:r>
          </w:p>
        </w:tc>
        <w:tc>
          <w:tcPr>
            <w:tcW w:w="730" w:type="dxa"/>
            <w:tcBorders>
              <w:tl2br w:val="nil"/>
              <w:tr2bl w:val="nil"/>
            </w:tcBorders>
            <w:tcMar>
              <w:top w:w="57" w:type="dxa"/>
              <w:left w:w="57" w:type="dxa"/>
              <w:bottom w:w="57" w:type="dxa"/>
              <w:right w:w="57" w:type="dxa"/>
            </w:tcMar>
            <w:vAlign w:val="center"/>
          </w:tcPr>
          <w:p>
            <w:pPr>
              <w:widowControl/>
              <w:adjustRightInd w:val="0"/>
              <w:snapToGrid w:val="0"/>
              <w:jc w:val="left"/>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较轻</w:t>
            </w:r>
          </w:p>
        </w:tc>
        <w:tc>
          <w:tcPr>
            <w:tcW w:w="2378"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农产品生产经营者主动终止违法行为，且涉案产品未销售的</w:t>
            </w:r>
          </w:p>
        </w:tc>
        <w:tc>
          <w:tcPr>
            <w:tcW w:w="2105" w:type="dxa"/>
            <w:vMerge w:val="restart"/>
            <w:tcBorders>
              <w:tl2br w:val="nil"/>
              <w:tr2bl w:val="nil"/>
            </w:tcBorders>
            <w:tcMar>
              <w:top w:w="57" w:type="dxa"/>
              <w:left w:w="57" w:type="dxa"/>
              <w:bottom w:w="57" w:type="dxa"/>
              <w:right w:w="57" w:type="dxa"/>
            </w:tcMar>
            <w:vAlign w:val="center"/>
          </w:tcPr>
          <w:p>
            <w:pPr>
              <w:widowControl/>
              <w:adjustRightInd w:val="0"/>
              <w:snapToGrid w:val="0"/>
              <w:jc w:val="left"/>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尚不构成犯罪的，责令停止生产经营、追回已经销售的农产品，对违法生产经营的农产品进行无害化处理或者予以监督销毁，没收违法所得，并可以没收用于违法生产经营的工具、设备、原料等物品。情节严重的，有许可证的吊销许可证</w:t>
            </w:r>
          </w:p>
        </w:tc>
        <w:tc>
          <w:tcPr>
            <w:tcW w:w="3737" w:type="dxa"/>
            <w:tcBorders>
              <w:tl2br w:val="nil"/>
              <w:tr2bl w:val="nil"/>
            </w:tcBorders>
            <w:tcMar>
              <w:top w:w="57" w:type="dxa"/>
              <w:left w:w="57" w:type="dxa"/>
              <w:bottom w:w="57" w:type="dxa"/>
              <w:right w:w="57" w:type="dxa"/>
            </w:tcMar>
            <w:vAlign w:val="center"/>
          </w:tcPr>
          <w:p>
            <w:pPr>
              <w:widowControl/>
              <w:adjustRightInd w:val="0"/>
              <w:snapToGrid w:val="0"/>
              <w:jc w:val="left"/>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货值金额不足一万元的，并处十万元以上十二万元以下罚款，货值金额一万元以上的，并处十五倍以上二十倍以下罚款；对农户，并处一千元以上四千元以下罚款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21" w:hRule="atLeast"/>
          <w:jc w:val="center"/>
        </w:trPr>
        <w:tc>
          <w:tcPr>
            <w:tcW w:w="421" w:type="dxa"/>
            <w:vMerge w:val="continue"/>
            <w:tcBorders>
              <w:tl2br w:val="nil"/>
              <w:tr2bl w:val="nil"/>
            </w:tcBorders>
            <w:tcMar>
              <w:top w:w="57" w:type="dxa"/>
              <w:left w:w="57" w:type="dxa"/>
              <w:bottom w:w="57" w:type="dxa"/>
              <w:right w:w="57" w:type="dxa"/>
            </w:tcMar>
            <w:vAlign w:val="center"/>
          </w:tcPr>
          <w:p>
            <w:pPr>
              <w:adjustRightInd w:val="0"/>
              <w:snapToGrid w:val="0"/>
              <w:jc w:val="left"/>
              <w:rPr>
                <w:rFonts w:ascii="仿宋_GB2312" w:hAnsi="仿宋_GB2312" w:eastAsia="仿宋_GB2312" w:cs="仿宋_GB2312"/>
                <w:color w:val="000000"/>
                <w:sz w:val="24"/>
                <w:szCs w:val="24"/>
              </w:rPr>
            </w:pPr>
          </w:p>
        </w:tc>
        <w:tc>
          <w:tcPr>
            <w:tcW w:w="1098"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3531"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730" w:type="dxa"/>
            <w:tcBorders>
              <w:tl2br w:val="nil"/>
              <w:tr2bl w:val="nil"/>
            </w:tcBorders>
            <w:tcMar>
              <w:top w:w="57" w:type="dxa"/>
              <w:left w:w="57" w:type="dxa"/>
              <w:bottom w:w="57" w:type="dxa"/>
              <w:right w:w="57" w:type="dxa"/>
            </w:tcMar>
            <w:vAlign w:val="center"/>
          </w:tcPr>
          <w:p>
            <w:pPr>
              <w:widowControl/>
              <w:adjustRightInd w:val="0"/>
              <w:snapToGrid w:val="0"/>
              <w:jc w:val="left"/>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一般</w:t>
            </w:r>
          </w:p>
        </w:tc>
        <w:tc>
          <w:tcPr>
            <w:tcW w:w="2378"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不具有不予处罚、减轻、从轻、从重等情节的，或者具有多个裁量因素时结合案情综合裁量，可以适用一般情形的</w:t>
            </w:r>
          </w:p>
        </w:tc>
        <w:tc>
          <w:tcPr>
            <w:tcW w:w="2105" w:type="dxa"/>
            <w:vMerge w:val="continue"/>
            <w:tcBorders>
              <w:tl2br w:val="nil"/>
              <w:tr2bl w:val="nil"/>
            </w:tcBorders>
            <w:tcMar>
              <w:top w:w="57" w:type="dxa"/>
              <w:left w:w="57" w:type="dxa"/>
              <w:bottom w:w="57" w:type="dxa"/>
              <w:right w:w="57" w:type="dxa"/>
            </w:tcMar>
            <w:vAlign w:val="center"/>
          </w:tcPr>
          <w:p>
            <w:pPr>
              <w:adjustRightInd w:val="0"/>
              <w:snapToGrid w:val="0"/>
              <w:jc w:val="left"/>
              <w:rPr>
                <w:rFonts w:ascii="仿宋_GB2312" w:hAnsi="仿宋_GB2312" w:eastAsia="仿宋_GB2312" w:cs="仿宋_GB2312"/>
                <w:color w:val="000000"/>
                <w:sz w:val="21"/>
                <w:szCs w:val="21"/>
              </w:rPr>
            </w:pPr>
          </w:p>
        </w:tc>
        <w:tc>
          <w:tcPr>
            <w:tcW w:w="3737" w:type="dxa"/>
            <w:tcBorders>
              <w:tl2br w:val="nil"/>
              <w:tr2bl w:val="nil"/>
            </w:tcBorders>
            <w:tcMar>
              <w:top w:w="57" w:type="dxa"/>
              <w:left w:w="57" w:type="dxa"/>
              <w:bottom w:w="57" w:type="dxa"/>
              <w:right w:w="57" w:type="dxa"/>
            </w:tcMar>
            <w:vAlign w:val="center"/>
          </w:tcPr>
          <w:p>
            <w:pPr>
              <w:widowControl/>
              <w:adjustRightInd w:val="0"/>
              <w:snapToGrid w:val="0"/>
              <w:jc w:val="left"/>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货值金额不足一万元的，并处十二万元以上十四万元以下罚款，货值金额一万元以上的，并处二十倍以上二十五倍以下罚款；对农户，并处四千元以上七千元以下罚款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14" w:hRule="atLeast"/>
          <w:jc w:val="center"/>
        </w:trPr>
        <w:tc>
          <w:tcPr>
            <w:tcW w:w="421" w:type="dxa"/>
            <w:vMerge w:val="continue"/>
            <w:tcBorders>
              <w:tl2br w:val="nil"/>
              <w:tr2bl w:val="nil"/>
            </w:tcBorders>
            <w:tcMar>
              <w:top w:w="57" w:type="dxa"/>
              <w:left w:w="57" w:type="dxa"/>
              <w:bottom w:w="57" w:type="dxa"/>
              <w:right w:w="57" w:type="dxa"/>
            </w:tcMar>
            <w:vAlign w:val="center"/>
          </w:tcPr>
          <w:p>
            <w:pPr>
              <w:adjustRightInd w:val="0"/>
              <w:snapToGrid w:val="0"/>
              <w:jc w:val="left"/>
              <w:rPr>
                <w:rFonts w:ascii="仿宋_GB2312" w:hAnsi="仿宋_GB2312" w:eastAsia="仿宋_GB2312" w:cs="仿宋_GB2312"/>
                <w:color w:val="000000"/>
                <w:sz w:val="24"/>
                <w:szCs w:val="24"/>
              </w:rPr>
            </w:pPr>
          </w:p>
        </w:tc>
        <w:tc>
          <w:tcPr>
            <w:tcW w:w="1098"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3531"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730" w:type="dxa"/>
            <w:tcBorders>
              <w:tl2br w:val="nil"/>
              <w:tr2bl w:val="nil"/>
            </w:tcBorders>
            <w:tcMar>
              <w:top w:w="57" w:type="dxa"/>
              <w:left w:w="57" w:type="dxa"/>
              <w:bottom w:w="57" w:type="dxa"/>
              <w:right w:w="57" w:type="dxa"/>
            </w:tcMar>
            <w:vAlign w:val="center"/>
          </w:tcPr>
          <w:p>
            <w:pPr>
              <w:widowControl/>
              <w:adjustRightInd w:val="0"/>
              <w:snapToGrid w:val="0"/>
              <w:jc w:val="left"/>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较重</w:t>
            </w:r>
          </w:p>
        </w:tc>
        <w:tc>
          <w:tcPr>
            <w:tcW w:w="2378"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具有从重情节的，或者导致食品安全事故的</w:t>
            </w:r>
          </w:p>
        </w:tc>
        <w:tc>
          <w:tcPr>
            <w:tcW w:w="2105" w:type="dxa"/>
            <w:vMerge w:val="continue"/>
            <w:tcBorders>
              <w:tl2br w:val="nil"/>
              <w:tr2bl w:val="nil"/>
            </w:tcBorders>
            <w:tcMar>
              <w:top w:w="57" w:type="dxa"/>
              <w:left w:w="57" w:type="dxa"/>
              <w:bottom w:w="57" w:type="dxa"/>
              <w:right w:w="57" w:type="dxa"/>
            </w:tcMar>
            <w:vAlign w:val="center"/>
          </w:tcPr>
          <w:p>
            <w:pPr>
              <w:adjustRightInd w:val="0"/>
              <w:snapToGrid w:val="0"/>
              <w:jc w:val="left"/>
              <w:rPr>
                <w:rFonts w:ascii="仿宋_GB2312" w:hAnsi="仿宋_GB2312" w:eastAsia="仿宋_GB2312" w:cs="仿宋_GB2312"/>
                <w:color w:val="000000"/>
                <w:sz w:val="21"/>
                <w:szCs w:val="21"/>
              </w:rPr>
            </w:pPr>
          </w:p>
        </w:tc>
        <w:tc>
          <w:tcPr>
            <w:tcW w:w="3737" w:type="dxa"/>
            <w:tcBorders>
              <w:tl2br w:val="nil"/>
              <w:tr2bl w:val="nil"/>
            </w:tcBorders>
            <w:tcMar>
              <w:top w:w="57" w:type="dxa"/>
              <w:left w:w="57" w:type="dxa"/>
              <w:bottom w:w="57" w:type="dxa"/>
              <w:right w:w="57" w:type="dxa"/>
            </w:tcMar>
            <w:vAlign w:val="center"/>
          </w:tcPr>
          <w:p>
            <w:pPr>
              <w:widowControl/>
              <w:adjustRightInd w:val="0"/>
              <w:snapToGrid w:val="0"/>
              <w:jc w:val="left"/>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货值金额不足一万元的，并处十四万元以上十五万元以下罚款，货值金额一万元以上的，并处二十五倍以上三十倍以下罚款；对农户，并处七千元以上一万元以下罚款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421" w:type="dxa"/>
            <w:vMerge w:val="restart"/>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9</w:t>
            </w:r>
          </w:p>
        </w:tc>
        <w:tc>
          <w:tcPr>
            <w:tcW w:w="1098" w:type="dxa"/>
            <w:vMerge w:val="restart"/>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pacing w:val="-11"/>
                <w:kern w:val="21"/>
                <w:sz w:val="21"/>
                <w:szCs w:val="21"/>
              </w:rPr>
            </w:pPr>
            <w:r>
              <w:rPr>
                <w:rFonts w:hint="eastAsia" w:ascii="仿宋_GB2312" w:hAnsi="仿宋_GB2312" w:eastAsia="仿宋_GB2312" w:cs="仿宋_GB2312"/>
                <w:color w:val="000000"/>
                <w:spacing w:val="-11"/>
                <w:kern w:val="21"/>
                <w:sz w:val="21"/>
                <w:szCs w:val="21"/>
              </w:rPr>
              <w:t>明知农产品生产经营者从事《农产品质量安全法》第七十条第一款规定的违法行为，仍为其提供生产经营场所或者其他条件的</w:t>
            </w:r>
          </w:p>
        </w:tc>
        <w:tc>
          <w:tcPr>
            <w:tcW w:w="3531" w:type="dxa"/>
            <w:vMerge w:val="restart"/>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Style w:val="10"/>
                <w:rFonts w:hint="default" w:hAnsi="仿宋_GB2312"/>
                <w:sz w:val="21"/>
                <w:szCs w:val="21"/>
              </w:rPr>
              <w:t>《中华人民共和国农产品质量安全法》第七十条</w:t>
            </w:r>
            <w:r>
              <w:rPr>
                <w:rStyle w:val="12"/>
                <w:rFonts w:hint="eastAsia" w:ascii="仿宋_GB2312" w:hAnsi="仿宋_GB2312" w:eastAsia="仿宋_GB2312" w:cs="仿宋_GB2312"/>
                <w:sz w:val="21"/>
                <w:szCs w:val="21"/>
              </w:rPr>
              <w:t> </w:t>
            </w:r>
            <w:r>
              <w:rPr>
                <w:rStyle w:val="10"/>
                <w:rFonts w:hint="default" w:hAnsi="仿宋_GB2312"/>
                <w:sz w:val="21"/>
                <w:szCs w:val="21"/>
              </w:rPr>
              <w:t>第二款 明知农产品生产经营者从事前款规定的违法行为，仍为其提供生产经营场所或者其他条件的，由县级以上地方人民政府农业农村主管部门责令停止违法行为，没收违法所得，并处十万元以上二十万元以下罚款；使消费者的合法权益受到损害的，应当与农产品生产经营者承担连带责任。</w:t>
            </w:r>
          </w:p>
        </w:tc>
        <w:tc>
          <w:tcPr>
            <w:tcW w:w="730" w:type="dxa"/>
            <w:tcBorders>
              <w:tl2br w:val="nil"/>
              <w:tr2bl w:val="nil"/>
            </w:tcBorders>
            <w:tcMar>
              <w:top w:w="57" w:type="dxa"/>
              <w:left w:w="57" w:type="dxa"/>
              <w:bottom w:w="57" w:type="dxa"/>
              <w:right w:w="57" w:type="dxa"/>
            </w:tcMar>
            <w:vAlign w:val="center"/>
          </w:tcPr>
          <w:p>
            <w:pPr>
              <w:widowControl/>
              <w:adjustRightInd w:val="0"/>
              <w:snapToGrid w:val="0"/>
              <w:jc w:val="left"/>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较轻</w:t>
            </w:r>
          </w:p>
        </w:tc>
        <w:tc>
          <w:tcPr>
            <w:tcW w:w="2378"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无违法所得或违法所得五千元以下的</w:t>
            </w:r>
          </w:p>
        </w:tc>
        <w:tc>
          <w:tcPr>
            <w:tcW w:w="2105" w:type="dxa"/>
            <w:vMerge w:val="restart"/>
            <w:tcBorders>
              <w:tl2br w:val="nil"/>
              <w:tr2bl w:val="nil"/>
            </w:tcBorders>
            <w:tcMar>
              <w:top w:w="57" w:type="dxa"/>
              <w:left w:w="57" w:type="dxa"/>
              <w:bottom w:w="57" w:type="dxa"/>
              <w:right w:w="57" w:type="dxa"/>
            </w:tcMar>
            <w:vAlign w:val="center"/>
          </w:tcPr>
          <w:p>
            <w:pPr>
              <w:widowControl/>
              <w:adjustRightInd w:val="0"/>
              <w:snapToGrid w:val="0"/>
              <w:jc w:val="left"/>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责令停止违法行为，没收违法所得</w:t>
            </w:r>
          </w:p>
        </w:tc>
        <w:tc>
          <w:tcPr>
            <w:tcW w:w="3737" w:type="dxa"/>
            <w:tcBorders>
              <w:tl2br w:val="nil"/>
              <w:tr2bl w:val="nil"/>
            </w:tcBorders>
            <w:tcMar>
              <w:top w:w="57" w:type="dxa"/>
              <w:left w:w="57" w:type="dxa"/>
              <w:bottom w:w="57" w:type="dxa"/>
              <w:right w:w="57" w:type="dxa"/>
            </w:tcMar>
            <w:vAlign w:val="center"/>
          </w:tcPr>
          <w:p>
            <w:pPr>
              <w:widowControl/>
              <w:adjustRightInd w:val="0"/>
              <w:snapToGrid w:val="0"/>
              <w:jc w:val="left"/>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并处十万元以上十三万元以下罚款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0" w:hRule="atLeast"/>
          <w:jc w:val="center"/>
        </w:trPr>
        <w:tc>
          <w:tcPr>
            <w:tcW w:w="421" w:type="dxa"/>
            <w:vMerge w:val="continue"/>
            <w:tcBorders>
              <w:tl2br w:val="nil"/>
              <w:tr2bl w:val="nil"/>
            </w:tcBorders>
            <w:tcMar>
              <w:top w:w="57" w:type="dxa"/>
              <w:left w:w="57" w:type="dxa"/>
              <w:bottom w:w="57" w:type="dxa"/>
              <w:right w:w="57" w:type="dxa"/>
            </w:tcMar>
            <w:vAlign w:val="center"/>
          </w:tcPr>
          <w:p>
            <w:pPr>
              <w:adjustRightInd w:val="0"/>
              <w:snapToGrid w:val="0"/>
              <w:jc w:val="left"/>
              <w:rPr>
                <w:rFonts w:ascii="仿宋_GB2312" w:hAnsi="仿宋_GB2312" w:eastAsia="仿宋_GB2312" w:cs="仿宋_GB2312"/>
                <w:color w:val="000000"/>
                <w:sz w:val="24"/>
                <w:szCs w:val="24"/>
              </w:rPr>
            </w:pPr>
          </w:p>
        </w:tc>
        <w:tc>
          <w:tcPr>
            <w:tcW w:w="1098"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3531"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730" w:type="dxa"/>
            <w:tcBorders>
              <w:tl2br w:val="nil"/>
              <w:tr2bl w:val="nil"/>
            </w:tcBorders>
            <w:tcMar>
              <w:top w:w="57" w:type="dxa"/>
              <w:left w:w="57" w:type="dxa"/>
              <w:bottom w:w="57" w:type="dxa"/>
              <w:right w:w="57" w:type="dxa"/>
            </w:tcMar>
            <w:vAlign w:val="center"/>
          </w:tcPr>
          <w:p>
            <w:pPr>
              <w:widowControl/>
              <w:adjustRightInd w:val="0"/>
              <w:snapToGrid w:val="0"/>
              <w:jc w:val="left"/>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一般</w:t>
            </w:r>
          </w:p>
        </w:tc>
        <w:tc>
          <w:tcPr>
            <w:tcW w:w="2378"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违法所得五千元以上一万元以下的</w:t>
            </w:r>
          </w:p>
        </w:tc>
        <w:tc>
          <w:tcPr>
            <w:tcW w:w="2105" w:type="dxa"/>
            <w:vMerge w:val="continue"/>
            <w:tcBorders>
              <w:tl2br w:val="nil"/>
              <w:tr2bl w:val="nil"/>
            </w:tcBorders>
            <w:tcMar>
              <w:top w:w="57" w:type="dxa"/>
              <w:left w:w="57" w:type="dxa"/>
              <w:bottom w:w="57" w:type="dxa"/>
              <w:right w:w="57" w:type="dxa"/>
            </w:tcMar>
            <w:vAlign w:val="center"/>
          </w:tcPr>
          <w:p>
            <w:pPr>
              <w:adjustRightInd w:val="0"/>
              <w:snapToGrid w:val="0"/>
              <w:jc w:val="left"/>
              <w:rPr>
                <w:rFonts w:ascii="仿宋_GB2312" w:hAnsi="仿宋_GB2312" w:eastAsia="仿宋_GB2312" w:cs="仿宋_GB2312"/>
                <w:color w:val="000000"/>
                <w:sz w:val="21"/>
                <w:szCs w:val="21"/>
              </w:rPr>
            </w:pPr>
          </w:p>
        </w:tc>
        <w:tc>
          <w:tcPr>
            <w:tcW w:w="3737" w:type="dxa"/>
            <w:tcBorders>
              <w:tl2br w:val="nil"/>
              <w:tr2bl w:val="nil"/>
            </w:tcBorders>
            <w:tcMar>
              <w:top w:w="57" w:type="dxa"/>
              <w:left w:w="57" w:type="dxa"/>
              <w:bottom w:w="57" w:type="dxa"/>
              <w:right w:w="57" w:type="dxa"/>
            </w:tcMar>
            <w:vAlign w:val="center"/>
          </w:tcPr>
          <w:p>
            <w:pPr>
              <w:widowControl/>
              <w:adjustRightInd w:val="0"/>
              <w:snapToGrid w:val="0"/>
              <w:jc w:val="left"/>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并处十三万元以上十七万元以下罚款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421" w:type="dxa"/>
            <w:vMerge w:val="continue"/>
            <w:tcBorders>
              <w:tl2br w:val="nil"/>
              <w:tr2bl w:val="nil"/>
            </w:tcBorders>
            <w:tcMar>
              <w:top w:w="57" w:type="dxa"/>
              <w:left w:w="57" w:type="dxa"/>
              <w:bottom w:w="57" w:type="dxa"/>
              <w:right w:w="57" w:type="dxa"/>
            </w:tcMar>
            <w:vAlign w:val="center"/>
          </w:tcPr>
          <w:p>
            <w:pPr>
              <w:adjustRightInd w:val="0"/>
              <w:snapToGrid w:val="0"/>
              <w:jc w:val="left"/>
              <w:rPr>
                <w:rFonts w:ascii="仿宋_GB2312" w:hAnsi="仿宋_GB2312" w:eastAsia="仿宋_GB2312" w:cs="仿宋_GB2312"/>
                <w:color w:val="000000"/>
                <w:sz w:val="24"/>
                <w:szCs w:val="24"/>
              </w:rPr>
            </w:pPr>
          </w:p>
        </w:tc>
        <w:tc>
          <w:tcPr>
            <w:tcW w:w="1098"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3531"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730" w:type="dxa"/>
            <w:tcBorders>
              <w:tl2br w:val="nil"/>
              <w:tr2bl w:val="nil"/>
            </w:tcBorders>
            <w:tcMar>
              <w:top w:w="57" w:type="dxa"/>
              <w:left w:w="57" w:type="dxa"/>
              <w:bottom w:w="57" w:type="dxa"/>
              <w:right w:w="57" w:type="dxa"/>
            </w:tcMar>
            <w:vAlign w:val="center"/>
          </w:tcPr>
          <w:p>
            <w:pPr>
              <w:widowControl/>
              <w:adjustRightInd w:val="0"/>
              <w:snapToGrid w:val="0"/>
              <w:jc w:val="left"/>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较重</w:t>
            </w:r>
          </w:p>
        </w:tc>
        <w:tc>
          <w:tcPr>
            <w:tcW w:w="2378"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违法所得一万元以上的</w:t>
            </w:r>
          </w:p>
        </w:tc>
        <w:tc>
          <w:tcPr>
            <w:tcW w:w="2105" w:type="dxa"/>
            <w:vMerge w:val="continue"/>
            <w:tcBorders>
              <w:tl2br w:val="nil"/>
              <w:tr2bl w:val="nil"/>
            </w:tcBorders>
            <w:tcMar>
              <w:top w:w="57" w:type="dxa"/>
              <w:left w:w="57" w:type="dxa"/>
              <w:bottom w:w="57" w:type="dxa"/>
              <w:right w:w="57" w:type="dxa"/>
            </w:tcMar>
            <w:vAlign w:val="center"/>
          </w:tcPr>
          <w:p>
            <w:pPr>
              <w:adjustRightInd w:val="0"/>
              <w:snapToGrid w:val="0"/>
              <w:jc w:val="left"/>
              <w:rPr>
                <w:rFonts w:ascii="仿宋_GB2312" w:hAnsi="仿宋_GB2312" w:eastAsia="仿宋_GB2312" w:cs="仿宋_GB2312"/>
                <w:color w:val="000000"/>
                <w:sz w:val="21"/>
                <w:szCs w:val="21"/>
              </w:rPr>
            </w:pPr>
          </w:p>
        </w:tc>
        <w:tc>
          <w:tcPr>
            <w:tcW w:w="3737" w:type="dxa"/>
            <w:tcBorders>
              <w:tl2br w:val="nil"/>
              <w:tr2bl w:val="nil"/>
            </w:tcBorders>
            <w:tcMar>
              <w:top w:w="57" w:type="dxa"/>
              <w:left w:w="57" w:type="dxa"/>
              <w:bottom w:w="57" w:type="dxa"/>
              <w:right w:w="57" w:type="dxa"/>
            </w:tcMar>
            <w:vAlign w:val="center"/>
          </w:tcPr>
          <w:p>
            <w:pPr>
              <w:widowControl/>
              <w:adjustRightInd w:val="0"/>
              <w:snapToGrid w:val="0"/>
              <w:jc w:val="left"/>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并处十七万元以上二十万元以下罚款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34" w:hRule="atLeast"/>
          <w:jc w:val="center"/>
        </w:trPr>
        <w:tc>
          <w:tcPr>
            <w:tcW w:w="421" w:type="dxa"/>
            <w:vMerge w:val="restart"/>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10</w:t>
            </w:r>
          </w:p>
        </w:tc>
        <w:tc>
          <w:tcPr>
            <w:tcW w:w="1098" w:type="dxa"/>
            <w:vMerge w:val="restart"/>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农产品生产经营者销售农药、兽药等化学物质残留或者含有的重金属等有毒有害物质不符合农产品质量安全标准的农产品</w:t>
            </w:r>
          </w:p>
        </w:tc>
        <w:tc>
          <w:tcPr>
            <w:tcW w:w="3531" w:type="dxa"/>
            <w:vMerge w:val="restart"/>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Style w:val="10"/>
                <w:rFonts w:hint="default" w:hAnsi="仿宋_GB2312"/>
                <w:sz w:val="21"/>
                <w:szCs w:val="21"/>
              </w:rPr>
              <w:t>《中华人民共和国农产品质量安全法》第七十一条</w:t>
            </w:r>
            <w:r>
              <w:rPr>
                <w:rStyle w:val="12"/>
                <w:rFonts w:hint="eastAsia" w:ascii="仿宋_GB2312" w:hAnsi="仿宋_GB2312" w:eastAsia="仿宋_GB2312" w:cs="仿宋_GB2312"/>
                <w:sz w:val="21"/>
                <w:szCs w:val="21"/>
              </w:rPr>
              <w:t>  </w:t>
            </w:r>
            <w:r>
              <w:rPr>
                <w:rStyle w:val="10"/>
                <w:rFonts w:hint="default" w:hAnsi="仿宋_GB2312"/>
                <w:sz w:val="21"/>
                <w:szCs w:val="21"/>
              </w:rPr>
              <w:t>违反本法规定，农产品生产经营者有下列行为之一，尚不构成犯罪的，由县级以上地方人民政府农业农村主管部门责令停止生产经营、追回已经销售的农产品，对违法生产经营的农产品进行无害化处理或者予以监督销毁，没收违法所得，并可以没收用于违法生产经营的工具、设备、原料等物品；违法生产经营的农产品货值金额不足一万元的，并处五万元以上十万元以下罚款，货值金额一万元以上的，并处货值金额十倍以上二十倍以下罚款；对农户，并处五百元以上五千元以下罚款：</w:t>
            </w:r>
            <w:r>
              <w:rPr>
                <w:rStyle w:val="10"/>
                <w:rFonts w:hint="default" w:hAnsi="仿宋_GB2312"/>
                <w:sz w:val="21"/>
                <w:szCs w:val="21"/>
              </w:rPr>
              <w:br w:type="textWrapping"/>
            </w:r>
            <w:r>
              <w:rPr>
                <w:rStyle w:val="10"/>
                <w:rFonts w:hint="default" w:hAnsi="仿宋_GB2312"/>
                <w:sz w:val="21"/>
                <w:szCs w:val="21"/>
              </w:rPr>
              <w:t>（一）销售农药、兽药等化学物质残留或者含有的重金属等有毒有害物质不符合农产品质量安全标准的农产品；</w:t>
            </w:r>
          </w:p>
        </w:tc>
        <w:tc>
          <w:tcPr>
            <w:tcW w:w="730" w:type="dxa"/>
            <w:tcBorders>
              <w:tl2br w:val="nil"/>
              <w:tr2bl w:val="nil"/>
            </w:tcBorders>
            <w:tcMar>
              <w:top w:w="57" w:type="dxa"/>
              <w:left w:w="57" w:type="dxa"/>
              <w:bottom w:w="57" w:type="dxa"/>
              <w:right w:w="57" w:type="dxa"/>
            </w:tcMar>
            <w:vAlign w:val="center"/>
          </w:tcPr>
          <w:p>
            <w:pPr>
              <w:widowControl/>
              <w:adjustRightInd w:val="0"/>
              <w:snapToGrid w:val="0"/>
              <w:jc w:val="left"/>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较轻</w:t>
            </w:r>
          </w:p>
        </w:tc>
        <w:tc>
          <w:tcPr>
            <w:tcW w:w="2378"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农产品生产经营者主动终止违法行为，且涉案产品未销售的</w:t>
            </w:r>
          </w:p>
        </w:tc>
        <w:tc>
          <w:tcPr>
            <w:tcW w:w="2105" w:type="dxa"/>
            <w:vMerge w:val="restart"/>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农产品生产经营者尚不构成犯罪的，责令停止生产经营、追回已经销售的农产品，对违法生产经营的农产品进行无害化处理或者予以监督销毁，没收违法所得，并可以没收用于违法生产经营的工具、设备、原料等物品</w:t>
            </w:r>
          </w:p>
        </w:tc>
        <w:tc>
          <w:tcPr>
            <w:tcW w:w="3737" w:type="dxa"/>
            <w:tcBorders>
              <w:tl2br w:val="nil"/>
              <w:tr2bl w:val="nil"/>
            </w:tcBorders>
            <w:tcMar>
              <w:top w:w="57" w:type="dxa"/>
              <w:left w:w="57" w:type="dxa"/>
              <w:bottom w:w="57" w:type="dxa"/>
              <w:right w:w="57" w:type="dxa"/>
            </w:tcMar>
            <w:vAlign w:val="center"/>
          </w:tcPr>
          <w:p>
            <w:pPr>
              <w:widowControl/>
              <w:adjustRightInd w:val="0"/>
              <w:snapToGrid w:val="0"/>
              <w:jc w:val="left"/>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违法生产经营的农产品货值金额不足一万元的，并处五万元以上六万五千元以下罚款，货值金额一万元以上的，并处货值金额十倍以上十三倍以下罚款；对农户，并处五百元以上二千元以下罚款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0" w:hRule="atLeast"/>
          <w:jc w:val="center"/>
        </w:trPr>
        <w:tc>
          <w:tcPr>
            <w:tcW w:w="421" w:type="dxa"/>
            <w:vMerge w:val="continue"/>
            <w:tcBorders>
              <w:tl2br w:val="nil"/>
              <w:tr2bl w:val="nil"/>
            </w:tcBorders>
            <w:tcMar>
              <w:top w:w="57" w:type="dxa"/>
              <w:left w:w="57" w:type="dxa"/>
              <w:bottom w:w="57" w:type="dxa"/>
              <w:right w:w="57" w:type="dxa"/>
            </w:tcMar>
            <w:vAlign w:val="center"/>
          </w:tcPr>
          <w:p>
            <w:pPr>
              <w:adjustRightInd w:val="0"/>
              <w:snapToGrid w:val="0"/>
              <w:jc w:val="left"/>
              <w:rPr>
                <w:rFonts w:ascii="仿宋_GB2312" w:hAnsi="仿宋_GB2312" w:eastAsia="仿宋_GB2312" w:cs="仿宋_GB2312"/>
                <w:color w:val="000000"/>
                <w:sz w:val="24"/>
                <w:szCs w:val="24"/>
              </w:rPr>
            </w:pPr>
          </w:p>
        </w:tc>
        <w:tc>
          <w:tcPr>
            <w:tcW w:w="1098"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3531"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730" w:type="dxa"/>
            <w:tcBorders>
              <w:tl2br w:val="nil"/>
              <w:tr2bl w:val="nil"/>
            </w:tcBorders>
            <w:tcMar>
              <w:top w:w="57" w:type="dxa"/>
              <w:left w:w="57" w:type="dxa"/>
              <w:bottom w:w="57" w:type="dxa"/>
              <w:right w:w="57" w:type="dxa"/>
            </w:tcMar>
            <w:vAlign w:val="center"/>
          </w:tcPr>
          <w:p>
            <w:pPr>
              <w:widowControl/>
              <w:adjustRightInd w:val="0"/>
              <w:snapToGrid w:val="0"/>
              <w:jc w:val="left"/>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一般</w:t>
            </w:r>
          </w:p>
        </w:tc>
        <w:tc>
          <w:tcPr>
            <w:tcW w:w="2378"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不具有不予处罚、减轻、从轻、从重等情节的，或者具有多个裁量因素时结合案情综合裁量，可以适用一般情形的</w:t>
            </w:r>
          </w:p>
        </w:tc>
        <w:tc>
          <w:tcPr>
            <w:tcW w:w="2105" w:type="dxa"/>
            <w:vMerge w:val="continue"/>
            <w:tcBorders>
              <w:tl2br w:val="nil"/>
              <w:tr2bl w:val="nil"/>
            </w:tcBorders>
            <w:tcMar>
              <w:top w:w="57" w:type="dxa"/>
              <w:left w:w="57" w:type="dxa"/>
              <w:bottom w:w="57" w:type="dxa"/>
              <w:right w:w="57" w:type="dxa"/>
            </w:tcMar>
            <w:vAlign w:val="center"/>
          </w:tcPr>
          <w:p>
            <w:pPr>
              <w:adjustRightInd w:val="0"/>
              <w:snapToGrid w:val="0"/>
              <w:jc w:val="center"/>
              <w:rPr>
                <w:rFonts w:ascii="仿宋_GB2312" w:hAnsi="仿宋_GB2312" w:eastAsia="仿宋_GB2312" w:cs="仿宋_GB2312"/>
                <w:color w:val="000000"/>
                <w:sz w:val="21"/>
                <w:szCs w:val="21"/>
              </w:rPr>
            </w:pPr>
          </w:p>
        </w:tc>
        <w:tc>
          <w:tcPr>
            <w:tcW w:w="3737" w:type="dxa"/>
            <w:tcBorders>
              <w:tl2br w:val="nil"/>
              <w:tr2bl w:val="nil"/>
            </w:tcBorders>
            <w:tcMar>
              <w:top w:w="57" w:type="dxa"/>
              <w:left w:w="57" w:type="dxa"/>
              <w:bottom w:w="57" w:type="dxa"/>
              <w:right w:w="57" w:type="dxa"/>
            </w:tcMar>
            <w:vAlign w:val="center"/>
          </w:tcPr>
          <w:p>
            <w:pPr>
              <w:widowControl/>
              <w:adjustRightInd w:val="0"/>
              <w:snapToGrid w:val="0"/>
              <w:jc w:val="left"/>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违法生产经营的农产品货值金额不足一万元的，并处六万五千元以上八万五千元以下罚款，货值金额一万元以上的，并处货值金额十三倍以上十七倍以下罚款；对农户，并处二千元以上三千五百元以下罚款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2" w:hRule="atLeast"/>
          <w:jc w:val="center"/>
        </w:trPr>
        <w:tc>
          <w:tcPr>
            <w:tcW w:w="421" w:type="dxa"/>
            <w:vMerge w:val="continue"/>
            <w:tcBorders>
              <w:tl2br w:val="nil"/>
              <w:tr2bl w:val="nil"/>
            </w:tcBorders>
            <w:tcMar>
              <w:top w:w="57" w:type="dxa"/>
              <w:left w:w="57" w:type="dxa"/>
              <w:bottom w:w="57" w:type="dxa"/>
              <w:right w:w="57" w:type="dxa"/>
            </w:tcMar>
            <w:vAlign w:val="center"/>
          </w:tcPr>
          <w:p>
            <w:pPr>
              <w:adjustRightInd w:val="0"/>
              <w:snapToGrid w:val="0"/>
              <w:jc w:val="left"/>
              <w:rPr>
                <w:rFonts w:ascii="仿宋_GB2312" w:hAnsi="仿宋_GB2312" w:eastAsia="仿宋_GB2312" w:cs="仿宋_GB2312"/>
                <w:color w:val="000000"/>
                <w:sz w:val="24"/>
                <w:szCs w:val="24"/>
              </w:rPr>
            </w:pPr>
          </w:p>
        </w:tc>
        <w:tc>
          <w:tcPr>
            <w:tcW w:w="1098"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3531"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730" w:type="dxa"/>
            <w:tcBorders>
              <w:tl2br w:val="nil"/>
              <w:tr2bl w:val="nil"/>
            </w:tcBorders>
            <w:tcMar>
              <w:top w:w="57" w:type="dxa"/>
              <w:left w:w="57" w:type="dxa"/>
              <w:bottom w:w="57" w:type="dxa"/>
              <w:right w:w="57" w:type="dxa"/>
            </w:tcMar>
            <w:vAlign w:val="center"/>
          </w:tcPr>
          <w:p>
            <w:pPr>
              <w:widowControl/>
              <w:adjustRightInd w:val="0"/>
              <w:snapToGrid w:val="0"/>
              <w:jc w:val="left"/>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较重</w:t>
            </w:r>
          </w:p>
        </w:tc>
        <w:tc>
          <w:tcPr>
            <w:tcW w:w="2378"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具有从重情节的，或者导致食品安全事故的</w:t>
            </w:r>
          </w:p>
        </w:tc>
        <w:tc>
          <w:tcPr>
            <w:tcW w:w="2105" w:type="dxa"/>
            <w:vMerge w:val="continue"/>
            <w:tcBorders>
              <w:tl2br w:val="nil"/>
              <w:tr2bl w:val="nil"/>
            </w:tcBorders>
            <w:tcMar>
              <w:top w:w="57" w:type="dxa"/>
              <w:left w:w="57" w:type="dxa"/>
              <w:bottom w:w="57" w:type="dxa"/>
              <w:right w:w="57" w:type="dxa"/>
            </w:tcMar>
            <w:vAlign w:val="center"/>
          </w:tcPr>
          <w:p>
            <w:pPr>
              <w:adjustRightInd w:val="0"/>
              <w:snapToGrid w:val="0"/>
              <w:jc w:val="center"/>
              <w:rPr>
                <w:rFonts w:ascii="仿宋_GB2312" w:hAnsi="仿宋_GB2312" w:eastAsia="仿宋_GB2312" w:cs="仿宋_GB2312"/>
                <w:color w:val="000000"/>
                <w:sz w:val="21"/>
                <w:szCs w:val="21"/>
              </w:rPr>
            </w:pPr>
          </w:p>
        </w:tc>
        <w:tc>
          <w:tcPr>
            <w:tcW w:w="3737" w:type="dxa"/>
            <w:tcBorders>
              <w:tl2br w:val="nil"/>
              <w:tr2bl w:val="nil"/>
            </w:tcBorders>
            <w:tcMar>
              <w:top w:w="57" w:type="dxa"/>
              <w:left w:w="57" w:type="dxa"/>
              <w:bottom w:w="57" w:type="dxa"/>
              <w:right w:w="57" w:type="dxa"/>
            </w:tcMar>
            <w:vAlign w:val="center"/>
          </w:tcPr>
          <w:p>
            <w:pPr>
              <w:widowControl/>
              <w:adjustRightInd w:val="0"/>
              <w:snapToGrid w:val="0"/>
              <w:jc w:val="left"/>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违法生产经营的农产品货值金额不足一万元的，并处八万五千元以上十万元以下罚款，货值金额一万元以上的，并处货值金额十七倍以上二十倍以下罚款；对农户，并处三千五百元以上五千元以下罚款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88" w:hRule="atLeast"/>
          <w:jc w:val="center"/>
        </w:trPr>
        <w:tc>
          <w:tcPr>
            <w:tcW w:w="421" w:type="dxa"/>
            <w:vMerge w:val="restart"/>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11</w:t>
            </w:r>
          </w:p>
        </w:tc>
        <w:tc>
          <w:tcPr>
            <w:tcW w:w="1098" w:type="dxa"/>
            <w:vMerge w:val="restart"/>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农产品生产经营者销售含有的致病性寄生虫、微生物或者生物毒素不符合农产品质量安全标准的农产品</w:t>
            </w:r>
          </w:p>
        </w:tc>
        <w:tc>
          <w:tcPr>
            <w:tcW w:w="3531" w:type="dxa"/>
            <w:vMerge w:val="restart"/>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Style w:val="10"/>
                <w:rFonts w:hint="default" w:hAnsi="仿宋_GB2312"/>
                <w:sz w:val="21"/>
                <w:szCs w:val="21"/>
              </w:rPr>
              <w:t>《中华人民共和国农产品质量安全法》第七十一条</w:t>
            </w:r>
            <w:r>
              <w:rPr>
                <w:rStyle w:val="12"/>
                <w:rFonts w:hint="eastAsia" w:ascii="仿宋_GB2312" w:hAnsi="仿宋_GB2312" w:eastAsia="仿宋_GB2312" w:cs="仿宋_GB2312"/>
                <w:sz w:val="21"/>
                <w:szCs w:val="21"/>
              </w:rPr>
              <w:t>  </w:t>
            </w:r>
            <w:r>
              <w:rPr>
                <w:rStyle w:val="10"/>
                <w:rFonts w:hint="default" w:hAnsi="仿宋_GB2312"/>
                <w:sz w:val="21"/>
                <w:szCs w:val="21"/>
              </w:rPr>
              <w:t>违反本法规定，农产品生产经营者有下列行为之一，尚不构成犯罪的，由县级以上地方人民政府农业农村主管部门责令停止生产经营、追回已经销售的农产品，对违法生产经营的农产品进行无害化处理或者予以监督销毁，没收违法所得，并可以没收用于违法生产经营的工具、设备、原料等物品；违法生产经营的农产品货值金额不足一万元的，并处五万元以上十万元以下罚款，货值金额一万元以上的，并处货值金额十倍以上二十倍以下罚款；对农户，并处五百元以上五千元以下罚款：</w:t>
            </w:r>
            <w:r>
              <w:rPr>
                <w:rStyle w:val="10"/>
                <w:rFonts w:hint="default" w:hAnsi="仿宋_GB2312"/>
                <w:sz w:val="21"/>
                <w:szCs w:val="21"/>
              </w:rPr>
              <w:br w:type="textWrapping"/>
            </w:r>
            <w:r>
              <w:rPr>
                <w:rStyle w:val="10"/>
                <w:rFonts w:hint="default" w:hAnsi="仿宋_GB2312"/>
                <w:sz w:val="21"/>
                <w:szCs w:val="21"/>
              </w:rPr>
              <w:t>（二）销售含有的致病性寄生虫、微生物或者生物毒素不符合农产品质量安全标准的农产品</w:t>
            </w:r>
          </w:p>
        </w:tc>
        <w:tc>
          <w:tcPr>
            <w:tcW w:w="730" w:type="dxa"/>
            <w:tcBorders>
              <w:tl2br w:val="nil"/>
              <w:tr2bl w:val="nil"/>
            </w:tcBorders>
            <w:tcMar>
              <w:top w:w="57" w:type="dxa"/>
              <w:left w:w="57" w:type="dxa"/>
              <w:bottom w:w="57" w:type="dxa"/>
              <w:right w:w="57" w:type="dxa"/>
            </w:tcMar>
            <w:vAlign w:val="center"/>
          </w:tcPr>
          <w:p>
            <w:pPr>
              <w:widowControl/>
              <w:adjustRightInd w:val="0"/>
              <w:snapToGrid w:val="0"/>
              <w:jc w:val="left"/>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较轻</w:t>
            </w:r>
          </w:p>
        </w:tc>
        <w:tc>
          <w:tcPr>
            <w:tcW w:w="2378"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农产品生产经营者主动终止违法行为，且涉案产品未销售的</w:t>
            </w:r>
          </w:p>
        </w:tc>
        <w:tc>
          <w:tcPr>
            <w:tcW w:w="2105" w:type="dxa"/>
            <w:vMerge w:val="restart"/>
            <w:tcBorders>
              <w:tl2br w:val="nil"/>
              <w:tr2bl w:val="nil"/>
            </w:tcBorders>
            <w:tcMar>
              <w:top w:w="57" w:type="dxa"/>
              <w:left w:w="57" w:type="dxa"/>
              <w:bottom w:w="57" w:type="dxa"/>
              <w:right w:w="57" w:type="dxa"/>
            </w:tcMar>
            <w:vAlign w:val="center"/>
          </w:tcPr>
          <w:p>
            <w:pPr>
              <w:widowControl/>
              <w:adjustRightInd w:val="0"/>
              <w:snapToGrid w:val="0"/>
              <w:jc w:val="left"/>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农产品生产经营者尚不构成犯罪的，责令停止生产经营、追回已经销售的农产品，对违法生产经营的农产品进行无害化处理或者予以监督销毁，没收违法所得，并可以没收用于违法生产经营的工具、设备、原料等物品</w:t>
            </w:r>
          </w:p>
        </w:tc>
        <w:tc>
          <w:tcPr>
            <w:tcW w:w="3737" w:type="dxa"/>
            <w:tcBorders>
              <w:tl2br w:val="nil"/>
              <w:tr2bl w:val="nil"/>
            </w:tcBorders>
            <w:tcMar>
              <w:top w:w="57" w:type="dxa"/>
              <w:left w:w="57" w:type="dxa"/>
              <w:bottom w:w="57" w:type="dxa"/>
              <w:right w:w="57" w:type="dxa"/>
            </w:tcMar>
            <w:vAlign w:val="center"/>
          </w:tcPr>
          <w:p>
            <w:pPr>
              <w:widowControl/>
              <w:adjustRightInd w:val="0"/>
              <w:snapToGrid w:val="0"/>
              <w:jc w:val="left"/>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违法生产经营的农产品货值金额不足一万元的，并处五万元以上六万五千元以下罚款，货值金额一万元以上的，并处货值金额十倍以上十三倍以下罚款；对农户，并处五百元以上二千元以下罚款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88" w:hRule="atLeast"/>
          <w:jc w:val="center"/>
        </w:trPr>
        <w:tc>
          <w:tcPr>
            <w:tcW w:w="421" w:type="dxa"/>
            <w:vMerge w:val="continue"/>
            <w:tcBorders>
              <w:tl2br w:val="nil"/>
              <w:tr2bl w:val="nil"/>
            </w:tcBorders>
            <w:tcMar>
              <w:top w:w="57" w:type="dxa"/>
              <w:left w:w="57" w:type="dxa"/>
              <w:bottom w:w="57" w:type="dxa"/>
              <w:right w:w="57" w:type="dxa"/>
            </w:tcMar>
            <w:vAlign w:val="center"/>
          </w:tcPr>
          <w:p>
            <w:pPr>
              <w:adjustRightInd w:val="0"/>
              <w:snapToGrid w:val="0"/>
              <w:jc w:val="left"/>
              <w:rPr>
                <w:rFonts w:ascii="仿宋_GB2312" w:hAnsi="仿宋_GB2312" w:eastAsia="仿宋_GB2312" w:cs="仿宋_GB2312"/>
                <w:color w:val="000000"/>
                <w:sz w:val="24"/>
                <w:szCs w:val="24"/>
              </w:rPr>
            </w:pPr>
          </w:p>
        </w:tc>
        <w:tc>
          <w:tcPr>
            <w:tcW w:w="1098"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3531"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730" w:type="dxa"/>
            <w:tcBorders>
              <w:tl2br w:val="nil"/>
              <w:tr2bl w:val="nil"/>
            </w:tcBorders>
            <w:tcMar>
              <w:top w:w="57" w:type="dxa"/>
              <w:left w:w="57" w:type="dxa"/>
              <w:bottom w:w="57" w:type="dxa"/>
              <w:right w:w="57" w:type="dxa"/>
            </w:tcMar>
            <w:vAlign w:val="center"/>
          </w:tcPr>
          <w:p>
            <w:pPr>
              <w:widowControl/>
              <w:adjustRightInd w:val="0"/>
              <w:snapToGrid w:val="0"/>
              <w:jc w:val="left"/>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一般</w:t>
            </w:r>
          </w:p>
        </w:tc>
        <w:tc>
          <w:tcPr>
            <w:tcW w:w="2378"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不具有不予处罚、减轻、从轻、从重等情节的，或者具有多个裁量因素时结合案情综合裁量，可以适用一般情形的</w:t>
            </w:r>
          </w:p>
        </w:tc>
        <w:tc>
          <w:tcPr>
            <w:tcW w:w="2105" w:type="dxa"/>
            <w:vMerge w:val="continue"/>
            <w:tcBorders>
              <w:tl2br w:val="nil"/>
              <w:tr2bl w:val="nil"/>
            </w:tcBorders>
            <w:tcMar>
              <w:top w:w="57" w:type="dxa"/>
              <w:left w:w="57" w:type="dxa"/>
              <w:bottom w:w="57" w:type="dxa"/>
              <w:right w:w="57" w:type="dxa"/>
            </w:tcMar>
            <w:vAlign w:val="center"/>
          </w:tcPr>
          <w:p>
            <w:pPr>
              <w:adjustRightInd w:val="0"/>
              <w:snapToGrid w:val="0"/>
              <w:jc w:val="left"/>
              <w:rPr>
                <w:rFonts w:ascii="仿宋_GB2312" w:hAnsi="仿宋_GB2312" w:eastAsia="仿宋_GB2312" w:cs="仿宋_GB2312"/>
                <w:color w:val="000000"/>
                <w:sz w:val="21"/>
                <w:szCs w:val="21"/>
              </w:rPr>
            </w:pPr>
          </w:p>
        </w:tc>
        <w:tc>
          <w:tcPr>
            <w:tcW w:w="3737" w:type="dxa"/>
            <w:tcBorders>
              <w:tl2br w:val="nil"/>
              <w:tr2bl w:val="nil"/>
            </w:tcBorders>
            <w:tcMar>
              <w:top w:w="57" w:type="dxa"/>
              <w:left w:w="57" w:type="dxa"/>
              <w:bottom w:w="57" w:type="dxa"/>
              <w:right w:w="57" w:type="dxa"/>
            </w:tcMar>
            <w:vAlign w:val="center"/>
          </w:tcPr>
          <w:p>
            <w:pPr>
              <w:widowControl/>
              <w:adjustRightInd w:val="0"/>
              <w:snapToGrid w:val="0"/>
              <w:jc w:val="left"/>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违法生产经营的农产品货值金额不足一万元的，并处六万五千元以上八万五千元以下罚款，货值金额一万元以上的，并处货值金额十三倍以上十七倍以下罚款；对农户，并处二千元以上三千五百元以下罚款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7" w:hRule="atLeast"/>
          <w:jc w:val="center"/>
        </w:trPr>
        <w:tc>
          <w:tcPr>
            <w:tcW w:w="421" w:type="dxa"/>
            <w:vMerge w:val="continue"/>
            <w:tcBorders>
              <w:tl2br w:val="nil"/>
              <w:tr2bl w:val="nil"/>
            </w:tcBorders>
            <w:tcMar>
              <w:top w:w="57" w:type="dxa"/>
              <w:left w:w="57" w:type="dxa"/>
              <w:bottom w:w="57" w:type="dxa"/>
              <w:right w:w="57" w:type="dxa"/>
            </w:tcMar>
            <w:vAlign w:val="center"/>
          </w:tcPr>
          <w:p>
            <w:pPr>
              <w:adjustRightInd w:val="0"/>
              <w:snapToGrid w:val="0"/>
              <w:jc w:val="left"/>
              <w:rPr>
                <w:rFonts w:ascii="仿宋_GB2312" w:hAnsi="仿宋_GB2312" w:eastAsia="仿宋_GB2312" w:cs="仿宋_GB2312"/>
                <w:color w:val="000000"/>
                <w:sz w:val="24"/>
                <w:szCs w:val="24"/>
              </w:rPr>
            </w:pPr>
          </w:p>
        </w:tc>
        <w:tc>
          <w:tcPr>
            <w:tcW w:w="1098"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3531"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730" w:type="dxa"/>
            <w:tcBorders>
              <w:tl2br w:val="nil"/>
              <w:tr2bl w:val="nil"/>
            </w:tcBorders>
            <w:tcMar>
              <w:top w:w="57" w:type="dxa"/>
              <w:left w:w="57" w:type="dxa"/>
              <w:bottom w:w="57" w:type="dxa"/>
              <w:right w:w="57" w:type="dxa"/>
            </w:tcMar>
            <w:vAlign w:val="center"/>
          </w:tcPr>
          <w:p>
            <w:pPr>
              <w:widowControl/>
              <w:adjustRightInd w:val="0"/>
              <w:snapToGrid w:val="0"/>
              <w:jc w:val="left"/>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较重</w:t>
            </w:r>
          </w:p>
        </w:tc>
        <w:tc>
          <w:tcPr>
            <w:tcW w:w="2378"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具有从重情节的，或者导致食品安全事故的</w:t>
            </w:r>
          </w:p>
        </w:tc>
        <w:tc>
          <w:tcPr>
            <w:tcW w:w="2105" w:type="dxa"/>
            <w:vMerge w:val="continue"/>
            <w:tcBorders>
              <w:tl2br w:val="nil"/>
              <w:tr2bl w:val="nil"/>
            </w:tcBorders>
            <w:tcMar>
              <w:top w:w="57" w:type="dxa"/>
              <w:left w:w="57" w:type="dxa"/>
              <w:bottom w:w="57" w:type="dxa"/>
              <w:right w:w="57" w:type="dxa"/>
            </w:tcMar>
            <w:vAlign w:val="center"/>
          </w:tcPr>
          <w:p>
            <w:pPr>
              <w:adjustRightInd w:val="0"/>
              <w:snapToGrid w:val="0"/>
              <w:jc w:val="left"/>
              <w:rPr>
                <w:rFonts w:ascii="仿宋_GB2312" w:hAnsi="仿宋_GB2312" w:eastAsia="仿宋_GB2312" w:cs="仿宋_GB2312"/>
                <w:color w:val="000000"/>
                <w:sz w:val="21"/>
                <w:szCs w:val="21"/>
              </w:rPr>
            </w:pPr>
          </w:p>
        </w:tc>
        <w:tc>
          <w:tcPr>
            <w:tcW w:w="3737" w:type="dxa"/>
            <w:tcBorders>
              <w:tl2br w:val="nil"/>
              <w:tr2bl w:val="nil"/>
            </w:tcBorders>
            <w:tcMar>
              <w:top w:w="57" w:type="dxa"/>
              <w:left w:w="57" w:type="dxa"/>
              <w:bottom w:w="57" w:type="dxa"/>
              <w:right w:w="57" w:type="dxa"/>
            </w:tcMar>
            <w:vAlign w:val="center"/>
          </w:tcPr>
          <w:p>
            <w:pPr>
              <w:widowControl/>
              <w:adjustRightInd w:val="0"/>
              <w:snapToGrid w:val="0"/>
              <w:jc w:val="left"/>
              <w:textAlignment w:val="center"/>
              <w:rPr>
                <w:rFonts w:ascii="仿宋_GB2312" w:hAnsi="仿宋_GB2312" w:eastAsia="仿宋_GB2312" w:cs="仿宋_GB2312"/>
                <w:color w:val="000000"/>
                <w:sz w:val="21"/>
                <w:szCs w:val="21"/>
              </w:rPr>
            </w:pPr>
            <w:r>
              <w:rPr>
                <w:rStyle w:val="10"/>
                <w:rFonts w:hint="default" w:hAnsi="仿宋_GB2312"/>
                <w:sz w:val="21"/>
                <w:szCs w:val="21"/>
              </w:rPr>
              <w:t>违法生产经营的农产品货值金额不足一万元的，并处八万五千元以上</w:t>
            </w:r>
            <w:r>
              <w:rPr>
                <w:rStyle w:val="15"/>
                <w:rFonts w:hint="default" w:hAnsi="仿宋_GB2312"/>
                <w:b w:val="0"/>
                <w:sz w:val="21"/>
                <w:szCs w:val="21"/>
              </w:rPr>
              <w:t>十</w:t>
            </w:r>
            <w:r>
              <w:rPr>
                <w:rStyle w:val="10"/>
                <w:rFonts w:hint="default" w:hAnsi="仿宋_GB2312"/>
                <w:sz w:val="21"/>
                <w:szCs w:val="21"/>
              </w:rPr>
              <w:t>万元以下罚款，货值金额一万元以上的，并处货值金额十七倍以上二十倍以下罚款；对农户，并处三千五百元以上五千元以下罚款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88" w:hRule="atLeast"/>
          <w:jc w:val="center"/>
        </w:trPr>
        <w:tc>
          <w:tcPr>
            <w:tcW w:w="421" w:type="dxa"/>
            <w:vMerge w:val="restart"/>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12</w:t>
            </w:r>
          </w:p>
        </w:tc>
        <w:tc>
          <w:tcPr>
            <w:tcW w:w="1098" w:type="dxa"/>
            <w:vMerge w:val="restart"/>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农产品生产经营者销售其他不符合农产品质量安全标准的农产品</w:t>
            </w:r>
          </w:p>
        </w:tc>
        <w:tc>
          <w:tcPr>
            <w:tcW w:w="3531" w:type="dxa"/>
            <w:vMerge w:val="restart"/>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中华人民共和国农产品质量安全法》第七十一条  违反本法规定，农产品生产经营者有下列行为之一，尚不构成犯罪的，由县级以上地方人民政府农业农村主管部门责令停止生产经营、追回已经销售的农产品，对违法生产经营的农产品进行无害化处理或者予以监督销毁，没收违法所得，并可以没收用于违法生产经营的工具、设备、原料等物品；违法生产经营的农产品货值金额不足一万元的，并处五万元以上十万元以下罚款，货值金额一万元以上的，并处货值金额十倍以上二十倍以下罚款；对农户，并处五百元以上五千元以下罚款：</w:t>
            </w:r>
            <w:r>
              <w:rPr>
                <w:rFonts w:hint="eastAsia" w:ascii="仿宋_GB2312" w:hAnsi="仿宋_GB2312" w:eastAsia="仿宋_GB2312" w:cs="仿宋_GB2312"/>
                <w:color w:val="000000"/>
                <w:kern w:val="0"/>
                <w:sz w:val="21"/>
                <w:szCs w:val="21"/>
              </w:rPr>
              <w:br w:type="textWrapping"/>
            </w:r>
            <w:r>
              <w:rPr>
                <w:rFonts w:hint="eastAsia" w:ascii="仿宋_GB2312" w:hAnsi="仿宋_GB2312" w:eastAsia="仿宋_GB2312" w:cs="仿宋_GB2312"/>
                <w:color w:val="000000"/>
                <w:kern w:val="0"/>
                <w:sz w:val="21"/>
                <w:szCs w:val="21"/>
              </w:rPr>
              <w:t>（三）销售其他不符合农产品质量安全标准的农产品</w:t>
            </w:r>
          </w:p>
        </w:tc>
        <w:tc>
          <w:tcPr>
            <w:tcW w:w="730" w:type="dxa"/>
            <w:tcBorders>
              <w:tl2br w:val="nil"/>
              <w:tr2bl w:val="nil"/>
            </w:tcBorders>
            <w:tcMar>
              <w:top w:w="57" w:type="dxa"/>
              <w:left w:w="57" w:type="dxa"/>
              <w:bottom w:w="57" w:type="dxa"/>
              <w:right w:w="57" w:type="dxa"/>
            </w:tcMar>
            <w:vAlign w:val="center"/>
          </w:tcPr>
          <w:p>
            <w:pPr>
              <w:widowControl/>
              <w:adjustRightInd w:val="0"/>
              <w:snapToGrid w:val="0"/>
              <w:jc w:val="left"/>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较轻</w:t>
            </w:r>
          </w:p>
        </w:tc>
        <w:tc>
          <w:tcPr>
            <w:tcW w:w="2378"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农产品生产经营者主动终止违法行为，且涉案产品未销售的</w:t>
            </w:r>
          </w:p>
        </w:tc>
        <w:tc>
          <w:tcPr>
            <w:tcW w:w="2105" w:type="dxa"/>
            <w:vMerge w:val="restart"/>
            <w:tcBorders>
              <w:tl2br w:val="nil"/>
              <w:tr2bl w:val="nil"/>
            </w:tcBorders>
            <w:tcMar>
              <w:top w:w="57" w:type="dxa"/>
              <w:left w:w="57" w:type="dxa"/>
              <w:bottom w:w="57" w:type="dxa"/>
              <w:right w:w="57" w:type="dxa"/>
            </w:tcMar>
            <w:vAlign w:val="center"/>
          </w:tcPr>
          <w:p>
            <w:pPr>
              <w:widowControl/>
              <w:adjustRightInd w:val="0"/>
              <w:snapToGrid w:val="0"/>
              <w:jc w:val="left"/>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农产品生产经营者尚不构成犯罪的，责令停止生产经营、追回已经销售的农产品，对违法生产经营的农产品进行无害化处理或者予以监督销毁，没收违法所得，并可以没收用于违法生产经营的工具、设备、原料等物品</w:t>
            </w:r>
          </w:p>
        </w:tc>
        <w:tc>
          <w:tcPr>
            <w:tcW w:w="3737" w:type="dxa"/>
            <w:tcBorders>
              <w:tl2br w:val="nil"/>
              <w:tr2bl w:val="nil"/>
            </w:tcBorders>
            <w:tcMar>
              <w:top w:w="57" w:type="dxa"/>
              <w:left w:w="57" w:type="dxa"/>
              <w:bottom w:w="57" w:type="dxa"/>
              <w:right w:w="57" w:type="dxa"/>
            </w:tcMar>
            <w:vAlign w:val="center"/>
          </w:tcPr>
          <w:p>
            <w:pPr>
              <w:widowControl/>
              <w:adjustRightInd w:val="0"/>
              <w:snapToGrid w:val="0"/>
              <w:jc w:val="left"/>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违法生产经营的农产品货值金额不足一万元的，并处五万元以上六万五千元以下罚款，货值金额一万元以上的，并处货值金额十倍以上十三倍以下罚款；对农户，并处五百元以上二千元以下罚款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88" w:hRule="atLeast"/>
          <w:jc w:val="center"/>
        </w:trPr>
        <w:tc>
          <w:tcPr>
            <w:tcW w:w="421" w:type="dxa"/>
            <w:vMerge w:val="continue"/>
            <w:tcBorders>
              <w:tl2br w:val="nil"/>
              <w:tr2bl w:val="nil"/>
            </w:tcBorders>
            <w:tcMar>
              <w:top w:w="57" w:type="dxa"/>
              <w:left w:w="57" w:type="dxa"/>
              <w:bottom w:w="57" w:type="dxa"/>
              <w:right w:w="57" w:type="dxa"/>
            </w:tcMar>
            <w:vAlign w:val="center"/>
          </w:tcPr>
          <w:p>
            <w:pPr>
              <w:adjustRightInd w:val="0"/>
              <w:snapToGrid w:val="0"/>
              <w:jc w:val="left"/>
              <w:rPr>
                <w:rFonts w:ascii="仿宋_GB2312" w:hAnsi="仿宋_GB2312" w:eastAsia="仿宋_GB2312" w:cs="仿宋_GB2312"/>
                <w:color w:val="000000"/>
                <w:sz w:val="24"/>
                <w:szCs w:val="24"/>
              </w:rPr>
            </w:pPr>
          </w:p>
        </w:tc>
        <w:tc>
          <w:tcPr>
            <w:tcW w:w="1098"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3531"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730" w:type="dxa"/>
            <w:tcBorders>
              <w:tl2br w:val="nil"/>
              <w:tr2bl w:val="nil"/>
            </w:tcBorders>
            <w:tcMar>
              <w:top w:w="57" w:type="dxa"/>
              <w:left w:w="57" w:type="dxa"/>
              <w:bottom w:w="57" w:type="dxa"/>
              <w:right w:w="57" w:type="dxa"/>
            </w:tcMar>
            <w:vAlign w:val="center"/>
          </w:tcPr>
          <w:p>
            <w:pPr>
              <w:widowControl/>
              <w:adjustRightInd w:val="0"/>
              <w:snapToGrid w:val="0"/>
              <w:jc w:val="left"/>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一般</w:t>
            </w:r>
          </w:p>
        </w:tc>
        <w:tc>
          <w:tcPr>
            <w:tcW w:w="2378"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不具有不予处罚、减轻、从轻、从重等情节的，或者具有多个裁量因素时结合案情综合裁量，可以适用一般情形的</w:t>
            </w:r>
          </w:p>
        </w:tc>
        <w:tc>
          <w:tcPr>
            <w:tcW w:w="2105" w:type="dxa"/>
            <w:vMerge w:val="continue"/>
            <w:tcBorders>
              <w:tl2br w:val="nil"/>
              <w:tr2bl w:val="nil"/>
            </w:tcBorders>
            <w:tcMar>
              <w:top w:w="57" w:type="dxa"/>
              <w:left w:w="57" w:type="dxa"/>
              <w:bottom w:w="57" w:type="dxa"/>
              <w:right w:w="57" w:type="dxa"/>
            </w:tcMar>
            <w:vAlign w:val="center"/>
          </w:tcPr>
          <w:p>
            <w:pPr>
              <w:adjustRightInd w:val="0"/>
              <w:snapToGrid w:val="0"/>
              <w:jc w:val="left"/>
              <w:rPr>
                <w:rFonts w:ascii="仿宋_GB2312" w:hAnsi="仿宋_GB2312" w:eastAsia="仿宋_GB2312" w:cs="仿宋_GB2312"/>
                <w:color w:val="000000"/>
                <w:sz w:val="21"/>
                <w:szCs w:val="21"/>
              </w:rPr>
            </w:pPr>
          </w:p>
        </w:tc>
        <w:tc>
          <w:tcPr>
            <w:tcW w:w="3737" w:type="dxa"/>
            <w:tcBorders>
              <w:tl2br w:val="nil"/>
              <w:tr2bl w:val="nil"/>
            </w:tcBorders>
            <w:tcMar>
              <w:top w:w="57" w:type="dxa"/>
              <w:left w:w="57" w:type="dxa"/>
              <w:bottom w:w="57" w:type="dxa"/>
              <w:right w:w="57" w:type="dxa"/>
            </w:tcMar>
            <w:vAlign w:val="center"/>
          </w:tcPr>
          <w:p>
            <w:pPr>
              <w:widowControl/>
              <w:adjustRightInd w:val="0"/>
              <w:snapToGrid w:val="0"/>
              <w:jc w:val="left"/>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违法生产经营的农产品货值金额不足一万元的，并处六万五千元以上八万五千元以下罚款，货值金额一万元以上的，并处货值金额十三倍以上十七倍以下罚款；对农户，并处二千元以上三千五百元以下罚款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8" w:hRule="atLeast"/>
          <w:jc w:val="center"/>
        </w:trPr>
        <w:tc>
          <w:tcPr>
            <w:tcW w:w="421" w:type="dxa"/>
            <w:vMerge w:val="continue"/>
            <w:tcBorders>
              <w:tl2br w:val="nil"/>
              <w:tr2bl w:val="nil"/>
            </w:tcBorders>
            <w:tcMar>
              <w:top w:w="57" w:type="dxa"/>
              <w:left w:w="57" w:type="dxa"/>
              <w:bottom w:w="57" w:type="dxa"/>
              <w:right w:w="57" w:type="dxa"/>
            </w:tcMar>
            <w:vAlign w:val="center"/>
          </w:tcPr>
          <w:p>
            <w:pPr>
              <w:adjustRightInd w:val="0"/>
              <w:snapToGrid w:val="0"/>
              <w:jc w:val="left"/>
              <w:rPr>
                <w:rFonts w:ascii="仿宋_GB2312" w:hAnsi="仿宋_GB2312" w:eastAsia="仿宋_GB2312" w:cs="仿宋_GB2312"/>
                <w:color w:val="000000"/>
                <w:sz w:val="24"/>
                <w:szCs w:val="24"/>
              </w:rPr>
            </w:pPr>
          </w:p>
        </w:tc>
        <w:tc>
          <w:tcPr>
            <w:tcW w:w="1098"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3531"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730" w:type="dxa"/>
            <w:tcBorders>
              <w:tl2br w:val="nil"/>
              <w:tr2bl w:val="nil"/>
            </w:tcBorders>
            <w:tcMar>
              <w:top w:w="57" w:type="dxa"/>
              <w:left w:w="57" w:type="dxa"/>
              <w:bottom w:w="57" w:type="dxa"/>
              <w:right w:w="57" w:type="dxa"/>
            </w:tcMar>
            <w:vAlign w:val="center"/>
          </w:tcPr>
          <w:p>
            <w:pPr>
              <w:widowControl/>
              <w:adjustRightInd w:val="0"/>
              <w:snapToGrid w:val="0"/>
              <w:jc w:val="left"/>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较重</w:t>
            </w:r>
          </w:p>
        </w:tc>
        <w:tc>
          <w:tcPr>
            <w:tcW w:w="2378"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具有从重情节的，或者导致食品安全事故的</w:t>
            </w:r>
          </w:p>
        </w:tc>
        <w:tc>
          <w:tcPr>
            <w:tcW w:w="2105" w:type="dxa"/>
            <w:vMerge w:val="continue"/>
            <w:tcBorders>
              <w:tl2br w:val="nil"/>
              <w:tr2bl w:val="nil"/>
            </w:tcBorders>
            <w:tcMar>
              <w:top w:w="57" w:type="dxa"/>
              <w:left w:w="57" w:type="dxa"/>
              <w:bottom w:w="57" w:type="dxa"/>
              <w:right w:w="57" w:type="dxa"/>
            </w:tcMar>
            <w:vAlign w:val="center"/>
          </w:tcPr>
          <w:p>
            <w:pPr>
              <w:adjustRightInd w:val="0"/>
              <w:snapToGrid w:val="0"/>
              <w:jc w:val="left"/>
              <w:rPr>
                <w:rFonts w:ascii="仿宋_GB2312" w:hAnsi="仿宋_GB2312" w:eastAsia="仿宋_GB2312" w:cs="仿宋_GB2312"/>
                <w:color w:val="000000"/>
                <w:sz w:val="21"/>
                <w:szCs w:val="21"/>
              </w:rPr>
            </w:pPr>
          </w:p>
        </w:tc>
        <w:tc>
          <w:tcPr>
            <w:tcW w:w="3737" w:type="dxa"/>
            <w:tcBorders>
              <w:tl2br w:val="nil"/>
              <w:tr2bl w:val="nil"/>
            </w:tcBorders>
            <w:tcMar>
              <w:top w:w="57" w:type="dxa"/>
              <w:left w:w="57" w:type="dxa"/>
              <w:bottom w:w="57" w:type="dxa"/>
              <w:right w:w="57" w:type="dxa"/>
            </w:tcMar>
            <w:vAlign w:val="center"/>
          </w:tcPr>
          <w:p>
            <w:pPr>
              <w:widowControl/>
              <w:adjustRightInd w:val="0"/>
              <w:snapToGrid w:val="0"/>
              <w:jc w:val="left"/>
              <w:textAlignment w:val="center"/>
              <w:rPr>
                <w:rFonts w:ascii="仿宋_GB2312" w:hAnsi="仿宋_GB2312" w:eastAsia="仿宋_GB2312" w:cs="仿宋_GB2312"/>
                <w:color w:val="000000"/>
                <w:sz w:val="21"/>
                <w:szCs w:val="21"/>
              </w:rPr>
            </w:pPr>
            <w:r>
              <w:rPr>
                <w:rStyle w:val="10"/>
                <w:rFonts w:hint="default" w:hAnsi="仿宋_GB2312"/>
                <w:sz w:val="21"/>
                <w:szCs w:val="21"/>
              </w:rPr>
              <w:t>违法生产经营的农产品货值金额不足一万元的，并处八万五千元以上</w:t>
            </w:r>
            <w:r>
              <w:rPr>
                <w:rStyle w:val="15"/>
                <w:rFonts w:hint="default" w:hAnsi="仿宋_GB2312"/>
                <w:b w:val="0"/>
                <w:sz w:val="21"/>
                <w:szCs w:val="21"/>
              </w:rPr>
              <w:t>十</w:t>
            </w:r>
            <w:r>
              <w:rPr>
                <w:rStyle w:val="10"/>
                <w:rFonts w:hint="default" w:hAnsi="仿宋_GB2312"/>
                <w:sz w:val="21"/>
                <w:szCs w:val="21"/>
              </w:rPr>
              <w:t>万元以下罚款，货值金额一万元以上的，并处货值金额十七倍以上二十倍以下罚款；对农户，并处三千五百元以上五千元以下罚款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77" w:hRule="atLeast"/>
          <w:jc w:val="center"/>
        </w:trPr>
        <w:tc>
          <w:tcPr>
            <w:tcW w:w="421" w:type="dxa"/>
            <w:vMerge w:val="restart"/>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13</w:t>
            </w:r>
          </w:p>
        </w:tc>
        <w:tc>
          <w:tcPr>
            <w:tcW w:w="1098" w:type="dxa"/>
            <w:vMerge w:val="restart"/>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农产品生产经营者在农产品生产场所以及生产活动中使用的设施、设备、消毒剂、洗涤剂等不符合国家有关质量安全规定的</w:t>
            </w:r>
          </w:p>
        </w:tc>
        <w:tc>
          <w:tcPr>
            <w:tcW w:w="3531" w:type="dxa"/>
            <w:vMerge w:val="restart"/>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Style w:val="13"/>
                <w:rFonts w:hint="default" w:hAnsi="仿宋_GB2312"/>
                <w:sz w:val="21"/>
                <w:szCs w:val="21"/>
              </w:rPr>
              <w:t>《中华人民共和国农产品质量安全法》第七十二条</w:t>
            </w:r>
            <w:r>
              <w:rPr>
                <w:rStyle w:val="14"/>
                <w:rFonts w:hint="eastAsia" w:ascii="仿宋_GB2312" w:hAnsi="仿宋_GB2312" w:eastAsia="仿宋_GB2312" w:cs="仿宋_GB2312"/>
                <w:sz w:val="21"/>
                <w:szCs w:val="21"/>
              </w:rPr>
              <w:t>  </w:t>
            </w:r>
            <w:r>
              <w:rPr>
                <w:rStyle w:val="13"/>
                <w:rFonts w:hint="default" w:hAnsi="仿宋_GB2312"/>
                <w:sz w:val="21"/>
                <w:szCs w:val="21"/>
              </w:rPr>
              <w:t>违反本法规定，农产品生产经营者有下列行为之一的，由县级以上地方人民政府农业农村主管部门责令停止生产经营、追回已经销售的农产品，对违法生产经营的农产品进行无害化处理或者予以监督销毁，没收违法所得，并可以没收用于违法生产经营的工具、设备、原料等物品；违法生产经营的农产品货值金额不足一万元的，并处五千元以上五万元以下罚款，货值金额一万元以上的，并处货值金额五倍以上十倍以下罚款；对农户，并处三百元以上三千元以下罚款：</w:t>
            </w:r>
            <w:r>
              <w:rPr>
                <w:rStyle w:val="13"/>
                <w:rFonts w:hint="default" w:hAnsi="仿宋_GB2312"/>
                <w:sz w:val="21"/>
                <w:szCs w:val="21"/>
              </w:rPr>
              <w:br w:type="textWrapping"/>
            </w:r>
            <w:r>
              <w:rPr>
                <w:rStyle w:val="13"/>
                <w:rFonts w:hint="default" w:hAnsi="仿宋_GB2312"/>
                <w:sz w:val="21"/>
                <w:szCs w:val="21"/>
              </w:rPr>
              <w:t>（一）在农产品生产场所以及生产活动中使用的设施、设备、消毒剂、洗涤剂等不符合国家有关质量安全规定；</w:t>
            </w:r>
          </w:p>
        </w:tc>
        <w:tc>
          <w:tcPr>
            <w:tcW w:w="730" w:type="dxa"/>
            <w:tcBorders>
              <w:tl2br w:val="nil"/>
              <w:tr2bl w:val="nil"/>
            </w:tcBorders>
            <w:tcMar>
              <w:top w:w="57" w:type="dxa"/>
              <w:left w:w="57" w:type="dxa"/>
              <w:bottom w:w="57" w:type="dxa"/>
              <w:right w:w="57" w:type="dxa"/>
            </w:tcMar>
            <w:vAlign w:val="center"/>
          </w:tcPr>
          <w:p>
            <w:pPr>
              <w:widowControl/>
              <w:adjustRightInd w:val="0"/>
              <w:snapToGrid w:val="0"/>
              <w:jc w:val="left"/>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较轻</w:t>
            </w:r>
          </w:p>
        </w:tc>
        <w:tc>
          <w:tcPr>
            <w:tcW w:w="2378"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应当或可以依法从轻或者减轻处罚情形的</w:t>
            </w:r>
          </w:p>
        </w:tc>
        <w:tc>
          <w:tcPr>
            <w:tcW w:w="2105" w:type="dxa"/>
            <w:vMerge w:val="restart"/>
            <w:tcBorders>
              <w:tl2br w:val="nil"/>
              <w:tr2bl w:val="nil"/>
            </w:tcBorders>
            <w:tcMar>
              <w:top w:w="57" w:type="dxa"/>
              <w:left w:w="57" w:type="dxa"/>
              <w:bottom w:w="57" w:type="dxa"/>
              <w:right w:w="57" w:type="dxa"/>
            </w:tcMar>
            <w:vAlign w:val="center"/>
          </w:tcPr>
          <w:p>
            <w:pPr>
              <w:widowControl/>
              <w:adjustRightInd w:val="0"/>
              <w:snapToGrid w:val="0"/>
              <w:jc w:val="left"/>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责令停止生产经营、追回已经销售的农产品，对违法生产经营的农产品进行无害化处理或者予以监督销毁，没收违法所得，并可以没收用于违法生产经营的工具、设备、原料等物品</w:t>
            </w:r>
          </w:p>
        </w:tc>
        <w:tc>
          <w:tcPr>
            <w:tcW w:w="3737" w:type="dxa"/>
            <w:tcBorders>
              <w:tl2br w:val="nil"/>
              <w:tr2bl w:val="nil"/>
            </w:tcBorders>
            <w:tcMar>
              <w:top w:w="57" w:type="dxa"/>
              <w:left w:w="57" w:type="dxa"/>
              <w:bottom w:w="57" w:type="dxa"/>
              <w:right w:w="57" w:type="dxa"/>
            </w:tcMar>
            <w:vAlign w:val="center"/>
          </w:tcPr>
          <w:p>
            <w:pPr>
              <w:widowControl/>
              <w:adjustRightInd w:val="0"/>
              <w:snapToGrid w:val="0"/>
              <w:jc w:val="left"/>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违法生产经营的农产品货值金额不足一万元的，并处五千元以上二万元以下罚款，货值金额一万元以上的，并处货值金额5倍以上6.5倍以下罚款；对农户，并处三百元以上一千二百元以下罚款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421" w:type="dxa"/>
            <w:vMerge w:val="continue"/>
            <w:tcBorders>
              <w:tl2br w:val="nil"/>
              <w:tr2bl w:val="nil"/>
            </w:tcBorders>
            <w:tcMar>
              <w:top w:w="57" w:type="dxa"/>
              <w:left w:w="57" w:type="dxa"/>
              <w:bottom w:w="57" w:type="dxa"/>
              <w:right w:w="57" w:type="dxa"/>
            </w:tcMar>
            <w:vAlign w:val="center"/>
          </w:tcPr>
          <w:p>
            <w:pPr>
              <w:adjustRightInd w:val="0"/>
              <w:snapToGrid w:val="0"/>
              <w:jc w:val="left"/>
              <w:rPr>
                <w:rFonts w:ascii="仿宋_GB2312" w:hAnsi="仿宋_GB2312" w:eastAsia="仿宋_GB2312" w:cs="仿宋_GB2312"/>
                <w:color w:val="000000"/>
                <w:sz w:val="24"/>
                <w:szCs w:val="24"/>
              </w:rPr>
            </w:pPr>
          </w:p>
        </w:tc>
        <w:tc>
          <w:tcPr>
            <w:tcW w:w="1098"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3531"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730" w:type="dxa"/>
            <w:tcBorders>
              <w:tl2br w:val="nil"/>
              <w:tr2bl w:val="nil"/>
            </w:tcBorders>
            <w:tcMar>
              <w:top w:w="57" w:type="dxa"/>
              <w:left w:w="57" w:type="dxa"/>
              <w:bottom w:w="57" w:type="dxa"/>
              <w:right w:w="57" w:type="dxa"/>
            </w:tcMar>
            <w:vAlign w:val="center"/>
          </w:tcPr>
          <w:p>
            <w:pPr>
              <w:widowControl/>
              <w:adjustRightInd w:val="0"/>
              <w:snapToGrid w:val="0"/>
              <w:jc w:val="left"/>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一般</w:t>
            </w:r>
          </w:p>
        </w:tc>
        <w:tc>
          <w:tcPr>
            <w:tcW w:w="2378"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不具有不予处罚、减轻、从轻、从重等情节的，或者具有多个裁量因素时结合案情综合裁量，可以适用一般情形的</w:t>
            </w:r>
          </w:p>
        </w:tc>
        <w:tc>
          <w:tcPr>
            <w:tcW w:w="2105" w:type="dxa"/>
            <w:vMerge w:val="continue"/>
            <w:tcBorders>
              <w:tl2br w:val="nil"/>
              <w:tr2bl w:val="nil"/>
            </w:tcBorders>
            <w:tcMar>
              <w:top w:w="57" w:type="dxa"/>
              <w:left w:w="57" w:type="dxa"/>
              <w:bottom w:w="57" w:type="dxa"/>
              <w:right w:w="57" w:type="dxa"/>
            </w:tcMar>
            <w:vAlign w:val="center"/>
          </w:tcPr>
          <w:p>
            <w:pPr>
              <w:adjustRightInd w:val="0"/>
              <w:snapToGrid w:val="0"/>
              <w:jc w:val="left"/>
              <w:rPr>
                <w:rFonts w:ascii="仿宋_GB2312" w:hAnsi="仿宋_GB2312" w:eastAsia="仿宋_GB2312" w:cs="仿宋_GB2312"/>
                <w:color w:val="000000"/>
                <w:sz w:val="21"/>
                <w:szCs w:val="21"/>
              </w:rPr>
            </w:pPr>
          </w:p>
        </w:tc>
        <w:tc>
          <w:tcPr>
            <w:tcW w:w="3737" w:type="dxa"/>
            <w:tcBorders>
              <w:tl2br w:val="nil"/>
              <w:tr2bl w:val="nil"/>
            </w:tcBorders>
            <w:tcMar>
              <w:top w:w="57" w:type="dxa"/>
              <w:left w:w="57" w:type="dxa"/>
              <w:bottom w:w="57" w:type="dxa"/>
              <w:right w:w="57" w:type="dxa"/>
            </w:tcMar>
            <w:vAlign w:val="center"/>
          </w:tcPr>
          <w:p>
            <w:pPr>
              <w:widowControl/>
              <w:adjustRightInd w:val="0"/>
              <w:snapToGrid w:val="0"/>
              <w:jc w:val="left"/>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违法生产经营的农产品货值金额不足一万元的，并处二万元以上三万五千元以下罚款，货值金额一万元以上的，并处货值金额6.5倍以上8.5倍以下罚款；对农户，并处一千二百元以上二千一百元以下罚款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1" w:hRule="atLeast"/>
          <w:jc w:val="center"/>
        </w:trPr>
        <w:tc>
          <w:tcPr>
            <w:tcW w:w="421" w:type="dxa"/>
            <w:vMerge w:val="continue"/>
            <w:tcBorders>
              <w:tl2br w:val="nil"/>
              <w:tr2bl w:val="nil"/>
            </w:tcBorders>
            <w:tcMar>
              <w:top w:w="57" w:type="dxa"/>
              <w:left w:w="57" w:type="dxa"/>
              <w:bottom w:w="57" w:type="dxa"/>
              <w:right w:w="57" w:type="dxa"/>
            </w:tcMar>
            <w:vAlign w:val="center"/>
          </w:tcPr>
          <w:p>
            <w:pPr>
              <w:adjustRightInd w:val="0"/>
              <w:snapToGrid w:val="0"/>
              <w:jc w:val="left"/>
              <w:rPr>
                <w:rFonts w:ascii="仿宋_GB2312" w:hAnsi="仿宋_GB2312" w:eastAsia="仿宋_GB2312" w:cs="仿宋_GB2312"/>
                <w:color w:val="000000"/>
                <w:sz w:val="24"/>
                <w:szCs w:val="24"/>
              </w:rPr>
            </w:pPr>
          </w:p>
        </w:tc>
        <w:tc>
          <w:tcPr>
            <w:tcW w:w="1098"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3531"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730" w:type="dxa"/>
            <w:tcBorders>
              <w:tl2br w:val="nil"/>
              <w:tr2bl w:val="nil"/>
            </w:tcBorders>
            <w:tcMar>
              <w:top w:w="57" w:type="dxa"/>
              <w:left w:w="57" w:type="dxa"/>
              <w:bottom w:w="57" w:type="dxa"/>
              <w:right w:w="57" w:type="dxa"/>
            </w:tcMar>
            <w:vAlign w:val="center"/>
          </w:tcPr>
          <w:p>
            <w:pPr>
              <w:widowControl/>
              <w:adjustRightInd w:val="0"/>
              <w:snapToGrid w:val="0"/>
              <w:jc w:val="left"/>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较重</w:t>
            </w:r>
          </w:p>
        </w:tc>
        <w:tc>
          <w:tcPr>
            <w:tcW w:w="2378"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应当依法从重处罚的</w:t>
            </w:r>
          </w:p>
        </w:tc>
        <w:tc>
          <w:tcPr>
            <w:tcW w:w="2105" w:type="dxa"/>
            <w:vMerge w:val="continue"/>
            <w:tcBorders>
              <w:tl2br w:val="nil"/>
              <w:tr2bl w:val="nil"/>
            </w:tcBorders>
            <w:tcMar>
              <w:top w:w="57" w:type="dxa"/>
              <w:left w:w="57" w:type="dxa"/>
              <w:bottom w:w="57" w:type="dxa"/>
              <w:right w:w="57" w:type="dxa"/>
            </w:tcMar>
            <w:vAlign w:val="center"/>
          </w:tcPr>
          <w:p>
            <w:pPr>
              <w:adjustRightInd w:val="0"/>
              <w:snapToGrid w:val="0"/>
              <w:jc w:val="left"/>
              <w:rPr>
                <w:rFonts w:ascii="仿宋_GB2312" w:hAnsi="仿宋_GB2312" w:eastAsia="仿宋_GB2312" w:cs="仿宋_GB2312"/>
                <w:color w:val="000000"/>
                <w:sz w:val="21"/>
                <w:szCs w:val="21"/>
              </w:rPr>
            </w:pPr>
          </w:p>
        </w:tc>
        <w:tc>
          <w:tcPr>
            <w:tcW w:w="3737" w:type="dxa"/>
            <w:tcBorders>
              <w:tl2br w:val="nil"/>
              <w:tr2bl w:val="nil"/>
            </w:tcBorders>
            <w:tcMar>
              <w:top w:w="57" w:type="dxa"/>
              <w:left w:w="57" w:type="dxa"/>
              <w:bottom w:w="57" w:type="dxa"/>
              <w:right w:w="57" w:type="dxa"/>
            </w:tcMar>
            <w:vAlign w:val="center"/>
          </w:tcPr>
          <w:p>
            <w:pPr>
              <w:widowControl/>
              <w:adjustRightInd w:val="0"/>
              <w:snapToGrid w:val="0"/>
              <w:jc w:val="left"/>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违法生产经营的农产品货值金额不足一万元的，并处三万五千元以上五万元以下罚款，货值金额一万元以上的，并处货值金额8.5倍以上10倍以下罚款；对农户，并处二千一百元以上三千元以下罚款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07" w:hRule="atLeast"/>
          <w:jc w:val="center"/>
        </w:trPr>
        <w:tc>
          <w:tcPr>
            <w:tcW w:w="421" w:type="dxa"/>
            <w:vMerge w:val="restart"/>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14</w:t>
            </w:r>
          </w:p>
        </w:tc>
        <w:tc>
          <w:tcPr>
            <w:tcW w:w="1098" w:type="dxa"/>
            <w:vMerge w:val="restart"/>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农产品生产经营者未按照国家有关强制性标准或者其他农产品质量安全规定使用保鲜剂、防腐剂、添加剂、包装材料等，或者使用的保鲜剂、防腐剂、添加剂、包装材料等不符合国家有关强制性标准或者其他质量安全规定的</w:t>
            </w:r>
          </w:p>
        </w:tc>
        <w:tc>
          <w:tcPr>
            <w:tcW w:w="3531" w:type="dxa"/>
            <w:vMerge w:val="restart"/>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Style w:val="13"/>
                <w:rFonts w:hint="default" w:hAnsi="仿宋_GB2312"/>
                <w:sz w:val="21"/>
                <w:szCs w:val="21"/>
              </w:rPr>
              <w:t>《中华人民共和国农产品质量安全法》第七十二条</w:t>
            </w:r>
            <w:r>
              <w:rPr>
                <w:rStyle w:val="14"/>
                <w:rFonts w:hint="eastAsia" w:ascii="仿宋_GB2312" w:hAnsi="仿宋_GB2312" w:eastAsia="仿宋_GB2312" w:cs="仿宋_GB2312"/>
                <w:sz w:val="21"/>
                <w:szCs w:val="21"/>
              </w:rPr>
              <w:t>  </w:t>
            </w:r>
            <w:r>
              <w:rPr>
                <w:rStyle w:val="13"/>
                <w:rFonts w:hint="default" w:hAnsi="仿宋_GB2312"/>
                <w:sz w:val="21"/>
                <w:szCs w:val="21"/>
              </w:rPr>
              <w:t>违反本法规定，农产品生产经营者有下列行为之一的，由县级以上地方人民政府农业农村主管部门责令停止生产经营、追回已经销售的农产品，对违法生产经营的农产品进行无害化处理或者予以监督销毁，没收违法所得，并可以没收用于违法生产经营的工具、设备、原料等物品；违法生产经营的农产品货值金额不足一万元的，并处五千元以上五万元以下罚款，货值金额一万元以上的，并处货值金额五倍以上十倍以下罚款；对农户，并处三百元以上三千元以下罚款：</w:t>
            </w:r>
            <w:r>
              <w:rPr>
                <w:rStyle w:val="13"/>
                <w:rFonts w:hint="default" w:hAnsi="仿宋_GB2312"/>
                <w:sz w:val="21"/>
                <w:szCs w:val="21"/>
              </w:rPr>
              <w:br w:type="textWrapping"/>
            </w:r>
            <w:r>
              <w:rPr>
                <w:rStyle w:val="13"/>
                <w:rFonts w:hint="default" w:hAnsi="仿宋_GB2312"/>
                <w:sz w:val="21"/>
                <w:szCs w:val="21"/>
              </w:rPr>
              <w:t>（二）未按照国家有关强制性标准或者其他农产品质量安全规定使用保鲜剂、防腐剂、添加剂、包装材料等，或者使用的保鲜剂、防腐剂、添加剂、包装材料等不符合国家有关强制性标准或者其他质量安全规定；</w:t>
            </w:r>
          </w:p>
        </w:tc>
        <w:tc>
          <w:tcPr>
            <w:tcW w:w="730" w:type="dxa"/>
            <w:tcBorders>
              <w:tl2br w:val="nil"/>
              <w:tr2bl w:val="nil"/>
            </w:tcBorders>
            <w:tcMar>
              <w:top w:w="57" w:type="dxa"/>
              <w:left w:w="57" w:type="dxa"/>
              <w:bottom w:w="57" w:type="dxa"/>
              <w:right w:w="57" w:type="dxa"/>
            </w:tcMar>
            <w:vAlign w:val="center"/>
          </w:tcPr>
          <w:p>
            <w:pPr>
              <w:widowControl/>
              <w:adjustRightInd w:val="0"/>
              <w:snapToGrid w:val="0"/>
              <w:jc w:val="left"/>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较轻</w:t>
            </w:r>
          </w:p>
        </w:tc>
        <w:tc>
          <w:tcPr>
            <w:tcW w:w="2378"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应当或可以依法从轻或者减轻处罚情形的</w:t>
            </w:r>
          </w:p>
        </w:tc>
        <w:tc>
          <w:tcPr>
            <w:tcW w:w="2105" w:type="dxa"/>
            <w:vMerge w:val="restart"/>
            <w:tcBorders>
              <w:tl2br w:val="nil"/>
              <w:tr2bl w:val="nil"/>
            </w:tcBorders>
            <w:tcMar>
              <w:top w:w="57" w:type="dxa"/>
              <w:left w:w="57" w:type="dxa"/>
              <w:bottom w:w="57" w:type="dxa"/>
              <w:right w:w="57" w:type="dxa"/>
            </w:tcMar>
            <w:vAlign w:val="center"/>
          </w:tcPr>
          <w:p>
            <w:pPr>
              <w:widowControl/>
              <w:adjustRightInd w:val="0"/>
              <w:snapToGrid w:val="0"/>
              <w:jc w:val="left"/>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责令停止生产经营、追回已经销售的农产品，对违法生产经营的农产品进行无害化处理或者予以监督销毁，没收违法所得，并可以没收用于违法生产经营的工具、设备、原料等物品</w:t>
            </w:r>
          </w:p>
        </w:tc>
        <w:tc>
          <w:tcPr>
            <w:tcW w:w="3737" w:type="dxa"/>
            <w:tcBorders>
              <w:tl2br w:val="nil"/>
              <w:tr2bl w:val="nil"/>
            </w:tcBorders>
            <w:tcMar>
              <w:top w:w="57" w:type="dxa"/>
              <w:left w:w="57" w:type="dxa"/>
              <w:bottom w:w="57" w:type="dxa"/>
              <w:right w:w="57" w:type="dxa"/>
            </w:tcMar>
            <w:vAlign w:val="center"/>
          </w:tcPr>
          <w:p>
            <w:pPr>
              <w:widowControl/>
              <w:adjustRightInd w:val="0"/>
              <w:snapToGrid w:val="0"/>
              <w:jc w:val="left"/>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违法生产经营的农产品货值金额不足一万元的，并处五千元以上二万元以下罚款，货值金额一万元以上的，并处货值金额5倍以上6.5倍以下罚款；对农户，并处三百元以上一千二百元以下罚款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88" w:hRule="atLeast"/>
          <w:jc w:val="center"/>
        </w:trPr>
        <w:tc>
          <w:tcPr>
            <w:tcW w:w="421" w:type="dxa"/>
            <w:vMerge w:val="continue"/>
            <w:tcBorders>
              <w:tl2br w:val="nil"/>
              <w:tr2bl w:val="nil"/>
            </w:tcBorders>
            <w:tcMar>
              <w:top w:w="57" w:type="dxa"/>
              <w:left w:w="57" w:type="dxa"/>
              <w:bottom w:w="57" w:type="dxa"/>
              <w:right w:w="57" w:type="dxa"/>
            </w:tcMar>
            <w:vAlign w:val="center"/>
          </w:tcPr>
          <w:p>
            <w:pPr>
              <w:adjustRightInd w:val="0"/>
              <w:snapToGrid w:val="0"/>
              <w:jc w:val="left"/>
              <w:rPr>
                <w:rFonts w:ascii="仿宋_GB2312" w:hAnsi="仿宋_GB2312" w:eastAsia="仿宋_GB2312" w:cs="仿宋_GB2312"/>
                <w:color w:val="000000"/>
                <w:sz w:val="24"/>
                <w:szCs w:val="24"/>
              </w:rPr>
            </w:pPr>
          </w:p>
        </w:tc>
        <w:tc>
          <w:tcPr>
            <w:tcW w:w="1098"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3531"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730" w:type="dxa"/>
            <w:tcBorders>
              <w:tl2br w:val="nil"/>
              <w:tr2bl w:val="nil"/>
            </w:tcBorders>
            <w:tcMar>
              <w:top w:w="57" w:type="dxa"/>
              <w:left w:w="57" w:type="dxa"/>
              <w:bottom w:w="57" w:type="dxa"/>
              <w:right w:w="57" w:type="dxa"/>
            </w:tcMar>
            <w:vAlign w:val="center"/>
          </w:tcPr>
          <w:p>
            <w:pPr>
              <w:widowControl/>
              <w:adjustRightInd w:val="0"/>
              <w:snapToGrid w:val="0"/>
              <w:jc w:val="left"/>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一般</w:t>
            </w:r>
          </w:p>
        </w:tc>
        <w:tc>
          <w:tcPr>
            <w:tcW w:w="2378"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不具有不予处罚、减轻、从轻、从重等情节的，或者具有多个裁量因素时结合案情综合裁量，可以适用一般情形的</w:t>
            </w:r>
          </w:p>
        </w:tc>
        <w:tc>
          <w:tcPr>
            <w:tcW w:w="2105" w:type="dxa"/>
            <w:vMerge w:val="continue"/>
            <w:tcBorders>
              <w:tl2br w:val="nil"/>
              <w:tr2bl w:val="nil"/>
            </w:tcBorders>
            <w:tcMar>
              <w:top w:w="57" w:type="dxa"/>
              <w:left w:w="57" w:type="dxa"/>
              <w:bottom w:w="57" w:type="dxa"/>
              <w:right w:w="57" w:type="dxa"/>
            </w:tcMar>
            <w:vAlign w:val="center"/>
          </w:tcPr>
          <w:p>
            <w:pPr>
              <w:adjustRightInd w:val="0"/>
              <w:snapToGrid w:val="0"/>
              <w:jc w:val="left"/>
              <w:rPr>
                <w:rFonts w:ascii="仿宋_GB2312" w:hAnsi="仿宋_GB2312" w:eastAsia="仿宋_GB2312" w:cs="仿宋_GB2312"/>
                <w:color w:val="000000"/>
                <w:sz w:val="21"/>
                <w:szCs w:val="21"/>
              </w:rPr>
            </w:pPr>
          </w:p>
        </w:tc>
        <w:tc>
          <w:tcPr>
            <w:tcW w:w="3737" w:type="dxa"/>
            <w:tcBorders>
              <w:tl2br w:val="nil"/>
              <w:tr2bl w:val="nil"/>
            </w:tcBorders>
            <w:tcMar>
              <w:top w:w="57" w:type="dxa"/>
              <w:left w:w="57" w:type="dxa"/>
              <w:bottom w:w="57" w:type="dxa"/>
              <w:right w:w="57" w:type="dxa"/>
            </w:tcMar>
            <w:vAlign w:val="center"/>
          </w:tcPr>
          <w:p>
            <w:pPr>
              <w:widowControl/>
              <w:adjustRightInd w:val="0"/>
              <w:snapToGrid w:val="0"/>
              <w:jc w:val="left"/>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违法生产经营的农产品货值金额不足一万元的，并处二万元以上三万五千元以下罚款，货值金额一万元以上的，并处货值金额6.5倍以上8.5倍以下罚款；对农户，并处一千二百元以上二千一百元以下罚款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3" w:hRule="atLeast"/>
          <w:jc w:val="center"/>
        </w:trPr>
        <w:tc>
          <w:tcPr>
            <w:tcW w:w="421" w:type="dxa"/>
            <w:vMerge w:val="continue"/>
            <w:tcBorders>
              <w:tl2br w:val="nil"/>
              <w:tr2bl w:val="nil"/>
            </w:tcBorders>
            <w:tcMar>
              <w:top w:w="57" w:type="dxa"/>
              <w:left w:w="57" w:type="dxa"/>
              <w:bottom w:w="57" w:type="dxa"/>
              <w:right w:w="57" w:type="dxa"/>
            </w:tcMar>
            <w:vAlign w:val="center"/>
          </w:tcPr>
          <w:p>
            <w:pPr>
              <w:adjustRightInd w:val="0"/>
              <w:snapToGrid w:val="0"/>
              <w:jc w:val="left"/>
              <w:rPr>
                <w:rFonts w:ascii="仿宋_GB2312" w:hAnsi="仿宋_GB2312" w:eastAsia="仿宋_GB2312" w:cs="仿宋_GB2312"/>
                <w:color w:val="000000"/>
                <w:sz w:val="24"/>
                <w:szCs w:val="24"/>
              </w:rPr>
            </w:pPr>
          </w:p>
        </w:tc>
        <w:tc>
          <w:tcPr>
            <w:tcW w:w="1098"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3531"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730" w:type="dxa"/>
            <w:tcBorders>
              <w:tl2br w:val="nil"/>
              <w:tr2bl w:val="nil"/>
            </w:tcBorders>
            <w:tcMar>
              <w:top w:w="57" w:type="dxa"/>
              <w:left w:w="57" w:type="dxa"/>
              <w:bottom w:w="57" w:type="dxa"/>
              <w:right w:w="57" w:type="dxa"/>
            </w:tcMar>
            <w:vAlign w:val="center"/>
          </w:tcPr>
          <w:p>
            <w:pPr>
              <w:widowControl/>
              <w:adjustRightInd w:val="0"/>
              <w:snapToGrid w:val="0"/>
              <w:jc w:val="left"/>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较重</w:t>
            </w:r>
          </w:p>
        </w:tc>
        <w:tc>
          <w:tcPr>
            <w:tcW w:w="2378"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应当依法从重处罚的</w:t>
            </w:r>
          </w:p>
        </w:tc>
        <w:tc>
          <w:tcPr>
            <w:tcW w:w="2105" w:type="dxa"/>
            <w:vMerge w:val="continue"/>
            <w:tcBorders>
              <w:tl2br w:val="nil"/>
              <w:tr2bl w:val="nil"/>
            </w:tcBorders>
            <w:tcMar>
              <w:top w:w="57" w:type="dxa"/>
              <w:left w:w="57" w:type="dxa"/>
              <w:bottom w:w="57" w:type="dxa"/>
              <w:right w:w="57" w:type="dxa"/>
            </w:tcMar>
            <w:vAlign w:val="center"/>
          </w:tcPr>
          <w:p>
            <w:pPr>
              <w:adjustRightInd w:val="0"/>
              <w:snapToGrid w:val="0"/>
              <w:jc w:val="left"/>
              <w:rPr>
                <w:rFonts w:ascii="仿宋_GB2312" w:hAnsi="仿宋_GB2312" w:eastAsia="仿宋_GB2312" w:cs="仿宋_GB2312"/>
                <w:color w:val="000000"/>
                <w:sz w:val="21"/>
                <w:szCs w:val="21"/>
              </w:rPr>
            </w:pPr>
          </w:p>
        </w:tc>
        <w:tc>
          <w:tcPr>
            <w:tcW w:w="3737" w:type="dxa"/>
            <w:tcBorders>
              <w:tl2br w:val="nil"/>
              <w:tr2bl w:val="nil"/>
            </w:tcBorders>
            <w:tcMar>
              <w:top w:w="57" w:type="dxa"/>
              <w:left w:w="57" w:type="dxa"/>
              <w:bottom w:w="57" w:type="dxa"/>
              <w:right w:w="57" w:type="dxa"/>
            </w:tcMar>
            <w:vAlign w:val="center"/>
          </w:tcPr>
          <w:p>
            <w:pPr>
              <w:widowControl/>
              <w:adjustRightInd w:val="0"/>
              <w:snapToGrid w:val="0"/>
              <w:jc w:val="left"/>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违法生产经营的农产品货值金额不足一万元的，并处三万五千元以上五万元以下罚款，货值金额一万元以上的，并处货值金额8.5倍以上10倍以下罚款；对农户，并处二千一百元以上三千元以下罚款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88" w:hRule="atLeast"/>
          <w:jc w:val="center"/>
        </w:trPr>
        <w:tc>
          <w:tcPr>
            <w:tcW w:w="421" w:type="dxa"/>
            <w:vMerge w:val="restart"/>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15</w:t>
            </w:r>
          </w:p>
        </w:tc>
        <w:tc>
          <w:tcPr>
            <w:tcW w:w="1098" w:type="dxa"/>
            <w:vMerge w:val="restart"/>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农产品生产经营者将农产品与有毒有害物质一同储存、运输的</w:t>
            </w:r>
          </w:p>
        </w:tc>
        <w:tc>
          <w:tcPr>
            <w:tcW w:w="3531" w:type="dxa"/>
            <w:vMerge w:val="restart"/>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Style w:val="13"/>
                <w:rFonts w:hint="default" w:hAnsi="仿宋_GB2312"/>
                <w:sz w:val="21"/>
                <w:szCs w:val="21"/>
              </w:rPr>
              <w:t>《中华人民共和国农产品质量安全法》第七十二条</w:t>
            </w:r>
            <w:r>
              <w:rPr>
                <w:rStyle w:val="14"/>
                <w:rFonts w:hint="eastAsia" w:ascii="仿宋_GB2312" w:hAnsi="仿宋_GB2312" w:eastAsia="仿宋_GB2312" w:cs="仿宋_GB2312"/>
                <w:sz w:val="21"/>
                <w:szCs w:val="21"/>
              </w:rPr>
              <w:t>  </w:t>
            </w:r>
            <w:r>
              <w:rPr>
                <w:rStyle w:val="13"/>
                <w:rFonts w:hint="default" w:hAnsi="仿宋_GB2312"/>
                <w:sz w:val="21"/>
                <w:szCs w:val="21"/>
              </w:rPr>
              <w:t>违反本法规定，农产品生产经营者有下列行为之一的，由县级以上地方人民政府农业农村主管部门责令停止生产经营、追回已经销售的农产品，对违法生产经营的农产品进行无害化处理或者予以监督销毁，没收违法所得，并可以没收用于违法生产经营的工具、设备、原料等物品；违法生产经营的农产品货值金额不足一万元的，并处五千元以上五万元以下罚款，货值金额一万元以上的，并处货值金额五倍以上十倍以下罚款；对农户，并处三百元以上三千元以下罚款：</w:t>
            </w:r>
            <w:r>
              <w:rPr>
                <w:rStyle w:val="13"/>
                <w:rFonts w:hint="default" w:hAnsi="仿宋_GB2312"/>
                <w:sz w:val="21"/>
                <w:szCs w:val="21"/>
              </w:rPr>
              <w:br w:type="textWrapping"/>
            </w:r>
            <w:r>
              <w:rPr>
                <w:rStyle w:val="13"/>
                <w:rFonts w:hint="default" w:hAnsi="仿宋_GB2312"/>
                <w:sz w:val="21"/>
                <w:szCs w:val="21"/>
              </w:rPr>
              <w:t>（三）将农产品与有毒有害物质一同储存、运输。</w:t>
            </w:r>
          </w:p>
        </w:tc>
        <w:tc>
          <w:tcPr>
            <w:tcW w:w="730" w:type="dxa"/>
            <w:tcBorders>
              <w:tl2br w:val="nil"/>
              <w:tr2bl w:val="nil"/>
            </w:tcBorders>
            <w:tcMar>
              <w:top w:w="57" w:type="dxa"/>
              <w:left w:w="57" w:type="dxa"/>
              <w:bottom w:w="57" w:type="dxa"/>
              <w:right w:w="57" w:type="dxa"/>
            </w:tcMar>
            <w:vAlign w:val="center"/>
          </w:tcPr>
          <w:p>
            <w:pPr>
              <w:widowControl/>
              <w:adjustRightInd w:val="0"/>
              <w:snapToGrid w:val="0"/>
              <w:jc w:val="left"/>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较轻</w:t>
            </w:r>
          </w:p>
        </w:tc>
        <w:tc>
          <w:tcPr>
            <w:tcW w:w="2378"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应当或可以依法从轻或者减轻处罚情形的</w:t>
            </w:r>
          </w:p>
        </w:tc>
        <w:tc>
          <w:tcPr>
            <w:tcW w:w="2105" w:type="dxa"/>
            <w:vMerge w:val="restart"/>
            <w:tcBorders>
              <w:tl2br w:val="nil"/>
              <w:tr2bl w:val="nil"/>
            </w:tcBorders>
            <w:tcMar>
              <w:top w:w="57" w:type="dxa"/>
              <w:left w:w="57" w:type="dxa"/>
              <w:bottom w:w="57" w:type="dxa"/>
              <w:right w:w="57" w:type="dxa"/>
            </w:tcMar>
            <w:vAlign w:val="center"/>
          </w:tcPr>
          <w:p>
            <w:pPr>
              <w:widowControl/>
              <w:adjustRightInd w:val="0"/>
              <w:snapToGrid w:val="0"/>
              <w:jc w:val="left"/>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责令停止生产经营、追回已经销售的农产品，对违法生产经营的农产品进行无害化处理或者予以监督销毁，没收违法所得，并可以没收用于违法生产经营的工具、设备、原料等物品</w:t>
            </w:r>
          </w:p>
        </w:tc>
        <w:tc>
          <w:tcPr>
            <w:tcW w:w="3737" w:type="dxa"/>
            <w:tcBorders>
              <w:tl2br w:val="nil"/>
              <w:tr2bl w:val="nil"/>
            </w:tcBorders>
            <w:tcMar>
              <w:top w:w="57" w:type="dxa"/>
              <w:left w:w="57" w:type="dxa"/>
              <w:bottom w:w="57" w:type="dxa"/>
              <w:right w:w="57" w:type="dxa"/>
            </w:tcMar>
            <w:vAlign w:val="center"/>
          </w:tcPr>
          <w:p>
            <w:pPr>
              <w:widowControl/>
              <w:adjustRightInd w:val="0"/>
              <w:snapToGrid w:val="0"/>
              <w:jc w:val="left"/>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违法生产经营的农产品货值金额不足一万元的，并处五千元以上二万元以下罚款，货值金额一万元以上的，并处货值金额5倍以上6.5倍以下罚款；对农户，并处三百元以上一千二百元以下罚款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06" w:hRule="atLeast"/>
          <w:jc w:val="center"/>
        </w:trPr>
        <w:tc>
          <w:tcPr>
            <w:tcW w:w="421" w:type="dxa"/>
            <w:vMerge w:val="continue"/>
            <w:tcBorders>
              <w:tl2br w:val="nil"/>
              <w:tr2bl w:val="nil"/>
            </w:tcBorders>
            <w:tcMar>
              <w:top w:w="57" w:type="dxa"/>
              <w:left w:w="57" w:type="dxa"/>
              <w:bottom w:w="57" w:type="dxa"/>
              <w:right w:w="57" w:type="dxa"/>
            </w:tcMar>
            <w:vAlign w:val="center"/>
          </w:tcPr>
          <w:p>
            <w:pPr>
              <w:adjustRightInd w:val="0"/>
              <w:snapToGrid w:val="0"/>
              <w:jc w:val="left"/>
              <w:rPr>
                <w:rFonts w:ascii="仿宋_GB2312" w:hAnsi="仿宋_GB2312" w:eastAsia="仿宋_GB2312" w:cs="仿宋_GB2312"/>
                <w:color w:val="000000"/>
                <w:sz w:val="24"/>
                <w:szCs w:val="24"/>
              </w:rPr>
            </w:pPr>
          </w:p>
        </w:tc>
        <w:tc>
          <w:tcPr>
            <w:tcW w:w="1098"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3531"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730" w:type="dxa"/>
            <w:tcBorders>
              <w:tl2br w:val="nil"/>
              <w:tr2bl w:val="nil"/>
            </w:tcBorders>
            <w:tcMar>
              <w:top w:w="57" w:type="dxa"/>
              <w:left w:w="57" w:type="dxa"/>
              <w:bottom w:w="57" w:type="dxa"/>
              <w:right w:w="57" w:type="dxa"/>
            </w:tcMar>
            <w:vAlign w:val="center"/>
          </w:tcPr>
          <w:p>
            <w:pPr>
              <w:widowControl/>
              <w:adjustRightInd w:val="0"/>
              <w:snapToGrid w:val="0"/>
              <w:jc w:val="left"/>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一般</w:t>
            </w:r>
          </w:p>
        </w:tc>
        <w:tc>
          <w:tcPr>
            <w:tcW w:w="2378"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不具有不予处罚、减轻、从轻、从重等情节的，或者具有多个裁量因素时结合案情综合裁量，可以适用一般情形的</w:t>
            </w:r>
          </w:p>
        </w:tc>
        <w:tc>
          <w:tcPr>
            <w:tcW w:w="2105" w:type="dxa"/>
            <w:vMerge w:val="continue"/>
            <w:tcBorders>
              <w:tl2br w:val="nil"/>
              <w:tr2bl w:val="nil"/>
            </w:tcBorders>
            <w:tcMar>
              <w:top w:w="57" w:type="dxa"/>
              <w:left w:w="57" w:type="dxa"/>
              <w:bottom w:w="57" w:type="dxa"/>
              <w:right w:w="57" w:type="dxa"/>
            </w:tcMar>
            <w:vAlign w:val="center"/>
          </w:tcPr>
          <w:p>
            <w:pPr>
              <w:adjustRightInd w:val="0"/>
              <w:snapToGrid w:val="0"/>
              <w:jc w:val="left"/>
              <w:rPr>
                <w:rFonts w:ascii="仿宋_GB2312" w:hAnsi="仿宋_GB2312" w:eastAsia="仿宋_GB2312" w:cs="仿宋_GB2312"/>
                <w:color w:val="000000"/>
                <w:sz w:val="21"/>
                <w:szCs w:val="21"/>
              </w:rPr>
            </w:pPr>
          </w:p>
        </w:tc>
        <w:tc>
          <w:tcPr>
            <w:tcW w:w="3737" w:type="dxa"/>
            <w:tcBorders>
              <w:tl2br w:val="nil"/>
              <w:tr2bl w:val="nil"/>
            </w:tcBorders>
            <w:tcMar>
              <w:top w:w="57" w:type="dxa"/>
              <w:left w:w="57" w:type="dxa"/>
              <w:bottom w:w="57" w:type="dxa"/>
              <w:right w:w="57" w:type="dxa"/>
            </w:tcMar>
            <w:vAlign w:val="center"/>
          </w:tcPr>
          <w:p>
            <w:pPr>
              <w:widowControl/>
              <w:adjustRightInd w:val="0"/>
              <w:snapToGrid w:val="0"/>
              <w:jc w:val="left"/>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违法生产经营的农产品货值金额不足一万元的，并处二万元以上三万五千元以下罚款，货值金额一万元以上的，并处货值金额6.5倍以上8.5倍以下罚款；对农户，并处一千二百元以上二千一百元以下罚款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8" w:hRule="atLeast"/>
          <w:jc w:val="center"/>
        </w:trPr>
        <w:tc>
          <w:tcPr>
            <w:tcW w:w="421" w:type="dxa"/>
            <w:vMerge w:val="continue"/>
            <w:tcBorders>
              <w:tl2br w:val="nil"/>
              <w:tr2bl w:val="nil"/>
            </w:tcBorders>
            <w:tcMar>
              <w:top w:w="57" w:type="dxa"/>
              <w:left w:w="57" w:type="dxa"/>
              <w:bottom w:w="57" w:type="dxa"/>
              <w:right w:w="57" w:type="dxa"/>
            </w:tcMar>
            <w:vAlign w:val="center"/>
          </w:tcPr>
          <w:p>
            <w:pPr>
              <w:adjustRightInd w:val="0"/>
              <w:snapToGrid w:val="0"/>
              <w:jc w:val="left"/>
              <w:rPr>
                <w:rFonts w:ascii="仿宋_GB2312" w:hAnsi="仿宋_GB2312" w:eastAsia="仿宋_GB2312" w:cs="仿宋_GB2312"/>
                <w:color w:val="000000"/>
                <w:sz w:val="24"/>
                <w:szCs w:val="24"/>
              </w:rPr>
            </w:pPr>
          </w:p>
        </w:tc>
        <w:tc>
          <w:tcPr>
            <w:tcW w:w="1098"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3531"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730" w:type="dxa"/>
            <w:tcBorders>
              <w:tl2br w:val="nil"/>
              <w:tr2bl w:val="nil"/>
            </w:tcBorders>
            <w:tcMar>
              <w:top w:w="57" w:type="dxa"/>
              <w:left w:w="57" w:type="dxa"/>
              <w:bottom w:w="57" w:type="dxa"/>
              <w:right w:w="57" w:type="dxa"/>
            </w:tcMar>
            <w:vAlign w:val="center"/>
          </w:tcPr>
          <w:p>
            <w:pPr>
              <w:widowControl/>
              <w:adjustRightInd w:val="0"/>
              <w:snapToGrid w:val="0"/>
              <w:jc w:val="left"/>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较重</w:t>
            </w:r>
          </w:p>
        </w:tc>
        <w:tc>
          <w:tcPr>
            <w:tcW w:w="2378"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应当依法从重处罚的</w:t>
            </w:r>
          </w:p>
        </w:tc>
        <w:tc>
          <w:tcPr>
            <w:tcW w:w="2105" w:type="dxa"/>
            <w:vMerge w:val="continue"/>
            <w:tcBorders>
              <w:tl2br w:val="nil"/>
              <w:tr2bl w:val="nil"/>
            </w:tcBorders>
            <w:tcMar>
              <w:top w:w="57" w:type="dxa"/>
              <w:left w:w="57" w:type="dxa"/>
              <w:bottom w:w="57" w:type="dxa"/>
              <w:right w:w="57" w:type="dxa"/>
            </w:tcMar>
            <w:vAlign w:val="center"/>
          </w:tcPr>
          <w:p>
            <w:pPr>
              <w:adjustRightInd w:val="0"/>
              <w:snapToGrid w:val="0"/>
              <w:jc w:val="left"/>
              <w:rPr>
                <w:rFonts w:ascii="仿宋_GB2312" w:hAnsi="仿宋_GB2312" w:eastAsia="仿宋_GB2312" w:cs="仿宋_GB2312"/>
                <w:color w:val="000000"/>
                <w:sz w:val="21"/>
                <w:szCs w:val="21"/>
              </w:rPr>
            </w:pPr>
          </w:p>
        </w:tc>
        <w:tc>
          <w:tcPr>
            <w:tcW w:w="3737" w:type="dxa"/>
            <w:tcBorders>
              <w:tl2br w:val="nil"/>
              <w:tr2bl w:val="nil"/>
            </w:tcBorders>
            <w:tcMar>
              <w:top w:w="57" w:type="dxa"/>
              <w:left w:w="57" w:type="dxa"/>
              <w:bottom w:w="57" w:type="dxa"/>
              <w:right w:w="57" w:type="dxa"/>
            </w:tcMar>
            <w:vAlign w:val="center"/>
          </w:tcPr>
          <w:p>
            <w:pPr>
              <w:widowControl/>
              <w:adjustRightInd w:val="0"/>
              <w:snapToGrid w:val="0"/>
              <w:jc w:val="left"/>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违法生产经营的农产品货值金额不足一万元的，并处三万五千元以上五万元以下罚款，货值金额一万元以上的，并处货值金额8.5倍以上10倍以下罚款；对农户，并处二千一百元以上三千元以下罚款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1" w:hRule="atLeast"/>
          <w:jc w:val="center"/>
        </w:trPr>
        <w:tc>
          <w:tcPr>
            <w:tcW w:w="421" w:type="dxa"/>
            <w:vMerge w:val="restart"/>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16</w:t>
            </w:r>
          </w:p>
        </w:tc>
        <w:tc>
          <w:tcPr>
            <w:tcW w:w="1098" w:type="dxa"/>
            <w:vMerge w:val="restart"/>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农产品生产企业、农民专业合作社、从事农产品收购的单位或者个人未按照规定开具承诺达标合格证</w:t>
            </w:r>
          </w:p>
        </w:tc>
        <w:tc>
          <w:tcPr>
            <w:tcW w:w="3531" w:type="dxa"/>
            <w:vMerge w:val="restart"/>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Style w:val="13"/>
                <w:rFonts w:hint="default" w:hAnsi="仿宋_GB2312"/>
                <w:sz w:val="21"/>
                <w:szCs w:val="21"/>
              </w:rPr>
              <w:t>《中华人民共和国农产品质量安全法》第七十三条</w:t>
            </w:r>
            <w:r>
              <w:rPr>
                <w:rStyle w:val="14"/>
                <w:rFonts w:hint="eastAsia" w:ascii="仿宋_GB2312" w:hAnsi="仿宋_GB2312" w:eastAsia="仿宋_GB2312" w:cs="仿宋_GB2312"/>
                <w:sz w:val="21"/>
                <w:szCs w:val="21"/>
              </w:rPr>
              <w:t>  </w:t>
            </w:r>
            <w:r>
              <w:rPr>
                <w:rStyle w:val="13"/>
                <w:rFonts w:hint="default" w:hAnsi="仿宋_GB2312"/>
                <w:sz w:val="21"/>
                <w:szCs w:val="21"/>
              </w:rPr>
              <w:t>违反本法规定，有下列行为之一的，由县级以上地方人民政府农业农村主管部门按照职责给予批评教育，责令限期改正；逾期不改正的，处一百元以上一千元以下罚款：</w:t>
            </w:r>
            <w:r>
              <w:rPr>
                <w:rStyle w:val="13"/>
                <w:rFonts w:hint="default" w:hAnsi="仿宋_GB2312"/>
                <w:sz w:val="21"/>
                <w:szCs w:val="21"/>
              </w:rPr>
              <w:br w:type="textWrapping"/>
            </w:r>
            <w:r>
              <w:rPr>
                <w:rStyle w:val="13"/>
                <w:rFonts w:hint="default" w:hAnsi="仿宋_GB2312"/>
                <w:sz w:val="21"/>
                <w:szCs w:val="21"/>
              </w:rPr>
              <w:t>（一）农产品生产企业、农民专业合作社、从事农产品收购的单位或者个人未按照规定开具承诺达标合格证；</w:t>
            </w:r>
          </w:p>
        </w:tc>
        <w:tc>
          <w:tcPr>
            <w:tcW w:w="730" w:type="dxa"/>
            <w:tcBorders>
              <w:tl2br w:val="nil"/>
              <w:tr2bl w:val="nil"/>
            </w:tcBorders>
            <w:tcMar>
              <w:top w:w="57" w:type="dxa"/>
              <w:left w:w="57" w:type="dxa"/>
              <w:bottom w:w="57" w:type="dxa"/>
              <w:right w:w="57" w:type="dxa"/>
            </w:tcMar>
            <w:vAlign w:val="center"/>
          </w:tcPr>
          <w:p>
            <w:pPr>
              <w:widowControl/>
              <w:adjustRightInd w:val="0"/>
              <w:snapToGrid w:val="0"/>
              <w:jc w:val="left"/>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较轻</w:t>
            </w:r>
          </w:p>
        </w:tc>
        <w:tc>
          <w:tcPr>
            <w:tcW w:w="2378"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应当或可以依法从轻或者减轻处罚情形的</w:t>
            </w:r>
          </w:p>
        </w:tc>
        <w:tc>
          <w:tcPr>
            <w:tcW w:w="2105" w:type="dxa"/>
            <w:vMerge w:val="restart"/>
            <w:tcBorders>
              <w:tl2br w:val="nil"/>
              <w:tr2bl w:val="nil"/>
            </w:tcBorders>
            <w:tcMar>
              <w:top w:w="57" w:type="dxa"/>
              <w:left w:w="57" w:type="dxa"/>
              <w:bottom w:w="57" w:type="dxa"/>
              <w:right w:w="57" w:type="dxa"/>
            </w:tcMar>
            <w:vAlign w:val="center"/>
          </w:tcPr>
          <w:p>
            <w:pPr>
              <w:widowControl/>
              <w:adjustRightInd w:val="0"/>
              <w:snapToGrid w:val="0"/>
              <w:jc w:val="left"/>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给予批评教育，责令限期改正，逾期不改正的</w:t>
            </w:r>
          </w:p>
        </w:tc>
        <w:tc>
          <w:tcPr>
            <w:tcW w:w="3737" w:type="dxa"/>
            <w:tcBorders>
              <w:tl2br w:val="nil"/>
              <w:tr2bl w:val="nil"/>
            </w:tcBorders>
            <w:tcMar>
              <w:top w:w="57" w:type="dxa"/>
              <w:left w:w="57" w:type="dxa"/>
              <w:bottom w:w="57" w:type="dxa"/>
              <w:right w:w="57" w:type="dxa"/>
            </w:tcMar>
            <w:vAlign w:val="center"/>
          </w:tcPr>
          <w:p>
            <w:pPr>
              <w:widowControl/>
              <w:adjustRightInd w:val="0"/>
              <w:snapToGrid w:val="0"/>
              <w:jc w:val="left"/>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处一百元以上四百元以下罚款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35" w:hRule="atLeast"/>
          <w:jc w:val="center"/>
        </w:trPr>
        <w:tc>
          <w:tcPr>
            <w:tcW w:w="421" w:type="dxa"/>
            <w:vMerge w:val="continue"/>
            <w:tcBorders>
              <w:tl2br w:val="nil"/>
              <w:tr2bl w:val="nil"/>
            </w:tcBorders>
            <w:tcMar>
              <w:top w:w="57" w:type="dxa"/>
              <w:left w:w="57" w:type="dxa"/>
              <w:bottom w:w="57" w:type="dxa"/>
              <w:right w:w="57" w:type="dxa"/>
            </w:tcMar>
            <w:vAlign w:val="center"/>
          </w:tcPr>
          <w:p>
            <w:pPr>
              <w:adjustRightInd w:val="0"/>
              <w:snapToGrid w:val="0"/>
              <w:jc w:val="center"/>
              <w:rPr>
                <w:rFonts w:ascii="仿宋_GB2312" w:hAnsi="仿宋_GB2312" w:eastAsia="仿宋_GB2312" w:cs="仿宋_GB2312"/>
                <w:color w:val="000000"/>
                <w:sz w:val="24"/>
                <w:szCs w:val="24"/>
              </w:rPr>
            </w:pPr>
          </w:p>
        </w:tc>
        <w:tc>
          <w:tcPr>
            <w:tcW w:w="1098"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3531"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730" w:type="dxa"/>
            <w:tcBorders>
              <w:tl2br w:val="nil"/>
              <w:tr2bl w:val="nil"/>
            </w:tcBorders>
            <w:tcMar>
              <w:top w:w="57" w:type="dxa"/>
              <w:left w:w="57" w:type="dxa"/>
              <w:bottom w:w="57" w:type="dxa"/>
              <w:right w:w="57" w:type="dxa"/>
            </w:tcMar>
            <w:vAlign w:val="center"/>
          </w:tcPr>
          <w:p>
            <w:pPr>
              <w:widowControl/>
              <w:adjustRightInd w:val="0"/>
              <w:snapToGrid w:val="0"/>
              <w:jc w:val="left"/>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一般</w:t>
            </w:r>
          </w:p>
        </w:tc>
        <w:tc>
          <w:tcPr>
            <w:tcW w:w="2378"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不具有不予处罚、减轻、从轻、从重等情节的，或者具有多个裁量因素时结合案情综合裁量，可以适用一般情形的</w:t>
            </w:r>
          </w:p>
        </w:tc>
        <w:tc>
          <w:tcPr>
            <w:tcW w:w="2105" w:type="dxa"/>
            <w:vMerge w:val="continue"/>
            <w:tcBorders>
              <w:tl2br w:val="nil"/>
              <w:tr2bl w:val="nil"/>
            </w:tcBorders>
            <w:tcMar>
              <w:top w:w="57" w:type="dxa"/>
              <w:left w:w="57" w:type="dxa"/>
              <w:bottom w:w="57" w:type="dxa"/>
              <w:right w:w="57" w:type="dxa"/>
            </w:tcMar>
            <w:vAlign w:val="center"/>
          </w:tcPr>
          <w:p>
            <w:pPr>
              <w:adjustRightInd w:val="0"/>
              <w:snapToGrid w:val="0"/>
              <w:jc w:val="left"/>
              <w:rPr>
                <w:rFonts w:ascii="仿宋_GB2312" w:hAnsi="仿宋_GB2312" w:eastAsia="仿宋_GB2312" w:cs="仿宋_GB2312"/>
                <w:color w:val="000000"/>
                <w:sz w:val="21"/>
                <w:szCs w:val="21"/>
              </w:rPr>
            </w:pPr>
          </w:p>
        </w:tc>
        <w:tc>
          <w:tcPr>
            <w:tcW w:w="3737" w:type="dxa"/>
            <w:tcBorders>
              <w:tl2br w:val="nil"/>
              <w:tr2bl w:val="nil"/>
            </w:tcBorders>
            <w:tcMar>
              <w:top w:w="57" w:type="dxa"/>
              <w:left w:w="57" w:type="dxa"/>
              <w:bottom w:w="57" w:type="dxa"/>
              <w:right w:w="57" w:type="dxa"/>
            </w:tcMar>
            <w:vAlign w:val="center"/>
          </w:tcPr>
          <w:p>
            <w:pPr>
              <w:widowControl/>
              <w:adjustRightInd w:val="0"/>
              <w:snapToGrid w:val="0"/>
              <w:jc w:val="left"/>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处四百元以上七百元以下罚款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1" w:hRule="atLeast"/>
          <w:jc w:val="center"/>
        </w:trPr>
        <w:tc>
          <w:tcPr>
            <w:tcW w:w="421" w:type="dxa"/>
            <w:vMerge w:val="continue"/>
            <w:tcBorders>
              <w:tl2br w:val="nil"/>
              <w:tr2bl w:val="nil"/>
            </w:tcBorders>
            <w:tcMar>
              <w:top w:w="57" w:type="dxa"/>
              <w:left w:w="57" w:type="dxa"/>
              <w:bottom w:w="57" w:type="dxa"/>
              <w:right w:w="57" w:type="dxa"/>
            </w:tcMar>
            <w:vAlign w:val="center"/>
          </w:tcPr>
          <w:p>
            <w:pPr>
              <w:adjustRightInd w:val="0"/>
              <w:snapToGrid w:val="0"/>
              <w:jc w:val="center"/>
              <w:rPr>
                <w:rFonts w:ascii="仿宋_GB2312" w:hAnsi="仿宋_GB2312" w:eastAsia="仿宋_GB2312" w:cs="仿宋_GB2312"/>
                <w:color w:val="000000"/>
                <w:sz w:val="24"/>
                <w:szCs w:val="24"/>
              </w:rPr>
            </w:pPr>
          </w:p>
        </w:tc>
        <w:tc>
          <w:tcPr>
            <w:tcW w:w="1098"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3531"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730" w:type="dxa"/>
            <w:tcBorders>
              <w:tl2br w:val="nil"/>
              <w:tr2bl w:val="nil"/>
            </w:tcBorders>
            <w:tcMar>
              <w:top w:w="57" w:type="dxa"/>
              <w:left w:w="57" w:type="dxa"/>
              <w:bottom w:w="57" w:type="dxa"/>
              <w:right w:w="57" w:type="dxa"/>
            </w:tcMar>
            <w:vAlign w:val="center"/>
          </w:tcPr>
          <w:p>
            <w:pPr>
              <w:widowControl/>
              <w:adjustRightInd w:val="0"/>
              <w:snapToGrid w:val="0"/>
              <w:jc w:val="left"/>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较重</w:t>
            </w:r>
          </w:p>
        </w:tc>
        <w:tc>
          <w:tcPr>
            <w:tcW w:w="2378"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应当依法从重处罚的</w:t>
            </w:r>
          </w:p>
        </w:tc>
        <w:tc>
          <w:tcPr>
            <w:tcW w:w="2105" w:type="dxa"/>
            <w:vMerge w:val="continue"/>
            <w:tcBorders>
              <w:tl2br w:val="nil"/>
              <w:tr2bl w:val="nil"/>
            </w:tcBorders>
            <w:tcMar>
              <w:top w:w="57" w:type="dxa"/>
              <w:left w:w="57" w:type="dxa"/>
              <w:bottom w:w="57" w:type="dxa"/>
              <w:right w:w="57" w:type="dxa"/>
            </w:tcMar>
            <w:vAlign w:val="center"/>
          </w:tcPr>
          <w:p>
            <w:pPr>
              <w:adjustRightInd w:val="0"/>
              <w:snapToGrid w:val="0"/>
              <w:jc w:val="left"/>
              <w:rPr>
                <w:rFonts w:ascii="仿宋_GB2312" w:hAnsi="仿宋_GB2312" w:eastAsia="仿宋_GB2312" w:cs="仿宋_GB2312"/>
                <w:color w:val="000000"/>
                <w:sz w:val="21"/>
                <w:szCs w:val="21"/>
              </w:rPr>
            </w:pPr>
          </w:p>
        </w:tc>
        <w:tc>
          <w:tcPr>
            <w:tcW w:w="3737" w:type="dxa"/>
            <w:tcBorders>
              <w:tl2br w:val="nil"/>
              <w:tr2bl w:val="nil"/>
            </w:tcBorders>
            <w:tcMar>
              <w:top w:w="57" w:type="dxa"/>
              <w:left w:w="57" w:type="dxa"/>
              <w:bottom w:w="57" w:type="dxa"/>
              <w:right w:w="57" w:type="dxa"/>
            </w:tcMar>
            <w:vAlign w:val="center"/>
          </w:tcPr>
          <w:p>
            <w:pPr>
              <w:widowControl/>
              <w:adjustRightInd w:val="0"/>
              <w:snapToGrid w:val="0"/>
              <w:jc w:val="left"/>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处七百元以上一千元以下罚款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1" w:hRule="atLeast"/>
          <w:jc w:val="center"/>
        </w:trPr>
        <w:tc>
          <w:tcPr>
            <w:tcW w:w="421" w:type="dxa"/>
            <w:vMerge w:val="restart"/>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17</w:t>
            </w:r>
          </w:p>
        </w:tc>
        <w:tc>
          <w:tcPr>
            <w:tcW w:w="1098" w:type="dxa"/>
            <w:vMerge w:val="restart"/>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从事农产品收购的单位或者个人未按照规定收取、保存承诺达标合格证或者其他合格证明</w:t>
            </w:r>
          </w:p>
        </w:tc>
        <w:tc>
          <w:tcPr>
            <w:tcW w:w="3531" w:type="dxa"/>
            <w:vMerge w:val="restart"/>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Style w:val="13"/>
                <w:rFonts w:hint="default" w:hAnsi="仿宋_GB2312"/>
                <w:sz w:val="21"/>
                <w:szCs w:val="21"/>
              </w:rPr>
              <w:t>《中华人民共和国农产品质量安全法》第七十三条</w:t>
            </w:r>
            <w:r>
              <w:rPr>
                <w:rStyle w:val="14"/>
                <w:rFonts w:hint="eastAsia" w:ascii="仿宋_GB2312" w:hAnsi="仿宋_GB2312" w:eastAsia="仿宋_GB2312" w:cs="仿宋_GB2312"/>
                <w:sz w:val="21"/>
                <w:szCs w:val="21"/>
              </w:rPr>
              <w:t>  </w:t>
            </w:r>
            <w:r>
              <w:rPr>
                <w:rStyle w:val="13"/>
                <w:rFonts w:hint="default" w:hAnsi="仿宋_GB2312"/>
                <w:sz w:val="21"/>
                <w:szCs w:val="21"/>
              </w:rPr>
              <w:t>违反本法规定，有下列行为之一的，由县级以上地方人民政府农业农村主管部门按照职责给予批评教育，责令限期改正；逾期不改正的，处一百元以上一千元以下罚款：</w:t>
            </w:r>
            <w:r>
              <w:rPr>
                <w:rStyle w:val="13"/>
                <w:rFonts w:hint="default" w:hAnsi="仿宋_GB2312"/>
                <w:sz w:val="21"/>
                <w:szCs w:val="21"/>
              </w:rPr>
              <w:br w:type="textWrapping"/>
            </w:r>
            <w:r>
              <w:rPr>
                <w:rStyle w:val="13"/>
                <w:rFonts w:hint="default" w:hAnsi="仿宋_GB2312"/>
                <w:sz w:val="21"/>
                <w:szCs w:val="21"/>
              </w:rPr>
              <w:t>（二）从事农产品收购的单位或者个人未按照规定收取、保存承诺达标合格证或者其他合格证明。</w:t>
            </w:r>
          </w:p>
        </w:tc>
        <w:tc>
          <w:tcPr>
            <w:tcW w:w="730" w:type="dxa"/>
            <w:tcBorders>
              <w:tl2br w:val="nil"/>
              <w:tr2bl w:val="nil"/>
            </w:tcBorders>
            <w:tcMar>
              <w:top w:w="57" w:type="dxa"/>
              <w:left w:w="57" w:type="dxa"/>
              <w:bottom w:w="57" w:type="dxa"/>
              <w:right w:w="57" w:type="dxa"/>
            </w:tcMar>
            <w:vAlign w:val="center"/>
          </w:tcPr>
          <w:p>
            <w:pPr>
              <w:widowControl/>
              <w:adjustRightInd w:val="0"/>
              <w:snapToGrid w:val="0"/>
              <w:jc w:val="left"/>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较轻</w:t>
            </w:r>
          </w:p>
        </w:tc>
        <w:tc>
          <w:tcPr>
            <w:tcW w:w="2378"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应当或可以依法从轻或者减轻处罚情形的</w:t>
            </w:r>
          </w:p>
        </w:tc>
        <w:tc>
          <w:tcPr>
            <w:tcW w:w="2105" w:type="dxa"/>
            <w:vMerge w:val="restart"/>
            <w:tcBorders>
              <w:tl2br w:val="nil"/>
              <w:tr2bl w:val="nil"/>
            </w:tcBorders>
            <w:tcMar>
              <w:top w:w="57" w:type="dxa"/>
              <w:left w:w="57" w:type="dxa"/>
              <w:bottom w:w="57" w:type="dxa"/>
              <w:right w:w="57" w:type="dxa"/>
            </w:tcMar>
            <w:vAlign w:val="center"/>
          </w:tcPr>
          <w:p>
            <w:pPr>
              <w:widowControl/>
              <w:adjustRightInd w:val="0"/>
              <w:snapToGrid w:val="0"/>
              <w:jc w:val="left"/>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给予批评教育，责令限期改正，逾期不改正的</w:t>
            </w:r>
          </w:p>
        </w:tc>
        <w:tc>
          <w:tcPr>
            <w:tcW w:w="3737" w:type="dxa"/>
            <w:tcBorders>
              <w:tl2br w:val="nil"/>
              <w:tr2bl w:val="nil"/>
            </w:tcBorders>
            <w:tcMar>
              <w:top w:w="57" w:type="dxa"/>
              <w:left w:w="57" w:type="dxa"/>
              <w:bottom w:w="57" w:type="dxa"/>
              <w:right w:w="57" w:type="dxa"/>
            </w:tcMar>
            <w:vAlign w:val="center"/>
          </w:tcPr>
          <w:p>
            <w:pPr>
              <w:widowControl/>
              <w:adjustRightInd w:val="0"/>
              <w:snapToGrid w:val="0"/>
              <w:jc w:val="left"/>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处一百元以上四百元以下罚款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6" w:hRule="atLeast"/>
          <w:jc w:val="center"/>
        </w:trPr>
        <w:tc>
          <w:tcPr>
            <w:tcW w:w="421" w:type="dxa"/>
            <w:vMerge w:val="continue"/>
            <w:tcBorders>
              <w:tl2br w:val="nil"/>
              <w:tr2bl w:val="nil"/>
            </w:tcBorders>
            <w:tcMar>
              <w:top w:w="57" w:type="dxa"/>
              <w:left w:w="57" w:type="dxa"/>
              <w:bottom w:w="57" w:type="dxa"/>
              <w:right w:w="57" w:type="dxa"/>
            </w:tcMar>
            <w:vAlign w:val="center"/>
          </w:tcPr>
          <w:p>
            <w:pPr>
              <w:adjustRightInd w:val="0"/>
              <w:snapToGrid w:val="0"/>
              <w:jc w:val="center"/>
              <w:rPr>
                <w:rFonts w:ascii="仿宋_GB2312" w:hAnsi="仿宋_GB2312" w:eastAsia="仿宋_GB2312" w:cs="仿宋_GB2312"/>
                <w:color w:val="000000"/>
                <w:sz w:val="24"/>
                <w:szCs w:val="24"/>
              </w:rPr>
            </w:pPr>
          </w:p>
        </w:tc>
        <w:tc>
          <w:tcPr>
            <w:tcW w:w="1098"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3531"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730" w:type="dxa"/>
            <w:tcBorders>
              <w:tl2br w:val="nil"/>
              <w:tr2bl w:val="nil"/>
            </w:tcBorders>
            <w:tcMar>
              <w:top w:w="57" w:type="dxa"/>
              <w:left w:w="57" w:type="dxa"/>
              <w:bottom w:w="57" w:type="dxa"/>
              <w:right w:w="57" w:type="dxa"/>
            </w:tcMar>
            <w:vAlign w:val="center"/>
          </w:tcPr>
          <w:p>
            <w:pPr>
              <w:widowControl/>
              <w:adjustRightInd w:val="0"/>
              <w:snapToGrid w:val="0"/>
              <w:jc w:val="left"/>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一般</w:t>
            </w:r>
          </w:p>
        </w:tc>
        <w:tc>
          <w:tcPr>
            <w:tcW w:w="2378"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不具有不予处罚、减轻、从轻、从重等情节的，或者具有多个裁量因素时结合案情综合裁量，可以适用一般情形的</w:t>
            </w:r>
          </w:p>
        </w:tc>
        <w:tc>
          <w:tcPr>
            <w:tcW w:w="2105" w:type="dxa"/>
            <w:vMerge w:val="continue"/>
            <w:tcBorders>
              <w:tl2br w:val="nil"/>
              <w:tr2bl w:val="nil"/>
            </w:tcBorders>
            <w:tcMar>
              <w:top w:w="57" w:type="dxa"/>
              <w:left w:w="57" w:type="dxa"/>
              <w:bottom w:w="57" w:type="dxa"/>
              <w:right w:w="57" w:type="dxa"/>
            </w:tcMar>
            <w:vAlign w:val="center"/>
          </w:tcPr>
          <w:p>
            <w:pPr>
              <w:adjustRightInd w:val="0"/>
              <w:snapToGrid w:val="0"/>
              <w:jc w:val="left"/>
              <w:rPr>
                <w:rFonts w:ascii="仿宋_GB2312" w:hAnsi="仿宋_GB2312" w:eastAsia="仿宋_GB2312" w:cs="仿宋_GB2312"/>
                <w:color w:val="000000"/>
                <w:sz w:val="21"/>
                <w:szCs w:val="21"/>
              </w:rPr>
            </w:pPr>
          </w:p>
        </w:tc>
        <w:tc>
          <w:tcPr>
            <w:tcW w:w="3737" w:type="dxa"/>
            <w:tcBorders>
              <w:tl2br w:val="nil"/>
              <w:tr2bl w:val="nil"/>
            </w:tcBorders>
            <w:tcMar>
              <w:top w:w="57" w:type="dxa"/>
              <w:left w:w="57" w:type="dxa"/>
              <w:bottom w:w="57" w:type="dxa"/>
              <w:right w:w="57" w:type="dxa"/>
            </w:tcMar>
            <w:vAlign w:val="center"/>
          </w:tcPr>
          <w:p>
            <w:pPr>
              <w:widowControl/>
              <w:adjustRightInd w:val="0"/>
              <w:snapToGrid w:val="0"/>
              <w:jc w:val="left"/>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处四百元以上七百元以下罚款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1" w:hRule="atLeast"/>
          <w:jc w:val="center"/>
        </w:trPr>
        <w:tc>
          <w:tcPr>
            <w:tcW w:w="421" w:type="dxa"/>
            <w:vMerge w:val="continue"/>
            <w:tcBorders>
              <w:tl2br w:val="nil"/>
              <w:tr2bl w:val="nil"/>
            </w:tcBorders>
            <w:tcMar>
              <w:top w:w="57" w:type="dxa"/>
              <w:left w:w="57" w:type="dxa"/>
              <w:bottom w:w="57" w:type="dxa"/>
              <w:right w:w="57" w:type="dxa"/>
            </w:tcMar>
            <w:vAlign w:val="center"/>
          </w:tcPr>
          <w:p>
            <w:pPr>
              <w:adjustRightInd w:val="0"/>
              <w:snapToGrid w:val="0"/>
              <w:jc w:val="center"/>
              <w:rPr>
                <w:rFonts w:ascii="仿宋_GB2312" w:hAnsi="仿宋_GB2312" w:eastAsia="仿宋_GB2312" w:cs="仿宋_GB2312"/>
                <w:color w:val="000000"/>
                <w:sz w:val="24"/>
                <w:szCs w:val="24"/>
              </w:rPr>
            </w:pPr>
          </w:p>
        </w:tc>
        <w:tc>
          <w:tcPr>
            <w:tcW w:w="1098"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3531"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730" w:type="dxa"/>
            <w:tcBorders>
              <w:tl2br w:val="nil"/>
              <w:tr2bl w:val="nil"/>
            </w:tcBorders>
            <w:tcMar>
              <w:top w:w="57" w:type="dxa"/>
              <w:left w:w="57" w:type="dxa"/>
              <w:bottom w:w="57" w:type="dxa"/>
              <w:right w:w="57" w:type="dxa"/>
            </w:tcMar>
            <w:vAlign w:val="center"/>
          </w:tcPr>
          <w:p>
            <w:pPr>
              <w:widowControl/>
              <w:adjustRightInd w:val="0"/>
              <w:snapToGrid w:val="0"/>
              <w:jc w:val="left"/>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较重</w:t>
            </w:r>
          </w:p>
        </w:tc>
        <w:tc>
          <w:tcPr>
            <w:tcW w:w="2378"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应当依法从重处罚的</w:t>
            </w:r>
          </w:p>
        </w:tc>
        <w:tc>
          <w:tcPr>
            <w:tcW w:w="2105" w:type="dxa"/>
            <w:vMerge w:val="continue"/>
            <w:tcBorders>
              <w:tl2br w:val="nil"/>
              <w:tr2bl w:val="nil"/>
            </w:tcBorders>
            <w:tcMar>
              <w:top w:w="57" w:type="dxa"/>
              <w:left w:w="57" w:type="dxa"/>
              <w:bottom w:w="57" w:type="dxa"/>
              <w:right w:w="57" w:type="dxa"/>
            </w:tcMar>
            <w:vAlign w:val="center"/>
          </w:tcPr>
          <w:p>
            <w:pPr>
              <w:adjustRightInd w:val="0"/>
              <w:snapToGrid w:val="0"/>
              <w:jc w:val="left"/>
              <w:rPr>
                <w:rFonts w:ascii="仿宋_GB2312" w:hAnsi="仿宋_GB2312" w:eastAsia="仿宋_GB2312" w:cs="仿宋_GB2312"/>
                <w:color w:val="000000"/>
                <w:sz w:val="21"/>
                <w:szCs w:val="21"/>
              </w:rPr>
            </w:pPr>
          </w:p>
        </w:tc>
        <w:tc>
          <w:tcPr>
            <w:tcW w:w="3737" w:type="dxa"/>
            <w:tcBorders>
              <w:tl2br w:val="nil"/>
              <w:tr2bl w:val="nil"/>
            </w:tcBorders>
            <w:tcMar>
              <w:top w:w="57" w:type="dxa"/>
              <w:left w:w="57" w:type="dxa"/>
              <w:bottom w:w="57" w:type="dxa"/>
              <w:right w:w="57" w:type="dxa"/>
            </w:tcMar>
            <w:vAlign w:val="center"/>
          </w:tcPr>
          <w:p>
            <w:pPr>
              <w:widowControl/>
              <w:adjustRightInd w:val="0"/>
              <w:snapToGrid w:val="0"/>
              <w:jc w:val="left"/>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处七百元以上一千元以下罚款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58" w:hRule="atLeast"/>
          <w:jc w:val="center"/>
        </w:trPr>
        <w:tc>
          <w:tcPr>
            <w:tcW w:w="421" w:type="dxa"/>
            <w:vMerge w:val="restart"/>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18</w:t>
            </w:r>
          </w:p>
        </w:tc>
        <w:tc>
          <w:tcPr>
            <w:tcW w:w="1098" w:type="dxa"/>
            <w:vMerge w:val="restart"/>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Style w:val="14"/>
                <w:rFonts w:hint="eastAsia" w:ascii="仿宋_GB2312" w:hAnsi="仿宋_GB2312" w:eastAsia="仿宋_GB2312" w:cs="仿宋_GB2312"/>
                <w:sz w:val="21"/>
                <w:szCs w:val="21"/>
              </w:rPr>
              <w:t> </w:t>
            </w:r>
            <w:r>
              <w:rPr>
                <w:rStyle w:val="13"/>
                <w:rFonts w:hint="default" w:hAnsi="仿宋_GB2312"/>
                <w:sz w:val="21"/>
                <w:szCs w:val="21"/>
              </w:rPr>
              <w:t>农产品生产经营者冒用农产品质量标志，或者销售冒用农产品质量标志的农产品的</w:t>
            </w:r>
          </w:p>
        </w:tc>
        <w:tc>
          <w:tcPr>
            <w:tcW w:w="3531" w:type="dxa"/>
            <w:vMerge w:val="restart"/>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Style w:val="13"/>
                <w:rFonts w:hint="default" w:hAnsi="仿宋_GB2312"/>
                <w:sz w:val="21"/>
                <w:szCs w:val="21"/>
              </w:rPr>
              <w:t>《中华人民共和国农产品质量安全法》第七十四条</w:t>
            </w:r>
            <w:r>
              <w:rPr>
                <w:rStyle w:val="14"/>
                <w:rFonts w:hint="eastAsia" w:ascii="仿宋_GB2312" w:hAnsi="仿宋_GB2312" w:eastAsia="仿宋_GB2312" w:cs="仿宋_GB2312"/>
                <w:sz w:val="21"/>
                <w:szCs w:val="21"/>
              </w:rPr>
              <w:t>  </w:t>
            </w:r>
            <w:r>
              <w:rPr>
                <w:rStyle w:val="13"/>
                <w:rFonts w:hint="default" w:hAnsi="仿宋_GB2312"/>
                <w:sz w:val="21"/>
                <w:szCs w:val="21"/>
              </w:rPr>
              <w:t>农产品生产经营者冒用农产品质量标志，或者销售冒用农产品质量标志的农产品的，由县级以上地方人民政府农业农村主管部门按照职责责令改正，没收违法所得；违法生产经营的农产品货值金额不足五千元的，并处五千元以上五万元以下罚款，货值金额五千元以上的，并处货值金额十倍以上二十倍以下罚款。</w:t>
            </w:r>
          </w:p>
        </w:tc>
        <w:tc>
          <w:tcPr>
            <w:tcW w:w="730" w:type="dxa"/>
            <w:tcBorders>
              <w:tl2br w:val="nil"/>
              <w:tr2bl w:val="nil"/>
            </w:tcBorders>
            <w:tcMar>
              <w:top w:w="57" w:type="dxa"/>
              <w:left w:w="57" w:type="dxa"/>
              <w:bottom w:w="57" w:type="dxa"/>
              <w:right w:w="57" w:type="dxa"/>
            </w:tcMar>
            <w:vAlign w:val="center"/>
          </w:tcPr>
          <w:p>
            <w:pPr>
              <w:widowControl/>
              <w:adjustRightInd w:val="0"/>
              <w:snapToGrid w:val="0"/>
              <w:jc w:val="left"/>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较轻</w:t>
            </w:r>
          </w:p>
        </w:tc>
        <w:tc>
          <w:tcPr>
            <w:tcW w:w="2378"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应当或可以依法从轻或者减轻处罚情形的</w:t>
            </w:r>
          </w:p>
        </w:tc>
        <w:tc>
          <w:tcPr>
            <w:tcW w:w="2105" w:type="dxa"/>
            <w:vMerge w:val="restart"/>
            <w:tcBorders>
              <w:tl2br w:val="nil"/>
              <w:tr2bl w:val="nil"/>
            </w:tcBorders>
            <w:tcMar>
              <w:top w:w="57" w:type="dxa"/>
              <w:left w:w="57" w:type="dxa"/>
              <w:bottom w:w="57" w:type="dxa"/>
              <w:right w:w="57" w:type="dxa"/>
            </w:tcMar>
            <w:vAlign w:val="center"/>
          </w:tcPr>
          <w:p>
            <w:pPr>
              <w:widowControl/>
              <w:adjustRightInd w:val="0"/>
              <w:snapToGrid w:val="0"/>
              <w:jc w:val="left"/>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责令改正，没收违法所得</w:t>
            </w:r>
          </w:p>
        </w:tc>
        <w:tc>
          <w:tcPr>
            <w:tcW w:w="3737" w:type="dxa"/>
            <w:tcBorders>
              <w:tl2br w:val="nil"/>
              <w:tr2bl w:val="nil"/>
            </w:tcBorders>
            <w:tcMar>
              <w:top w:w="57" w:type="dxa"/>
              <w:left w:w="57" w:type="dxa"/>
              <w:bottom w:w="57" w:type="dxa"/>
              <w:right w:w="57" w:type="dxa"/>
            </w:tcMar>
            <w:vAlign w:val="center"/>
          </w:tcPr>
          <w:p>
            <w:pPr>
              <w:widowControl/>
              <w:adjustRightInd w:val="0"/>
              <w:snapToGrid w:val="0"/>
              <w:jc w:val="left"/>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违法生产经营的农产品货值金额不足五千元的，并处五千元以上二万元以下罚款，货值金额五千元以上的，并处货值金额十倍以上十三倍以下罚款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421" w:type="dxa"/>
            <w:vMerge w:val="continue"/>
            <w:tcBorders>
              <w:tl2br w:val="nil"/>
              <w:tr2bl w:val="nil"/>
            </w:tcBorders>
            <w:tcMar>
              <w:top w:w="57" w:type="dxa"/>
              <w:left w:w="57" w:type="dxa"/>
              <w:bottom w:w="57" w:type="dxa"/>
              <w:right w:w="57" w:type="dxa"/>
            </w:tcMar>
            <w:vAlign w:val="center"/>
          </w:tcPr>
          <w:p>
            <w:pPr>
              <w:adjustRightInd w:val="0"/>
              <w:snapToGrid w:val="0"/>
              <w:jc w:val="left"/>
              <w:rPr>
                <w:rFonts w:ascii="仿宋_GB2312" w:hAnsi="仿宋_GB2312" w:eastAsia="仿宋_GB2312" w:cs="仿宋_GB2312"/>
                <w:color w:val="000000"/>
                <w:sz w:val="24"/>
                <w:szCs w:val="24"/>
              </w:rPr>
            </w:pPr>
          </w:p>
        </w:tc>
        <w:tc>
          <w:tcPr>
            <w:tcW w:w="1098"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3531"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730" w:type="dxa"/>
            <w:tcBorders>
              <w:tl2br w:val="nil"/>
              <w:tr2bl w:val="nil"/>
            </w:tcBorders>
            <w:tcMar>
              <w:top w:w="57" w:type="dxa"/>
              <w:left w:w="57" w:type="dxa"/>
              <w:bottom w:w="57" w:type="dxa"/>
              <w:right w:w="57" w:type="dxa"/>
            </w:tcMar>
            <w:vAlign w:val="center"/>
          </w:tcPr>
          <w:p>
            <w:pPr>
              <w:widowControl/>
              <w:adjustRightInd w:val="0"/>
              <w:snapToGrid w:val="0"/>
              <w:jc w:val="left"/>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一般</w:t>
            </w:r>
          </w:p>
        </w:tc>
        <w:tc>
          <w:tcPr>
            <w:tcW w:w="2378"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不具有不予处罚、减轻、从轻、从重等情节的，或者具有多个裁量因素时结合案情综合裁量，可以适用一般情形的</w:t>
            </w:r>
          </w:p>
        </w:tc>
        <w:tc>
          <w:tcPr>
            <w:tcW w:w="2105" w:type="dxa"/>
            <w:vMerge w:val="continue"/>
            <w:tcBorders>
              <w:tl2br w:val="nil"/>
              <w:tr2bl w:val="nil"/>
            </w:tcBorders>
            <w:tcMar>
              <w:top w:w="57" w:type="dxa"/>
              <w:left w:w="57" w:type="dxa"/>
              <w:bottom w:w="57" w:type="dxa"/>
              <w:right w:w="57" w:type="dxa"/>
            </w:tcMar>
            <w:vAlign w:val="center"/>
          </w:tcPr>
          <w:p>
            <w:pPr>
              <w:adjustRightInd w:val="0"/>
              <w:snapToGrid w:val="0"/>
              <w:jc w:val="left"/>
              <w:rPr>
                <w:rFonts w:ascii="仿宋_GB2312" w:hAnsi="仿宋_GB2312" w:eastAsia="仿宋_GB2312" w:cs="仿宋_GB2312"/>
                <w:color w:val="000000"/>
                <w:sz w:val="21"/>
                <w:szCs w:val="21"/>
              </w:rPr>
            </w:pPr>
          </w:p>
        </w:tc>
        <w:tc>
          <w:tcPr>
            <w:tcW w:w="3737" w:type="dxa"/>
            <w:tcBorders>
              <w:tl2br w:val="nil"/>
              <w:tr2bl w:val="nil"/>
            </w:tcBorders>
            <w:tcMar>
              <w:top w:w="57" w:type="dxa"/>
              <w:left w:w="57" w:type="dxa"/>
              <w:bottom w:w="57" w:type="dxa"/>
              <w:right w:w="57" w:type="dxa"/>
            </w:tcMar>
            <w:vAlign w:val="center"/>
          </w:tcPr>
          <w:p>
            <w:pPr>
              <w:widowControl/>
              <w:adjustRightInd w:val="0"/>
              <w:snapToGrid w:val="0"/>
              <w:jc w:val="left"/>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违法生产经营的农产品货值金额不足五千元的，并处二万元以上三万五千元以下罚款，货值金额五千元以上的，并处货值金额十三倍以上十七倍以下罚款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6" w:hRule="atLeast"/>
          <w:jc w:val="center"/>
        </w:trPr>
        <w:tc>
          <w:tcPr>
            <w:tcW w:w="421" w:type="dxa"/>
            <w:vMerge w:val="continue"/>
            <w:tcBorders>
              <w:tl2br w:val="nil"/>
              <w:tr2bl w:val="nil"/>
            </w:tcBorders>
            <w:tcMar>
              <w:top w:w="57" w:type="dxa"/>
              <w:left w:w="57" w:type="dxa"/>
              <w:bottom w:w="57" w:type="dxa"/>
              <w:right w:w="57" w:type="dxa"/>
            </w:tcMar>
            <w:vAlign w:val="center"/>
          </w:tcPr>
          <w:p>
            <w:pPr>
              <w:adjustRightInd w:val="0"/>
              <w:snapToGrid w:val="0"/>
              <w:jc w:val="left"/>
              <w:rPr>
                <w:rFonts w:ascii="仿宋_GB2312" w:hAnsi="仿宋_GB2312" w:eastAsia="仿宋_GB2312" w:cs="仿宋_GB2312"/>
                <w:color w:val="000000"/>
                <w:sz w:val="24"/>
                <w:szCs w:val="24"/>
              </w:rPr>
            </w:pPr>
          </w:p>
        </w:tc>
        <w:tc>
          <w:tcPr>
            <w:tcW w:w="1098"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3531"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730" w:type="dxa"/>
            <w:tcBorders>
              <w:tl2br w:val="nil"/>
              <w:tr2bl w:val="nil"/>
            </w:tcBorders>
            <w:tcMar>
              <w:top w:w="57" w:type="dxa"/>
              <w:left w:w="57" w:type="dxa"/>
              <w:bottom w:w="57" w:type="dxa"/>
              <w:right w:w="57" w:type="dxa"/>
            </w:tcMar>
            <w:vAlign w:val="center"/>
          </w:tcPr>
          <w:p>
            <w:pPr>
              <w:widowControl/>
              <w:adjustRightInd w:val="0"/>
              <w:snapToGrid w:val="0"/>
              <w:jc w:val="left"/>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较重</w:t>
            </w:r>
          </w:p>
        </w:tc>
        <w:tc>
          <w:tcPr>
            <w:tcW w:w="2378"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应当依法从重处罚的</w:t>
            </w:r>
          </w:p>
        </w:tc>
        <w:tc>
          <w:tcPr>
            <w:tcW w:w="2105" w:type="dxa"/>
            <w:vMerge w:val="continue"/>
            <w:tcBorders>
              <w:tl2br w:val="nil"/>
              <w:tr2bl w:val="nil"/>
            </w:tcBorders>
            <w:tcMar>
              <w:top w:w="57" w:type="dxa"/>
              <w:left w:w="57" w:type="dxa"/>
              <w:bottom w:w="57" w:type="dxa"/>
              <w:right w:w="57" w:type="dxa"/>
            </w:tcMar>
            <w:vAlign w:val="center"/>
          </w:tcPr>
          <w:p>
            <w:pPr>
              <w:adjustRightInd w:val="0"/>
              <w:snapToGrid w:val="0"/>
              <w:jc w:val="left"/>
              <w:rPr>
                <w:rFonts w:ascii="仿宋_GB2312" w:hAnsi="仿宋_GB2312" w:eastAsia="仿宋_GB2312" w:cs="仿宋_GB2312"/>
                <w:color w:val="000000"/>
                <w:sz w:val="21"/>
                <w:szCs w:val="21"/>
              </w:rPr>
            </w:pPr>
          </w:p>
        </w:tc>
        <w:tc>
          <w:tcPr>
            <w:tcW w:w="3737" w:type="dxa"/>
            <w:tcBorders>
              <w:tl2br w:val="nil"/>
              <w:tr2bl w:val="nil"/>
            </w:tcBorders>
            <w:tcMar>
              <w:top w:w="57" w:type="dxa"/>
              <w:left w:w="57" w:type="dxa"/>
              <w:bottom w:w="57" w:type="dxa"/>
              <w:right w:w="57" w:type="dxa"/>
            </w:tcMar>
            <w:vAlign w:val="center"/>
          </w:tcPr>
          <w:p>
            <w:pPr>
              <w:widowControl/>
              <w:adjustRightInd w:val="0"/>
              <w:snapToGrid w:val="0"/>
              <w:jc w:val="left"/>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违法生产经营的农产品货值金额不足五千元的，并处三万五千元以上五万元以下罚款，货值金额五千元以上的，并处货值金额十七倍以上二十倍以下罚款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7" w:hRule="atLeast"/>
          <w:jc w:val="center"/>
        </w:trPr>
        <w:tc>
          <w:tcPr>
            <w:tcW w:w="421" w:type="dxa"/>
            <w:vMerge w:val="restart"/>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19</w:t>
            </w:r>
          </w:p>
        </w:tc>
        <w:tc>
          <w:tcPr>
            <w:tcW w:w="1098" w:type="dxa"/>
            <w:vMerge w:val="restart"/>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违反本法关于农产品质量安全追溯规定的</w:t>
            </w:r>
          </w:p>
        </w:tc>
        <w:tc>
          <w:tcPr>
            <w:tcW w:w="3531" w:type="dxa"/>
            <w:vMerge w:val="restart"/>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Style w:val="10"/>
                <w:rFonts w:hint="default" w:hAnsi="仿宋_GB2312"/>
                <w:sz w:val="21"/>
                <w:szCs w:val="21"/>
              </w:rPr>
              <w:t>《中华人民共和国农产品质量安全法》第七十五条</w:t>
            </w:r>
            <w:r>
              <w:rPr>
                <w:rStyle w:val="12"/>
                <w:rFonts w:hint="eastAsia" w:ascii="仿宋_GB2312" w:hAnsi="仿宋_GB2312" w:eastAsia="仿宋_GB2312" w:cs="仿宋_GB2312"/>
                <w:sz w:val="21"/>
                <w:szCs w:val="21"/>
              </w:rPr>
              <w:t>  </w:t>
            </w:r>
            <w:r>
              <w:rPr>
                <w:rStyle w:val="10"/>
                <w:rFonts w:hint="default" w:hAnsi="仿宋_GB2312"/>
                <w:sz w:val="21"/>
                <w:szCs w:val="21"/>
              </w:rPr>
              <w:t>违反本法关于农产品质量安全追溯规定的，由县级以上地方人民政府农业农村主管部门按照职责责令限期改正；逾期不改正的，可以处一万元以下罚款。</w:t>
            </w:r>
          </w:p>
        </w:tc>
        <w:tc>
          <w:tcPr>
            <w:tcW w:w="730" w:type="dxa"/>
            <w:tcBorders>
              <w:tl2br w:val="nil"/>
              <w:tr2bl w:val="nil"/>
            </w:tcBorders>
            <w:tcMar>
              <w:top w:w="57" w:type="dxa"/>
              <w:left w:w="57" w:type="dxa"/>
              <w:bottom w:w="57" w:type="dxa"/>
              <w:right w:w="57" w:type="dxa"/>
            </w:tcMar>
            <w:vAlign w:val="center"/>
          </w:tcPr>
          <w:p>
            <w:pPr>
              <w:widowControl/>
              <w:adjustRightInd w:val="0"/>
              <w:snapToGrid w:val="0"/>
              <w:jc w:val="left"/>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较轻</w:t>
            </w:r>
          </w:p>
        </w:tc>
        <w:tc>
          <w:tcPr>
            <w:tcW w:w="2378"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逾期改正不到位的</w:t>
            </w:r>
          </w:p>
        </w:tc>
        <w:tc>
          <w:tcPr>
            <w:tcW w:w="2105" w:type="dxa"/>
            <w:vMerge w:val="restart"/>
            <w:tcBorders>
              <w:tl2br w:val="nil"/>
              <w:tr2bl w:val="nil"/>
            </w:tcBorders>
            <w:tcMar>
              <w:top w:w="57" w:type="dxa"/>
              <w:left w:w="57" w:type="dxa"/>
              <w:bottom w:w="57" w:type="dxa"/>
              <w:right w:w="57" w:type="dxa"/>
            </w:tcMar>
            <w:vAlign w:val="center"/>
          </w:tcPr>
          <w:p>
            <w:pPr>
              <w:widowControl/>
              <w:adjustRightInd w:val="0"/>
              <w:snapToGrid w:val="0"/>
              <w:jc w:val="left"/>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责令限期改正，逾期不改正的</w:t>
            </w:r>
          </w:p>
        </w:tc>
        <w:tc>
          <w:tcPr>
            <w:tcW w:w="3737" w:type="dxa"/>
            <w:tcBorders>
              <w:tl2br w:val="nil"/>
              <w:tr2bl w:val="nil"/>
            </w:tcBorders>
            <w:tcMar>
              <w:top w:w="57" w:type="dxa"/>
              <w:left w:w="57" w:type="dxa"/>
              <w:bottom w:w="57" w:type="dxa"/>
              <w:right w:w="57" w:type="dxa"/>
            </w:tcMar>
            <w:vAlign w:val="center"/>
          </w:tcPr>
          <w:p>
            <w:pPr>
              <w:widowControl/>
              <w:adjustRightInd w:val="0"/>
              <w:snapToGrid w:val="0"/>
              <w:jc w:val="left"/>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可处三千元以下罚款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jc w:val="center"/>
        </w:trPr>
        <w:tc>
          <w:tcPr>
            <w:tcW w:w="421" w:type="dxa"/>
            <w:vMerge w:val="continue"/>
            <w:tcBorders>
              <w:tl2br w:val="nil"/>
              <w:tr2bl w:val="nil"/>
            </w:tcBorders>
            <w:tcMar>
              <w:top w:w="57" w:type="dxa"/>
              <w:left w:w="57" w:type="dxa"/>
              <w:bottom w:w="57" w:type="dxa"/>
              <w:right w:w="57" w:type="dxa"/>
            </w:tcMar>
            <w:vAlign w:val="center"/>
          </w:tcPr>
          <w:p>
            <w:pPr>
              <w:adjustRightInd w:val="0"/>
              <w:snapToGrid w:val="0"/>
              <w:jc w:val="center"/>
              <w:rPr>
                <w:rFonts w:ascii="仿宋_GB2312" w:hAnsi="仿宋_GB2312" w:eastAsia="仿宋_GB2312" w:cs="仿宋_GB2312"/>
                <w:color w:val="000000"/>
                <w:sz w:val="24"/>
                <w:szCs w:val="24"/>
              </w:rPr>
            </w:pPr>
          </w:p>
        </w:tc>
        <w:tc>
          <w:tcPr>
            <w:tcW w:w="1098"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3531"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730" w:type="dxa"/>
            <w:tcBorders>
              <w:tl2br w:val="nil"/>
              <w:tr2bl w:val="nil"/>
            </w:tcBorders>
            <w:tcMar>
              <w:top w:w="57" w:type="dxa"/>
              <w:left w:w="57" w:type="dxa"/>
              <w:bottom w:w="57" w:type="dxa"/>
              <w:right w:w="57" w:type="dxa"/>
            </w:tcMar>
            <w:vAlign w:val="center"/>
          </w:tcPr>
          <w:p>
            <w:pPr>
              <w:widowControl/>
              <w:adjustRightInd w:val="0"/>
              <w:snapToGrid w:val="0"/>
              <w:jc w:val="left"/>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一般</w:t>
            </w:r>
          </w:p>
        </w:tc>
        <w:tc>
          <w:tcPr>
            <w:tcW w:w="2378"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在责令改正期限内未改正的</w:t>
            </w:r>
          </w:p>
        </w:tc>
        <w:tc>
          <w:tcPr>
            <w:tcW w:w="2105" w:type="dxa"/>
            <w:vMerge w:val="continue"/>
            <w:tcBorders>
              <w:tl2br w:val="nil"/>
              <w:tr2bl w:val="nil"/>
            </w:tcBorders>
            <w:tcMar>
              <w:top w:w="57" w:type="dxa"/>
              <w:left w:w="57" w:type="dxa"/>
              <w:bottom w:w="57" w:type="dxa"/>
              <w:right w:w="57" w:type="dxa"/>
            </w:tcMar>
            <w:vAlign w:val="center"/>
          </w:tcPr>
          <w:p>
            <w:pPr>
              <w:adjustRightInd w:val="0"/>
              <w:snapToGrid w:val="0"/>
              <w:jc w:val="left"/>
              <w:rPr>
                <w:rFonts w:ascii="仿宋_GB2312" w:hAnsi="仿宋_GB2312" w:eastAsia="仿宋_GB2312" w:cs="仿宋_GB2312"/>
                <w:color w:val="000000"/>
                <w:sz w:val="21"/>
                <w:szCs w:val="21"/>
              </w:rPr>
            </w:pPr>
          </w:p>
        </w:tc>
        <w:tc>
          <w:tcPr>
            <w:tcW w:w="3737" w:type="dxa"/>
            <w:tcBorders>
              <w:tl2br w:val="nil"/>
              <w:tr2bl w:val="nil"/>
            </w:tcBorders>
            <w:tcMar>
              <w:top w:w="57" w:type="dxa"/>
              <w:left w:w="57" w:type="dxa"/>
              <w:bottom w:w="57" w:type="dxa"/>
              <w:right w:w="57" w:type="dxa"/>
            </w:tcMar>
            <w:vAlign w:val="center"/>
          </w:tcPr>
          <w:p>
            <w:pPr>
              <w:widowControl/>
              <w:adjustRightInd w:val="0"/>
              <w:snapToGrid w:val="0"/>
              <w:jc w:val="left"/>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可处三千元以上六千元以下罚款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7" w:hRule="atLeast"/>
          <w:jc w:val="center"/>
        </w:trPr>
        <w:tc>
          <w:tcPr>
            <w:tcW w:w="421" w:type="dxa"/>
            <w:vMerge w:val="continue"/>
            <w:tcBorders>
              <w:tl2br w:val="nil"/>
              <w:tr2bl w:val="nil"/>
            </w:tcBorders>
            <w:tcMar>
              <w:top w:w="57" w:type="dxa"/>
              <w:left w:w="57" w:type="dxa"/>
              <w:bottom w:w="57" w:type="dxa"/>
              <w:right w:w="57" w:type="dxa"/>
            </w:tcMar>
            <w:vAlign w:val="center"/>
          </w:tcPr>
          <w:p>
            <w:pPr>
              <w:adjustRightInd w:val="0"/>
              <w:snapToGrid w:val="0"/>
              <w:jc w:val="center"/>
              <w:rPr>
                <w:rFonts w:ascii="仿宋_GB2312" w:hAnsi="仿宋_GB2312" w:eastAsia="仿宋_GB2312" w:cs="仿宋_GB2312"/>
                <w:color w:val="000000"/>
                <w:sz w:val="24"/>
                <w:szCs w:val="24"/>
              </w:rPr>
            </w:pPr>
          </w:p>
        </w:tc>
        <w:tc>
          <w:tcPr>
            <w:tcW w:w="1098"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3531"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730" w:type="dxa"/>
            <w:tcBorders>
              <w:tl2br w:val="nil"/>
              <w:tr2bl w:val="nil"/>
            </w:tcBorders>
            <w:tcMar>
              <w:top w:w="57" w:type="dxa"/>
              <w:left w:w="57" w:type="dxa"/>
              <w:bottom w:w="57" w:type="dxa"/>
              <w:right w:w="57" w:type="dxa"/>
            </w:tcMar>
            <w:vAlign w:val="center"/>
          </w:tcPr>
          <w:p>
            <w:pPr>
              <w:widowControl/>
              <w:adjustRightInd w:val="0"/>
              <w:snapToGrid w:val="0"/>
              <w:jc w:val="left"/>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较重</w:t>
            </w:r>
          </w:p>
        </w:tc>
        <w:tc>
          <w:tcPr>
            <w:tcW w:w="2378"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在责令改正期满30日后仍不改正的</w:t>
            </w:r>
          </w:p>
        </w:tc>
        <w:tc>
          <w:tcPr>
            <w:tcW w:w="2105" w:type="dxa"/>
            <w:vMerge w:val="continue"/>
            <w:tcBorders>
              <w:tl2br w:val="nil"/>
              <w:tr2bl w:val="nil"/>
            </w:tcBorders>
            <w:tcMar>
              <w:top w:w="57" w:type="dxa"/>
              <w:left w:w="57" w:type="dxa"/>
              <w:bottom w:w="57" w:type="dxa"/>
              <w:right w:w="57" w:type="dxa"/>
            </w:tcMar>
            <w:vAlign w:val="center"/>
          </w:tcPr>
          <w:p>
            <w:pPr>
              <w:adjustRightInd w:val="0"/>
              <w:snapToGrid w:val="0"/>
              <w:jc w:val="left"/>
              <w:rPr>
                <w:rFonts w:ascii="仿宋_GB2312" w:hAnsi="仿宋_GB2312" w:eastAsia="仿宋_GB2312" w:cs="仿宋_GB2312"/>
                <w:color w:val="000000"/>
                <w:sz w:val="21"/>
                <w:szCs w:val="21"/>
              </w:rPr>
            </w:pPr>
          </w:p>
        </w:tc>
        <w:tc>
          <w:tcPr>
            <w:tcW w:w="3737" w:type="dxa"/>
            <w:tcBorders>
              <w:tl2br w:val="nil"/>
              <w:tr2bl w:val="nil"/>
            </w:tcBorders>
            <w:tcMar>
              <w:top w:w="57" w:type="dxa"/>
              <w:left w:w="57" w:type="dxa"/>
              <w:bottom w:w="57" w:type="dxa"/>
              <w:right w:w="57" w:type="dxa"/>
            </w:tcMar>
            <w:vAlign w:val="center"/>
          </w:tcPr>
          <w:p>
            <w:pPr>
              <w:widowControl/>
              <w:adjustRightInd w:val="0"/>
              <w:snapToGrid w:val="0"/>
              <w:jc w:val="left"/>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可处六千元以上一万元以下罚款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4" w:hRule="atLeast"/>
          <w:jc w:val="center"/>
        </w:trPr>
        <w:tc>
          <w:tcPr>
            <w:tcW w:w="421" w:type="dxa"/>
            <w:vMerge w:val="restart"/>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20</w:t>
            </w:r>
          </w:p>
        </w:tc>
        <w:tc>
          <w:tcPr>
            <w:tcW w:w="1098" w:type="dxa"/>
            <w:vMerge w:val="restart"/>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擅自移动、损毁禁止生产区标牌行为的</w:t>
            </w:r>
          </w:p>
        </w:tc>
        <w:tc>
          <w:tcPr>
            <w:tcW w:w="3531" w:type="dxa"/>
            <w:vMerge w:val="restart"/>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《农产品产地安全管理办法》</w:t>
            </w:r>
            <w:r>
              <w:rPr>
                <w:rFonts w:hint="eastAsia" w:ascii="仿宋_GB2312" w:hAnsi="仿宋_GB2312" w:eastAsia="仿宋_GB2312" w:cs="仿宋_GB2312"/>
                <w:color w:val="000000"/>
                <w:kern w:val="0"/>
                <w:sz w:val="21"/>
                <w:szCs w:val="21"/>
              </w:rPr>
              <w:br w:type="textWrapping"/>
            </w:r>
            <w:r>
              <w:rPr>
                <w:rFonts w:hint="eastAsia" w:ascii="仿宋_GB2312" w:hAnsi="仿宋_GB2312" w:eastAsia="仿宋_GB2312" w:cs="仿宋_GB2312"/>
                <w:color w:val="000000"/>
                <w:kern w:val="0"/>
                <w:sz w:val="21"/>
                <w:szCs w:val="21"/>
              </w:rPr>
              <w:t>第二十六条：违反《中华人民共和国农产品质量安全法》和本办法规定的划定标准和程序划定的禁止生产区无效。</w:t>
            </w:r>
            <w:r>
              <w:rPr>
                <w:rFonts w:hint="eastAsia" w:ascii="仿宋_GB2312" w:hAnsi="仿宋_GB2312" w:eastAsia="仿宋_GB2312" w:cs="仿宋_GB2312"/>
                <w:color w:val="000000"/>
                <w:kern w:val="0"/>
                <w:sz w:val="21"/>
                <w:szCs w:val="21"/>
              </w:rPr>
              <w:br w:type="textWrapping"/>
            </w:r>
            <w:r>
              <w:rPr>
                <w:rFonts w:hint="eastAsia" w:ascii="仿宋_GB2312" w:hAnsi="仿宋_GB2312" w:eastAsia="仿宋_GB2312" w:cs="仿宋_GB2312"/>
                <w:color w:val="000000"/>
                <w:kern w:val="0"/>
                <w:sz w:val="21"/>
                <w:szCs w:val="21"/>
              </w:rPr>
              <w:t>违反本办法规定，擅自移动、损毁禁止生产区标牌的，由县级以上地方人民政府农业行政主管部门责令限期改正，可处以一千元以下罚款。</w:t>
            </w:r>
            <w:r>
              <w:rPr>
                <w:rFonts w:hint="eastAsia" w:ascii="仿宋_GB2312" w:hAnsi="仿宋_GB2312" w:eastAsia="仿宋_GB2312" w:cs="仿宋_GB2312"/>
                <w:color w:val="000000"/>
                <w:kern w:val="0"/>
                <w:sz w:val="21"/>
                <w:szCs w:val="21"/>
              </w:rPr>
              <w:br w:type="textWrapping"/>
            </w:r>
            <w:r>
              <w:rPr>
                <w:rFonts w:hint="eastAsia" w:ascii="仿宋_GB2312" w:hAnsi="仿宋_GB2312" w:eastAsia="仿宋_GB2312" w:cs="仿宋_GB2312"/>
                <w:color w:val="000000"/>
                <w:kern w:val="0"/>
                <w:sz w:val="21"/>
                <w:szCs w:val="21"/>
              </w:rPr>
              <w:t>其他违反本办法规定的，依照有关法律法规处罚。</w:t>
            </w:r>
          </w:p>
        </w:tc>
        <w:tc>
          <w:tcPr>
            <w:tcW w:w="730" w:type="dxa"/>
            <w:tcBorders>
              <w:tl2br w:val="nil"/>
              <w:tr2bl w:val="nil"/>
            </w:tcBorders>
            <w:tcMar>
              <w:top w:w="57" w:type="dxa"/>
              <w:left w:w="57" w:type="dxa"/>
              <w:bottom w:w="57" w:type="dxa"/>
              <w:right w:w="57" w:type="dxa"/>
            </w:tcMar>
            <w:vAlign w:val="center"/>
          </w:tcPr>
          <w:p>
            <w:pPr>
              <w:widowControl/>
              <w:adjustRightInd w:val="0"/>
              <w:snapToGrid w:val="0"/>
              <w:jc w:val="left"/>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较轻</w:t>
            </w:r>
          </w:p>
        </w:tc>
        <w:tc>
          <w:tcPr>
            <w:tcW w:w="2378"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擅自移动禁止生产区标牌的</w:t>
            </w:r>
          </w:p>
        </w:tc>
        <w:tc>
          <w:tcPr>
            <w:tcW w:w="2105" w:type="dxa"/>
            <w:vMerge w:val="restart"/>
            <w:tcBorders>
              <w:tl2br w:val="nil"/>
              <w:tr2bl w:val="nil"/>
            </w:tcBorders>
            <w:tcMar>
              <w:top w:w="57" w:type="dxa"/>
              <w:left w:w="57" w:type="dxa"/>
              <w:bottom w:w="57" w:type="dxa"/>
              <w:right w:w="57" w:type="dxa"/>
            </w:tcMar>
            <w:vAlign w:val="center"/>
          </w:tcPr>
          <w:p>
            <w:pPr>
              <w:widowControl/>
              <w:adjustRightInd w:val="0"/>
              <w:snapToGrid w:val="0"/>
              <w:jc w:val="left"/>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责令限期改正</w:t>
            </w:r>
          </w:p>
        </w:tc>
        <w:tc>
          <w:tcPr>
            <w:tcW w:w="3737" w:type="dxa"/>
            <w:tcBorders>
              <w:tl2br w:val="nil"/>
              <w:tr2bl w:val="nil"/>
            </w:tcBorders>
            <w:tcMar>
              <w:top w:w="57" w:type="dxa"/>
              <w:left w:w="57" w:type="dxa"/>
              <w:bottom w:w="57" w:type="dxa"/>
              <w:right w:w="57" w:type="dxa"/>
            </w:tcMar>
            <w:vAlign w:val="center"/>
          </w:tcPr>
          <w:p>
            <w:pPr>
              <w:widowControl/>
              <w:adjustRightInd w:val="0"/>
              <w:snapToGrid w:val="0"/>
              <w:jc w:val="left"/>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可处三百元以下罚款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7" w:hRule="atLeast"/>
          <w:jc w:val="center"/>
        </w:trPr>
        <w:tc>
          <w:tcPr>
            <w:tcW w:w="421" w:type="dxa"/>
            <w:vMerge w:val="continue"/>
            <w:tcBorders>
              <w:tl2br w:val="nil"/>
              <w:tr2bl w:val="nil"/>
            </w:tcBorders>
            <w:tcMar>
              <w:top w:w="57" w:type="dxa"/>
              <w:left w:w="57" w:type="dxa"/>
              <w:bottom w:w="57" w:type="dxa"/>
              <w:right w:w="57" w:type="dxa"/>
            </w:tcMar>
            <w:vAlign w:val="center"/>
          </w:tcPr>
          <w:p>
            <w:pPr>
              <w:adjustRightInd w:val="0"/>
              <w:snapToGrid w:val="0"/>
              <w:jc w:val="left"/>
              <w:rPr>
                <w:rFonts w:ascii="仿宋_GB2312" w:hAnsi="仿宋_GB2312" w:eastAsia="仿宋_GB2312" w:cs="仿宋_GB2312"/>
                <w:color w:val="000000"/>
                <w:sz w:val="24"/>
                <w:szCs w:val="24"/>
              </w:rPr>
            </w:pPr>
          </w:p>
        </w:tc>
        <w:tc>
          <w:tcPr>
            <w:tcW w:w="1098"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3531"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730" w:type="dxa"/>
            <w:tcBorders>
              <w:tl2br w:val="nil"/>
              <w:tr2bl w:val="nil"/>
            </w:tcBorders>
            <w:tcMar>
              <w:top w:w="57" w:type="dxa"/>
              <w:left w:w="57" w:type="dxa"/>
              <w:bottom w:w="57" w:type="dxa"/>
              <w:right w:w="57" w:type="dxa"/>
            </w:tcMar>
            <w:vAlign w:val="center"/>
          </w:tcPr>
          <w:p>
            <w:pPr>
              <w:widowControl/>
              <w:adjustRightInd w:val="0"/>
              <w:snapToGrid w:val="0"/>
              <w:jc w:val="left"/>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一般</w:t>
            </w:r>
          </w:p>
        </w:tc>
        <w:tc>
          <w:tcPr>
            <w:tcW w:w="2378"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擅自损毁禁止生产区标牌的</w:t>
            </w:r>
          </w:p>
        </w:tc>
        <w:tc>
          <w:tcPr>
            <w:tcW w:w="2105" w:type="dxa"/>
            <w:vMerge w:val="continue"/>
            <w:tcBorders>
              <w:tl2br w:val="nil"/>
              <w:tr2bl w:val="nil"/>
            </w:tcBorders>
            <w:tcMar>
              <w:top w:w="57" w:type="dxa"/>
              <w:left w:w="57" w:type="dxa"/>
              <w:bottom w:w="57" w:type="dxa"/>
              <w:right w:w="57" w:type="dxa"/>
            </w:tcMar>
            <w:vAlign w:val="center"/>
          </w:tcPr>
          <w:p>
            <w:pPr>
              <w:adjustRightInd w:val="0"/>
              <w:snapToGrid w:val="0"/>
              <w:jc w:val="left"/>
              <w:rPr>
                <w:rFonts w:ascii="仿宋_GB2312" w:hAnsi="仿宋_GB2312" w:eastAsia="仿宋_GB2312" w:cs="仿宋_GB2312"/>
                <w:color w:val="000000"/>
                <w:sz w:val="21"/>
                <w:szCs w:val="21"/>
              </w:rPr>
            </w:pPr>
          </w:p>
        </w:tc>
        <w:tc>
          <w:tcPr>
            <w:tcW w:w="3737" w:type="dxa"/>
            <w:tcBorders>
              <w:tl2br w:val="nil"/>
              <w:tr2bl w:val="nil"/>
            </w:tcBorders>
            <w:tcMar>
              <w:top w:w="57" w:type="dxa"/>
              <w:left w:w="57" w:type="dxa"/>
              <w:bottom w:w="57" w:type="dxa"/>
              <w:right w:w="57" w:type="dxa"/>
            </w:tcMar>
            <w:vAlign w:val="center"/>
          </w:tcPr>
          <w:p>
            <w:pPr>
              <w:widowControl/>
              <w:adjustRightInd w:val="0"/>
              <w:snapToGrid w:val="0"/>
              <w:jc w:val="left"/>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可处三百元以上六百元以下罚款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7" w:hRule="atLeast"/>
          <w:jc w:val="center"/>
        </w:trPr>
        <w:tc>
          <w:tcPr>
            <w:tcW w:w="421" w:type="dxa"/>
            <w:vMerge w:val="continue"/>
            <w:tcBorders>
              <w:tl2br w:val="nil"/>
              <w:tr2bl w:val="nil"/>
            </w:tcBorders>
            <w:tcMar>
              <w:top w:w="57" w:type="dxa"/>
              <w:left w:w="57" w:type="dxa"/>
              <w:bottom w:w="57" w:type="dxa"/>
              <w:right w:w="57" w:type="dxa"/>
            </w:tcMar>
            <w:vAlign w:val="center"/>
          </w:tcPr>
          <w:p>
            <w:pPr>
              <w:adjustRightInd w:val="0"/>
              <w:snapToGrid w:val="0"/>
              <w:jc w:val="left"/>
              <w:rPr>
                <w:rFonts w:ascii="仿宋_GB2312" w:hAnsi="仿宋_GB2312" w:eastAsia="仿宋_GB2312" w:cs="仿宋_GB2312"/>
                <w:color w:val="000000"/>
                <w:sz w:val="24"/>
                <w:szCs w:val="24"/>
              </w:rPr>
            </w:pPr>
          </w:p>
        </w:tc>
        <w:tc>
          <w:tcPr>
            <w:tcW w:w="1098"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3531"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730" w:type="dxa"/>
            <w:tcBorders>
              <w:tl2br w:val="nil"/>
              <w:tr2bl w:val="nil"/>
            </w:tcBorders>
            <w:tcMar>
              <w:top w:w="57" w:type="dxa"/>
              <w:left w:w="57" w:type="dxa"/>
              <w:bottom w:w="57" w:type="dxa"/>
              <w:right w:w="57" w:type="dxa"/>
            </w:tcMar>
            <w:vAlign w:val="center"/>
          </w:tcPr>
          <w:p>
            <w:pPr>
              <w:widowControl/>
              <w:adjustRightInd w:val="0"/>
              <w:snapToGrid w:val="0"/>
              <w:jc w:val="left"/>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严重</w:t>
            </w:r>
          </w:p>
        </w:tc>
        <w:tc>
          <w:tcPr>
            <w:tcW w:w="2378"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擅自移动或损毁禁止生产区标牌两次以上的</w:t>
            </w:r>
          </w:p>
        </w:tc>
        <w:tc>
          <w:tcPr>
            <w:tcW w:w="2105" w:type="dxa"/>
            <w:vMerge w:val="continue"/>
            <w:tcBorders>
              <w:tl2br w:val="nil"/>
              <w:tr2bl w:val="nil"/>
            </w:tcBorders>
            <w:tcMar>
              <w:top w:w="57" w:type="dxa"/>
              <w:left w:w="57" w:type="dxa"/>
              <w:bottom w:w="57" w:type="dxa"/>
              <w:right w:w="57" w:type="dxa"/>
            </w:tcMar>
            <w:vAlign w:val="center"/>
          </w:tcPr>
          <w:p>
            <w:pPr>
              <w:adjustRightInd w:val="0"/>
              <w:snapToGrid w:val="0"/>
              <w:jc w:val="left"/>
              <w:rPr>
                <w:rFonts w:ascii="仿宋_GB2312" w:hAnsi="仿宋_GB2312" w:eastAsia="仿宋_GB2312" w:cs="仿宋_GB2312"/>
                <w:color w:val="000000"/>
                <w:sz w:val="21"/>
                <w:szCs w:val="21"/>
              </w:rPr>
            </w:pPr>
          </w:p>
        </w:tc>
        <w:tc>
          <w:tcPr>
            <w:tcW w:w="3737" w:type="dxa"/>
            <w:tcBorders>
              <w:tl2br w:val="nil"/>
              <w:tr2bl w:val="nil"/>
            </w:tcBorders>
            <w:tcMar>
              <w:top w:w="57" w:type="dxa"/>
              <w:left w:w="57" w:type="dxa"/>
              <w:bottom w:w="57" w:type="dxa"/>
              <w:right w:w="57" w:type="dxa"/>
            </w:tcMar>
            <w:vAlign w:val="center"/>
          </w:tcPr>
          <w:p>
            <w:pPr>
              <w:widowControl/>
              <w:adjustRightInd w:val="0"/>
              <w:snapToGrid w:val="0"/>
              <w:jc w:val="left"/>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可处六百元以上一千元以下罚款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94" w:hRule="atLeast"/>
          <w:jc w:val="center"/>
        </w:trPr>
        <w:tc>
          <w:tcPr>
            <w:tcW w:w="421" w:type="dxa"/>
            <w:vMerge w:val="restart"/>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21</w:t>
            </w:r>
          </w:p>
        </w:tc>
        <w:tc>
          <w:tcPr>
            <w:tcW w:w="1098" w:type="dxa"/>
            <w:vMerge w:val="restart"/>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农业投入品经营者未建立或者未按照规定保存农业投入品经营档案，或者伪造农业投入品经营档案的</w:t>
            </w:r>
          </w:p>
        </w:tc>
        <w:tc>
          <w:tcPr>
            <w:tcW w:w="3531" w:type="dxa"/>
            <w:vMerge w:val="restart"/>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《山东省农产品质量安全条例》</w:t>
            </w:r>
            <w:r>
              <w:rPr>
                <w:rFonts w:hint="eastAsia" w:ascii="仿宋_GB2312" w:hAnsi="仿宋_GB2312" w:eastAsia="仿宋_GB2312" w:cs="仿宋_GB2312"/>
                <w:color w:val="000000"/>
                <w:kern w:val="0"/>
                <w:sz w:val="21"/>
                <w:szCs w:val="21"/>
              </w:rPr>
              <w:br w:type="textWrapping"/>
            </w:r>
            <w:r>
              <w:rPr>
                <w:rFonts w:hint="eastAsia" w:ascii="仿宋_GB2312" w:hAnsi="仿宋_GB2312" w:eastAsia="仿宋_GB2312" w:cs="仿宋_GB2312"/>
                <w:color w:val="000000"/>
                <w:kern w:val="0"/>
                <w:sz w:val="21"/>
                <w:szCs w:val="21"/>
              </w:rPr>
              <w:t>第五十五条：违反本条例规定，农业投入品经营者未建立或者未按照规定保存农业投入品经营档案，或者伪造农业投入品经营档案的，由县级以上人民政府农产品质量安全监督管理部门责令限期改正；逾期不改正的，处以二千元以下的罚款。</w:t>
            </w:r>
          </w:p>
        </w:tc>
        <w:tc>
          <w:tcPr>
            <w:tcW w:w="730" w:type="dxa"/>
            <w:tcBorders>
              <w:tl2br w:val="nil"/>
              <w:tr2bl w:val="nil"/>
            </w:tcBorders>
            <w:tcMar>
              <w:top w:w="57" w:type="dxa"/>
              <w:left w:w="57" w:type="dxa"/>
              <w:bottom w:w="57" w:type="dxa"/>
              <w:right w:w="57" w:type="dxa"/>
            </w:tcMar>
            <w:vAlign w:val="center"/>
          </w:tcPr>
          <w:p>
            <w:pPr>
              <w:widowControl/>
              <w:adjustRightInd w:val="0"/>
              <w:snapToGrid w:val="0"/>
              <w:jc w:val="left"/>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较轻</w:t>
            </w:r>
          </w:p>
        </w:tc>
        <w:tc>
          <w:tcPr>
            <w:tcW w:w="2378"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未按照规定保存农业投入品经营档案，逾期不改正的</w:t>
            </w:r>
          </w:p>
        </w:tc>
        <w:tc>
          <w:tcPr>
            <w:tcW w:w="2105" w:type="dxa"/>
            <w:vMerge w:val="restart"/>
            <w:tcBorders>
              <w:tl2br w:val="nil"/>
              <w:tr2bl w:val="nil"/>
            </w:tcBorders>
            <w:tcMar>
              <w:top w:w="57" w:type="dxa"/>
              <w:left w:w="57" w:type="dxa"/>
              <w:bottom w:w="57" w:type="dxa"/>
              <w:right w:w="57" w:type="dxa"/>
            </w:tcMar>
            <w:vAlign w:val="center"/>
          </w:tcPr>
          <w:p>
            <w:pPr>
              <w:widowControl/>
              <w:adjustRightInd w:val="0"/>
              <w:snapToGrid w:val="0"/>
              <w:jc w:val="left"/>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责令限期改正</w:t>
            </w:r>
          </w:p>
        </w:tc>
        <w:tc>
          <w:tcPr>
            <w:tcW w:w="3737" w:type="dxa"/>
            <w:tcBorders>
              <w:tl2br w:val="nil"/>
              <w:tr2bl w:val="nil"/>
            </w:tcBorders>
            <w:tcMar>
              <w:top w:w="57" w:type="dxa"/>
              <w:left w:w="57" w:type="dxa"/>
              <w:bottom w:w="57" w:type="dxa"/>
              <w:right w:w="57" w:type="dxa"/>
            </w:tcMar>
            <w:vAlign w:val="center"/>
          </w:tcPr>
          <w:p>
            <w:pPr>
              <w:widowControl/>
              <w:adjustRightInd w:val="0"/>
              <w:snapToGrid w:val="0"/>
              <w:jc w:val="left"/>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可以处三百元以上六百元以下罚款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1" w:hRule="atLeast"/>
          <w:jc w:val="center"/>
        </w:trPr>
        <w:tc>
          <w:tcPr>
            <w:tcW w:w="421" w:type="dxa"/>
            <w:vMerge w:val="continue"/>
            <w:tcBorders>
              <w:tl2br w:val="nil"/>
              <w:tr2bl w:val="nil"/>
            </w:tcBorders>
            <w:tcMar>
              <w:top w:w="57" w:type="dxa"/>
              <w:left w:w="57" w:type="dxa"/>
              <w:bottom w:w="57" w:type="dxa"/>
              <w:right w:w="57" w:type="dxa"/>
            </w:tcMar>
            <w:vAlign w:val="center"/>
          </w:tcPr>
          <w:p>
            <w:pPr>
              <w:adjustRightInd w:val="0"/>
              <w:snapToGrid w:val="0"/>
              <w:jc w:val="center"/>
              <w:rPr>
                <w:rFonts w:ascii="仿宋_GB2312" w:hAnsi="仿宋_GB2312" w:eastAsia="仿宋_GB2312" w:cs="仿宋_GB2312"/>
                <w:color w:val="000000"/>
                <w:sz w:val="24"/>
                <w:szCs w:val="24"/>
              </w:rPr>
            </w:pPr>
          </w:p>
        </w:tc>
        <w:tc>
          <w:tcPr>
            <w:tcW w:w="1098"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3531"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730" w:type="dxa"/>
            <w:tcBorders>
              <w:tl2br w:val="nil"/>
              <w:tr2bl w:val="nil"/>
            </w:tcBorders>
            <w:tcMar>
              <w:top w:w="57" w:type="dxa"/>
              <w:left w:w="57" w:type="dxa"/>
              <w:bottom w:w="57" w:type="dxa"/>
              <w:right w:w="57" w:type="dxa"/>
            </w:tcMar>
            <w:vAlign w:val="center"/>
          </w:tcPr>
          <w:p>
            <w:pPr>
              <w:widowControl/>
              <w:adjustRightInd w:val="0"/>
              <w:snapToGrid w:val="0"/>
              <w:jc w:val="left"/>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一般</w:t>
            </w:r>
          </w:p>
        </w:tc>
        <w:tc>
          <w:tcPr>
            <w:tcW w:w="2378"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未建立农业投入品经营档案，逾期不改正的</w:t>
            </w:r>
          </w:p>
        </w:tc>
        <w:tc>
          <w:tcPr>
            <w:tcW w:w="2105" w:type="dxa"/>
            <w:vMerge w:val="continue"/>
            <w:tcBorders>
              <w:tl2br w:val="nil"/>
              <w:tr2bl w:val="nil"/>
            </w:tcBorders>
            <w:tcMar>
              <w:top w:w="57" w:type="dxa"/>
              <w:left w:w="57" w:type="dxa"/>
              <w:bottom w:w="57" w:type="dxa"/>
              <w:right w:w="57" w:type="dxa"/>
            </w:tcMar>
            <w:vAlign w:val="center"/>
          </w:tcPr>
          <w:p>
            <w:pPr>
              <w:adjustRightInd w:val="0"/>
              <w:snapToGrid w:val="0"/>
              <w:jc w:val="left"/>
              <w:rPr>
                <w:rFonts w:ascii="仿宋_GB2312" w:hAnsi="仿宋_GB2312" w:eastAsia="仿宋_GB2312" w:cs="仿宋_GB2312"/>
                <w:color w:val="000000"/>
                <w:sz w:val="21"/>
                <w:szCs w:val="21"/>
              </w:rPr>
            </w:pPr>
          </w:p>
        </w:tc>
        <w:tc>
          <w:tcPr>
            <w:tcW w:w="3737" w:type="dxa"/>
            <w:tcBorders>
              <w:tl2br w:val="nil"/>
              <w:tr2bl w:val="nil"/>
            </w:tcBorders>
            <w:tcMar>
              <w:top w:w="57" w:type="dxa"/>
              <w:left w:w="57" w:type="dxa"/>
              <w:bottom w:w="57" w:type="dxa"/>
              <w:right w:w="57" w:type="dxa"/>
            </w:tcMar>
            <w:vAlign w:val="center"/>
          </w:tcPr>
          <w:p>
            <w:pPr>
              <w:widowControl/>
              <w:adjustRightInd w:val="0"/>
              <w:snapToGrid w:val="0"/>
              <w:jc w:val="left"/>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可以处六百元以上一千五百元以下罚款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9" w:hRule="atLeast"/>
          <w:jc w:val="center"/>
        </w:trPr>
        <w:tc>
          <w:tcPr>
            <w:tcW w:w="421" w:type="dxa"/>
            <w:vMerge w:val="continue"/>
            <w:tcBorders>
              <w:tl2br w:val="nil"/>
              <w:tr2bl w:val="nil"/>
            </w:tcBorders>
            <w:tcMar>
              <w:top w:w="57" w:type="dxa"/>
              <w:left w:w="57" w:type="dxa"/>
              <w:bottom w:w="57" w:type="dxa"/>
              <w:right w:w="57" w:type="dxa"/>
            </w:tcMar>
            <w:vAlign w:val="center"/>
          </w:tcPr>
          <w:p>
            <w:pPr>
              <w:adjustRightInd w:val="0"/>
              <w:snapToGrid w:val="0"/>
              <w:jc w:val="center"/>
              <w:rPr>
                <w:rFonts w:ascii="仿宋_GB2312" w:hAnsi="仿宋_GB2312" w:eastAsia="仿宋_GB2312" w:cs="仿宋_GB2312"/>
                <w:color w:val="000000"/>
                <w:sz w:val="24"/>
                <w:szCs w:val="24"/>
              </w:rPr>
            </w:pPr>
          </w:p>
        </w:tc>
        <w:tc>
          <w:tcPr>
            <w:tcW w:w="1098"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3531"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730" w:type="dxa"/>
            <w:tcBorders>
              <w:tl2br w:val="nil"/>
              <w:tr2bl w:val="nil"/>
            </w:tcBorders>
            <w:tcMar>
              <w:top w:w="57" w:type="dxa"/>
              <w:left w:w="57" w:type="dxa"/>
              <w:bottom w:w="57" w:type="dxa"/>
              <w:right w:w="57" w:type="dxa"/>
            </w:tcMar>
            <w:vAlign w:val="center"/>
          </w:tcPr>
          <w:p>
            <w:pPr>
              <w:widowControl/>
              <w:adjustRightInd w:val="0"/>
              <w:snapToGrid w:val="0"/>
              <w:jc w:val="left"/>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严重</w:t>
            </w:r>
          </w:p>
        </w:tc>
        <w:tc>
          <w:tcPr>
            <w:tcW w:w="2378"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伪造农业投入品经营档案，逾期不改正的</w:t>
            </w:r>
          </w:p>
        </w:tc>
        <w:tc>
          <w:tcPr>
            <w:tcW w:w="2105" w:type="dxa"/>
            <w:vMerge w:val="continue"/>
            <w:tcBorders>
              <w:tl2br w:val="nil"/>
              <w:tr2bl w:val="nil"/>
            </w:tcBorders>
            <w:tcMar>
              <w:top w:w="57" w:type="dxa"/>
              <w:left w:w="57" w:type="dxa"/>
              <w:bottom w:w="57" w:type="dxa"/>
              <w:right w:w="57" w:type="dxa"/>
            </w:tcMar>
            <w:vAlign w:val="center"/>
          </w:tcPr>
          <w:p>
            <w:pPr>
              <w:adjustRightInd w:val="0"/>
              <w:snapToGrid w:val="0"/>
              <w:jc w:val="left"/>
              <w:rPr>
                <w:rFonts w:ascii="仿宋_GB2312" w:hAnsi="仿宋_GB2312" w:eastAsia="仿宋_GB2312" w:cs="仿宋_GB2312"/>
                <w:color w:val="000000"/>
                <w:sz w:val="21"/>
                <w:szCs w:val="21"/>
              </w:rPr>
            </w:pPr>
          </w:p>
        </w:tc>
        <w:tc>
          <w:tcPr>
            <w:tcW w:w="3737" w:type="dxa"/>
            <w:tcBorders>
              <w:tl2br w:val="nil"/>
              <w:tr2bl w:val="nil"/>
            </w:tcBorders>
            <w:tcMar>
              <w:top w:w="57" w:type="dxa"/>
              <w:left w:w="57" w:type="dxa"/>
              <w:bottom w:w="57" w:type="dxa"/>
              <w:right w:w="57" w:type="dxa"/>
            </w:tcMar>
            <w:vAlign w:val="center"/>
          </w:tcPr>
          <w:p>
            <w:pPr>
              <w:widowControl/>
              <w:adjustRightInd w:val="0"/>
              <w:snapToGrid w:val="0"/>
              <w:jc w:val="left"/>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可以处一千五百元以上二千元以下罚款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8" w:hRule="atLeast"/>
          <w:jc w:val="center"/>
        </w:trPr>
        <w:tc>
          <w:tcPr>
            <w:tcW w:w="421" w:type="dxa"/>
            <w:vMerge w:val="restart"/>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22</w:t>
            </w:r>
          </w:p>
        </w:tc>
        <w:tc>
          <w:tcPr>
            <w:tcW w:w="1098" w:type="dxa"/>
            <w:vMerge w:val="restart"/>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有关单位或者个人引导农产品生产者改变新技术、新产品用途，造成危害农产品质量安全的</w:t>
            </w:r>
          </w:p>
        </w:tc>
        <w:tc>
          <w:tcPr>
            <w:tcW w:w="3531" w:type="dxa"/>
            <w:vMerge w:val="restart"/>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山东省农产品质量安全条例》第五十六条，违反本条例规定，有关单位或者个人引导农产品生产者改变新技术、新产品用途，造成危害农产品质量安全的，由县级以上人民政府农产品质量安全监督管理部门责令改正，对单位处二千元以上二万元以下的罚款，对个人处二百元以上二千元以下的罚款。</w:t>
            </w:r>
          </w:p>
        </w:tc>
        <w:tc>
          <w:tcPr>
            <w:tcW w:w="730" w:type="dxa"/>
            <w:tcBorders>
              <w:tl2br w:val="nil"/>
              <w:tr2bl w:val="nil"/>
            </w:tcBorders>
            <w:tcMar>
              <w:top w:w="57" w:type="dxa"/>
              <w:left w:w="57" w:type="dxa"/>
              <w:bottom w:w="57" w:type="dxa"/>
              <w:right w:w="57" w:type="dxa"/>
            </w:tcMar>
            <w:vAlign w:val="center"/>
          </w:tcPr>
          <w:p>
            <w:pPr>
              <w:widowControl/>
              <w:adjustRightInd w:val="0"/>
              <w:snapToGrid w:val="0"/>
              <w:jc w:val="left"/>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较轻</w:t>
            </w:r>
          </w:p>
        </w:tc>
        <w:tc>
          <w:tcPr>
            <w:tcW w:w="2378"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有关单位或者个人引导农产品生产者改变新技术、新产品用途，造成危害农产品质量安全的，造成损失价值在一万元以下的</w:t>
            </w:r>
          </w:p>
        </w:tc>
        <w:tc>
          <w:tcPr>
            <w:tcW w:w="5842" w:type="dxa"/>
            <w:gridSpan w:val="2"/>
            <w:tcBorders>
              <w:tl2br w:val="nil"/>
              <w:tr2bl w:val="nil"/>
            </w:tcBorders>
            <w:tcMar>
              <w:top w:w="57" w:type="dxa"/>
              <w:left w:w="57" w:type="dxa"/>
              <w:bottom w:w="57" w:type="dxa"/>
              <w:right w:w="57" w:type="dxa"/>
            </w:tcMar>
            <w:vAlign w:val="center"/>
          </w:tcPr>
          <w:p>
            <w:pPr>
              <w:widowControl/>
              <w:adjustRightInd w:val="0"/>
              <w:snapToGrid w:val="0"/>
              <w:jc w:val="left"/>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对单位处二千元以上八千元以下的罚款；对个人处二百元以上八百元以下的罚款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44" w:hRule="atLeast"/>
          <w:jc w:val="center"/>
        </w:trPr>
        <w:tc>
          <w:tcPr>
            <w:tcW w:w="421" w:type="dxa"/>
            <w:vMerge w:val="continue"/>
            <w:tcBorders>
              <w:tl2br w:val="nil"/>
              <w:tr2bl w:val="nil"/>
            </w:tcBorders>
            <w:tcMar>
              <w:top w:w="57" w:type="dxa"/>
              <w:left w:w="57" w:type="dxa"/>
              <w:bottom w:w="57" w:type="dxa"/>
              <w:right w:w="57" w:type="dxa"/>
            </w:tcMar>
            <w:vAlign w:val="center"/>
          </w:tcPr>
          <w:p>
            <w:pPr>
              <w:adjustRightInd w:val="0"/>
              <w:snapToGrid w:val="0"/>
              <w:jc w:val="left"/>
              <w:rPr>
                <w:rFonts w:ascii="仿宋_GB2312" w:hAnsi="仿宋_GB2312" w:eastAsia="仿宋_GB2312" w:cs="仿宋_GB2312"/>
                <w:color w:val="000000"/>
                <w:sz w:val="24"/>
                <w:szCs w:val="24"/>
              </w:rPr>
            </w:pPr>
          </w:p>
        </w:tc>
        <w:tc>
          <w:tcPr>
            <w:tcW w:w="1098"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3531"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730" w:type="dxa"/>
            <w:tcBorders>
              <w:tl2br w:val="nil"/>
              <w:tr2bl w:val="nil"/>
            </w:tcBorders>
            <w:tcMar>
              <w:top w:w="57" w:type="dxa"/>
              <w:left w:w="57" w:type="dxa"/>
              <w:bottom w:w="57" w:type="dxa"/>
              <w:right w:w="57" w:type="dxa"/>
            </w:tcMar>
            <w:vAlign w:val="center"/>
          </w:tcPr>
          <w:p>
            <w:pPr>
              <w:widowControl/>
              <w:adjustRightInd w:val="0"/>
              <w:snapToGrid w:val="0"/>
              <w:jc w:val="left"/>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一般</w:t>
            </w:r>
          </w:p>
        </w:tc>
        <w:tc>
          <w:tcPr>
            <w:tcW w:w="2378"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有关单位或者个人引导农产品生产者改变新技术、新产品用途，造成危害农产品质量安全的，造成损失价值在一万元以上三万元以下的</w:t>
            </w:r>
          </w:p>
        </w:tc>
        <w:tc>
          <w:tcPr>
            <w:tcW w:w="5842" w:type="dxa"/>
            <w:gridSpan w:val="2"/>
            <w:tcBorders>
              <w:tl2br w:val="nil"/>
              <w:tr2bl w:val="nil"/>
            </w:tcBorders>
            <w:tcMar>
              <w:top w:w="57" w:type="dxa"/>
              <w:left w:w="57" w:type="dxa"/>
              <w:bottom w:w="57" w:type="dxa"/>
              <w:right w:w="57" w:type="dxa"/>
            </w:tcMar>
            <w:vAlign w:val="center"/>
          </w:tcPr>
          <w:p>
            <w:pPr>
              <w:widowControl/>
              <w:adjustRightInd w:val="0"/>
              <w:snapToGrid w:val="0"/>
              <w:jc w:val="left"/>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对单位处八千元以上一万四千元以下的罚款；对个人处八百元以上一千四百元以下的罚款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06" w:hRule="atLeast"/>
          <w:jc w:val="center"/>
        </w:trPr>
        <w:tc>
          <w:tcPr>
            <w:tcW w:w="421" w:type="dxa"/>
            <w:vMerge w:val="continue"/>
            <w:tcBorders>
              <w:tl2br w:val="nil"/>
              <w:tr2bl w:val="nil"/>
            </w:tcBorders>
            <w:tcMar>
              <w:top w:w="57" w:type="dxa"/>
              <w:left w:w="57" w:type="dxa"/>
              <w:bottom w:w="57" w:type="dxa"/>
              <w:right w:w="57" w:type="dxa"/>
            </w:tcMar>
            <w:vAlign w:val="center"/>
          </w:tcPr>
          <w:p>
            <w:pPr>
              <w:adjustRightInd w:val="0"/>
              <w:snapToGrid w:val="0"/>
              <w:jc w:val="left"/>
              <w:rPr>
                <w:rFonts w:ascii="仿宋_GB2312" w:hAnsi="仿宋_GB2312" w:eastAsia="仿宋_GB2312" w:cs="仿宋_GB2312"/>
                <w:color w:val="000000"/>
                <w:sz w:val="24"/>
                <w:szCs w:val="24"/>
              </w:rPr>
            </w:pPr>
          </w:p>
        </w:tc>
        <w:tc>
          <w:tcPr>
            <w:tcW w:w="1098"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3531"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730" w:type="dxa"/>
            <w:tcBorders>
              <w:tl2br w:val="nil"/>
              <w:tr2bl w:val="nil"/>
            </w:tcBorders>
            <w:tcMar>
              <w:top w:w="57" w:type="dxa"/>
              <w:left w:w="57" w:type="dxa"/>
              <w:bottom w:w="57" w:type="dxa"/>
              <w:right w:w="57" w:type="dxa"/>
            </w:tcMar>
            <w:vAlign w:val="center"/>
          </w:tcPr>
          <w:p>
            <w:pPr>
              <w:widowControl/>
              <w:adjustRightInd w:val="0"/>
              <w:snapToGrid w:val="0"/>
              <w:jc w:val="left"/>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严重</w:t>
            </w:r>
          </w:p>
        </w:tc>
        <w:tc>
          <w:tcPr>
            <w:tcW w:w="2378"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有关单位或者个人引导农产品生产者改变新技术、新产品用途，造成危害农产品质量安全的，造成损失价值在三万元以上的</w:t>
            </w:r>
          </w:p>
        </w:tc>
        <w:tc>
          <w:tcPr>
            <w:tcW w:w="5842" w:type="dxa"/>
            <w:gridSpan w:val="2"/>
            <w:tcBorders>
              <w:tl2br w:val="nil"/>
              <w:tr2bl w:val="nil"/>
            </w:tcBorders>
            <w:tcMar>
              <w:top w:w="57" w:type="dxa"/>
              <w:left w:w="57" w:type="dxa"/>
              <w:bottom w:w="57" w:type="dxa"/>
              <w:right w:w="57" w:type="dxa"/>
            </w:tcMar>
            <w:vAlign w:val="center"/>
          </w:tcPr>
          <w:p>
            <w:pPr>
              <w:widowControl/>
              <w:adjustRightInd w:val="0"/>
              <w:snapToGrid w:val="0"/>
              <w:jc w:val="left"/>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对单位处一万四千元以上二万元以下的罚款；对个人处一千四百元以上二千元以下的罚款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81" w:hRule="atLeast"/>
          <w:jc w:val="center"/>
        </w:trPr>
        <w:tc>
          <w:tcPr>
            <w:tcW w:w="421" w:type="dxa"/>
            <w:vMerge w:val="restart"/>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23</w:t>
            </w:r>
          </w:p>
        </w:tc>
        <w:tc>
          <w:tcPr>
            <w:tcW w:w="1098" w:type="dxa"/>
            <w:vMerge w:val="restart"/>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农产品生产企业、农民专业合作经济组织未按规定建立和实施农产品质量安全检测制度的</w:t>
            </w:r>
          </w:p>
        </w:tc>
        <w:tc>
          <w:tcPr>
            <w:tcW w:w="3531" w:type="dxa"/>
            <w:vMerge w:val="restart"/>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山东省农产品质量安全监督管理规定》第二十八条，违反本规定，农产品生产企业、农民专业合作经济组织未按规定建立和实施农产品质量安全检测制度的，由县级以上人民政府农产品质量安全监督管理部门责令限期改正;逾期不改正的，处一千元以上三千元以下罚款。</w:t>
            </w:r>
          </w:p>
        </w:tc>
        <w:tc>
          <w:tcPr>
            <w:tcW w:w="730" w:type="dxa"/>
            <w:tcBorders>
              <w:tl2br w:val="nil"/>
              <w:tr2bl w:val="nil"/>
            </w:tcBorders>
            <w:tcMar>
              <w:top w:w="57" w:type="dxa"/>
              <w:left w:w="57" w:type="dxa"/>
              <w:bottom w:w="57" w:type="dxa"/>
              <w:right w:w="57" w:type="dxa"/>
            </w:tcMar>
            <w:vAlign w:val="center"/>
          </w:tcPr>
          <w:p>
            <w:pPr>
              <w:widowControl/>
              <w:adjustRightInd w:val="0"/>
              <w:snapToGrid w:val="0"/>
              <w:jc w:val="left"/>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较轻</w:t>
            </w:r>
          </w:p>
        </w:tc>
        <w:tc>
          <w:tcPr>
            <w:tcW w:w="2378"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农产品生产企业、农民专业合作经济组织虽按规定已建立农产品质量安全检测制度，未正常实施农产品质量安全检测的</w:t>
            </w:r>
          </w:p>
        </w:tc>
        <w:tc>
          <w:tcPr>
            <w:tcW w:w="2105" w:type="dxa"/>
            <w:vMerge w:val="restart"/>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逾期不改正的</w:t>
            </w:r>
          </w:p>
        </w:tc>
        <w:tc>
          <w:tcPr>
            <w:tcW w:w="3737" w:type="dxa"/>
            <w:tcBorders>
              <w:tl2br w:val="nil"/>
              <w:tr2bl w:val="nil"/>
            </w:tcBorders>
            <w:tcMar>
              <w:top w:w="57" w:type="dxa"/>
              <w:left w:w="57" w:type="dxa"/>
              <w:bottom w:w="57" w:type="dxa"/>
              <w:right w:w="57" w:type="dxa"/>
            </w:tcMar>
            <w:vAlign w:val="center"/>
          </w:tcPr>
          <w:p>
            <w:pPr>
              <w:widowControl/>
              <w:adjustRightInd w:val="0"/>
              <w:snapToGrid w:val="0"/>
              <w:jc w:val="left"/>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 xml:space="preserve">处一千元以上二千元以下罚款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88" w:hRule="atLeast"/>
          <w:jc w:val="center"/>
        </w:trPr>
        <w:tc>
          <w:tcPr>
            <w:tcW w:w="421" w:type="dxa"/>
            <w:vMerge w:val="continue"/>
            <w:tcBorders>
              <w:tl2br w:val="nil"/>
              <w:tr2bl w:val="nil"/>
            </w:tcBorders>
            <w:tcMar>
              <w:top w:w="57" w:type="dxa"/>
              <w:left w:w="57" w:type="dxa"/>
              <w:bottom w:w="57" w:type="dxa"/>
              <w:right w:w="57" w:type="dxa"/>
            </w:tcMar>
            <w:vAlign w:val="center"/>
          </w:tcPr>
          <w:p>
            <w:pPr>
              <w:adjustRightInd w:val="0"/>
              <w:snapToGrid w:val="0"/>
              <w:jc w:val="left"/>
              <w:rPr>
                <w:rFonts w:ascii="仿宋_GB2312" w:hAnsi="仿宋_GB2312" w:eastAsia="仿宋_GB2312" w:cs="仿宋_GB2312"/>
                <w:color w:val="000000"/>
                <w:sz w:val="24"/>
                <w:szCs w:val="24"/>
              </w:rPr>
            </w:pPr>
          </w:p>
        </w:tc>
        <w:tc>
          <w:tcPr>
            <w:tcW w:w="1098"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3531"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730" w:type="dxa"/>
            <w:tcBorders>
              <w:tl2br w:val="nil"/>
              <w:tr2bl w:val="nil"/>
            </w:tcBorders>
            <w:tcMar>
              <w:top w:w="57" w:type="dxa"/>
              <w:left w:w="57" w:type="dxa"/>
              <w:bottom w:w="57" w:type="dxa"/>
              <w:right w:w="57" w:type="dxa"/>
            </w:tcMar>
            <w:vAlign w:val="center"/>
          </w:tcPr>
          <w:p>
            <w:pPr>
              <w:widowControl/>
              <w:adjustRightInd w:val="0"/>
              <w:snapToGrid w:val="0"/>
              <w:jc w:val="left"/>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较重</w:t>
            </w:r>
          </w:p>
        </w:tc>
        <w:tc>
          <w:tcPr>
            <w:tcW w:w="2378"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农产品生产企业、农民专业合作经济组织未按规定建立农产品质量安全检测制度，也未正常实施农产品质量安全检测的</w:t>
            </w:r>
          </w:p>
        </w:tc>
        <w:tc>
          <w:tcPr>
            <w:tcW w:w="2105" w:type="dxa"/>
            <w:vMerge w:val="continue"/>
            <w:tcBorders>
              <w:tl2br w:val="nil"/>
              <w:tr2bl w:val="nil"/>
            </w:tcBorders>
            <w:tcMar>
              <w:top w:w="57" w:type="dxa"/>
              <w:left w:w="57" w:type="dxa"/>
              <w:bottom w:w="57" w:type="dxa"/>
              <w:right w:w="57" w:type="dxa"/>
            </w:tcMar>
            <w:vAlign w:val="center"/>
          </w:tcPr>
          <w:p>
            <w:pPr>
              <w:adjustRightInd w:val="0"/>
              <w:snapToGrid w:val="0"/>
              <w:jc w:val="center"/>
              <w:rPr>
                <w:rFonts w:ascii="仿宋_GB2312" w:hAnsi="仿宋_GB2312" w:eastAsia="仿宋_GB2312" w:cs="仿宋_GB2312"/>
                <w:color w:val="000000"/>
                <w:sz w:val="21"/>
                <w:szCs w:val="21"/>
              </w:rPr>
            </w:pPr>
          </w:p>
        </w:tc>
        <w:tc>
          <w:tcPr>
            <w:tcW w:w="3737" w:type="dxa"/>
            <w:tcBorders>
              <w:tl2br w:val="nil"/>
              <w:tr2bl w:val="nil"/>
            </w:tcBorders>
            <w:tcMar>
              <w:top w:w="57" w:type="dxa"/>
              <w:left w:w="57" w:type="dxa"/>
              <w:bottom w:w="57" w:type="dxa"/>
              <w:right w:w="57" w:type="dxa"/>
            </w:tcMar>
            <w:vAlign w:val="center"/>
          </w:tcPr>
          <w:p>
            <w:pPr>
              <w:widowControl/>
              <w:adjustRightInd w:val="0"/>
              <w:snapToGrid w:val="0"/>
              <w:jc w:val="left"/>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处二千元以上三千元以下罚款</w:t>
            </w:r>
          </w:p>
        </w:tc>
      </w:tr>
    </w:tbl>
    <w:p/>
    <w:p>
      <w:pPr>
        <w:pStyle w:val="2"/>
      </w:pPr>
      <w:r>
        <w:br w:type="page"/>
      </w:r>
    </w:p>
    <w:p>
      <w:pPr>
        <w:ind w:firstLine="640" w:firstLineChars="200"/>
      </w:pPr>
      <w:r>
        <w:rPr>
          <w:rFonts w:hint="eastAsia" w:ascii="黑体" w:hAnsi="黑体" w:eastAsia="黑体" w:cs="黑体"/>
          <w:color w:val="000000"/>
          <w:kern w:val="0"/>
          <w:sz w:val="32"/>
          <w:szCs w:val="32"/>
        </w:rPr>
        <w:t>七、蚕种</w:t>
      </w:r>
    </w:p>
    <w:tbl>
      <w:tblPr>
        <w:tblStyle w:val="7"/>
        <w:tblW w:w="140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21"/>
        <w:gridCol w:w="1846"/>
        <w:gridCol w:w="4253"/>
        <w:gridCol w:w="850"/>
        <w:gridCol w:w="2127"/>
        <w:gridCol w:w="2409"/>
        <w:gridCol w:w="209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blHeader/>
          <w:jc w:val="center"/>
        </w:trPr>
        <w:tc>
          <w:tcPr>
            <w:tcW w:w="421"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黑体" w:hAnsi="黑体" w:eastAsia="黑体" w:cs="黑体"/>
                <w:color w:val="000000"/>
                <w:sz w:val="24"/>
                <w:szCs w:val="24"/>
              </w:rPr>
            </w:pPr>
            <w:r>
              <w:rPr>
                <w:rFonts w:hint="eastAsia" w:ascii="黑体" w:hAnsi="黑体" w:eastAsia="黑体" w:cs="黑体"/>
                <w:color w:val="000000"/>
                <w:kern w:val="0"/>
                <w:sz w:val="24"/>
                <w:szCs w:val="24"/>
              </w:rPr>
              <w:t>序号</w:t>
            </w:r>
          </w:p>
        </w:tc>
        <w:tc>
          <w:tcPr>
            <w:tcW w:w="1846"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黑体" w:hAnsi="黑体" w:eastAsia="黑体" w:cs="黑体"/>
                <w:color w:val="000000"/>
                <w:sz w:val="24"/>
                <w:szCs w:val="24"/>
              </w:rPr>
            </w:pPr>
            <w:r>
              <w:rPr>
                <w:rFonts w:hint="eastAsia" w:ascii="黑体" w:hAnsi="黑体" w:eastAsia="黑体" w:cs="黑体"/>
                <w:color w:val="000000"/>
                <w:kern w:val="0"/>
                <w:sz w:val="24"/>
                <w:szCs w:val="24"/>
              </w:rPr>
              <w:t>违法行为</w:t>
            </w:r>
          </w:p>
        </w:tc>
        <w:tc>
          <w:tcPr>
            <w:tcW w:w="4253"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黑体" w:hAnsi="黑体" w:eastAsia="黑体" w:cs="黑体"/>
                <w:color w:val="000000"/>
                <w:sz w:val="24"/>
                <w:szCs w:val="24"/>
              </w:rPr>
            </w:pPr>
            <w:r>
              <w:rPr>
                <w:rFonts w:hint="eastAsia" w:ascii="黑体" w:hAnsi="黑体" w:eastAsia="黑体" w:cs="黑体"/>
                <w:color w:val="000000"/>
                <w:kern w:val="0"/>
                <w:sz w:val="24"/>
                <w:szCs w:val="24"/>
              </w:rPr>
              <w:t>处罚依据</w:t>
            </w:r>
          </w:p>
        </w:tc>
        <w:tc>
          <w:tcPr>
            <w:tcW w:w="850"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黑体" w:hAnsi="黑体" w:eastAsia="黑体" w:cs="黑体"/>
                <w:color w:val="000000"/>
                <w:kern w:val="0"/>
                <w:sz w:val="24"/>
                <w:szCs w:val="24"/>
              </w:rPr>
            </w:pPr>
            <w:r>
              <w:rPr>
                <w:rFonts w:hint="eastAsia" w:ascii="黑体" w:hAnsi="黑体" w:eastAsia="黑体" w:cs="黑体"/>
                <w:color w:val="000000"/>
                <w:kern w:val="0"/>
                <w:sz w:val="24"/>
                <w:szCs w:val="24"/>
              </w:rPr>
              <w:t>违法</w:t>
            </w:r>
          </w:p>
          <w:p>
            <w:pPr>
              <w:widowControl/>
              <w:adjustRightInd w:val="0"/>
              <w:snapToGrid w:val="0"/>
              <w:jc w:val="center"/>
              <w:textAlignment w:val="center"/>
              <w:rPr>
                <w:rFonts w:ascii="黑体" w:hAnsi="黑体" w:eastAsia="黑体" w:cs="黑体"/>
                <w:color w:val="000000"/>
                <w:sz w:val="24"/>
                <w:szCs w:val="24"/>
              </w:rPr>
            </w:pPr>
            <w:r>
              <w:rPr>
                <w:rFonts w:hint="eastAsia" w:ascii="黑体" w:hAnsi="黑体" w:eastAsia="黑体" w:cs="黑体"/>
                <w:color w:val="000000"/>
                <w:kern w:val="0"/>
                <w:sz w:val="24"/>
                <w:szCs w:val="24"/>
              </w:rPr>
              <w:t>程度</w:t>
            </w:r>
          </w:p>
        </w:tc>
        <w:tc>
          <w:tcPr>
            <w:tcW w:w="2127"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黑体" w:hAnsi="黑体" w:eastAsia="黑体" w:cs="黑体"/>
                <w:color w:val="000000"/>
                <w:sz w:val="24"/>
                <w:szCs w:val="24"/>
              </w:rPr>
            </w:pPr>
            <w:r>
              <w:rPr>
                <w:rFonts w:hint="eastAsia" w:ascii="黑体" w:hAnsi="黑体" w:eastAsia="黑体" w:cs="黑体"/>
                <w:color w:val="000000"/>
                <w:kern w:val="0"/>
                <w:sz w:val="24"/>
                <w:szCs w:val="24"/>
              </w:rPr>
              <w:t>违法情节</w:t>
            </w:r>
          </w:p>
        </w:tc>
        <w:tc>
          <w:tcPr>
            <w:tcW w:w="4503" w:type="dxa"/>
            <w:gridSpan w:val="2"/>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黑体" w:hAnsi="黑体" w:eastAsia="黑体" w:cs="黑体"/>
                <w:color w:val="000000"/>
                <w:sz w:val="24"/>
                <w:szCs w:val="24"/>
              </w:rPr>
            </w:pPr>
            <w:r>
              <w:rPr>
                <w:rFonts w:hint="eastAsia" w:ascii="黑体" w:hAnsi="黑体" w:eastAsia="黑体" w:cs="黑体"/>
                <w:color w:val="000000"/>
                <w:kern w:val="0"/>
                <w:sz w:val="24"/>
                <w:szCs w:val="24"/>
              </w:rPr>
              <w:t>裁量标准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4" w:hRule="atLeast"/>
          <w:jc w:val="center"/>
        </w:trPr>
        <w:tc>
          <w:tcPr>
            <w:tcW w:w="421" w:type="dxa"/>
            <w:vMerge w:val="restart"/>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1</w:t>
            </w:r>
          </w:p>
        </w:tc>
        <w:tc>
          <w:tcPr>
            <w:tcW w:w="1846" w:type="dxa"/>
            <w:vMerge w:val="restart"/>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未经省级以上人民政府农业（蚕业）行政主管部门批准，擅自处理受保护的蚕遗传资源，造成蚕遗传资源损失的</w:t>
            </w:r>
          </w:p>
        </w:tc>
        <w:tc>
          <w:tcPr>
            <w:tcW w:w="4253" w:type="dxa"/>
            <w:vMerge w:val="restart"/>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《蚕种管理办法》第二十九条，违反本办法第八条规定，擅自处理受保护的蚕遗传资源，造成蚕遗传资源损失的，由省级以上人民政府农业农村（蚕业）主管部门处五万元以上五十万元以下罚款。</w:t>
            </w:r>
          </w:p>
        </w:tc>
        <w:tc>
          <w:tcPr>
            <w:tcW w:w="850"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较轻</w:t>
            </w:r>
          </w:p>
        </w:tc>
        <w:tc>
          <w:tcPr>
            <w:tcW w:w="2127"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损失的蚕遗传资源可重新获得的</w:t>
            </w:r>
          </w:p>
        </w:tc>
        <w:tc>
          <w:tcPr>
            <w:tcW w:w="4503" w:type="dxa"/>
            <w:gridSpan w:val="2"/>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处五万元以上二十五万元以下罚款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4" w:hRule="atLeast"/>
          <w:jc w:val="center"/>
        </w:trPr>
        <w:tc>
          <w:tcPr>
            <w:tcW w:w="421" w:type="dxa"/>
            <w:vMerge w:val="continue"/>
            <w:tcBorders>
              <w:tl2br w:val="nil"/>
              <w:tr2bl w:val="nil"/>
            </w:tcBorders>
            <w:tcMar>
              <w:top w:w="57" w:type="dxa"/>
              <w:left w:w="57" w:type="dxa"/>
              <w:bottom w:w="57" w:type="dxa"/>
              <w:right w:w="57" w:type="dxa"/>
            </w:tcMar>
            <w:vAlign w:val="center"/>
          </w:tcPr>
          <w:p>
            <w:pPr>
              <w:adjustRightInd w:val="0"/>
              <w:snapToGrid w:val="0"/>
              <w:jc w:val="center"/>
              <w:rPr>
                <w:rFonts w:ascii="仿宋_GB2312" w:hAnsi="仿宋_GB2312" w:eastAsia="仿宋_GB2312" w:cs="仿宋_GB2312"/>
                <w:color w:val="000000"/>
                <w:sz w:val="21"/>
                <w:szCs w:val="21"/>
              </w:rPr>
            </w:pPr>
          </w:p>
        </w:tc>
        <w:tc>
          <w:tcPr>
            <w:tcW w:w="1846"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4253"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850"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严重</w:t>
            </w:r>
          </w:p>
        </w:tc>
        <w:tc>
          <w:tcPr>
            <w:tcW w:w="2127"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损失的蚕遗传资源不可重新获得的</w:t>
            </w:r>
          </w:p>
        </w:tc>
        <w:tc>
          <w:tcPr>
            <w:tcW w:w="4503" w:type="dxa"/>
            <w:gridSpan w:val="2"/>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处二十五万元以上五十万元以下罚款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4" w:hRule="atLeast"/>
          <w:jc w:val="center"/>
        </w:trPr>
        <w:tc>
          <w:tcPr>
            <w:tcW w:w="421" w:type="dxa"/>
            <w:vMerge w:val="restart"/>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2</w:t>
            </w:r>
          </w:p>
        </w:tc>
        <w:tc>
          <w:tcPr>
            <w:tcW w:w="1846" w:type="dxa"/>
            <w:vMerge w:val="restart"/>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未经审批开展对外合作研究利用蚕遗传资源的</w:t>
            </w:r>
          </w:p>
        </w:tc>
        <w:tc>
          <w:tcPr>
            <w:tcW w:w="4253" w:type="dxa"/>
            <w:vMerge w:val="restart"/>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蚕种管理办法》第三十条第一款，未经审批开展对外合作研究利用蚕遗传资源的，由省级以上人民政府农业（蚕业）行政主管部门责令停止违法行为，没收蚕遗传资源和违法所得，并处一万元以上五万元以下罚款。</w:t>
            </w:r>
          </w:p>
        </w:tc>
        <w:tc>
          <w:tcPr>
            <w:tcW w:w="850"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较轻</w:t>
            </w:r>
          </w:p>
        </w:tc>
        <w:tc>
          <w:tcPr>
            <w:tcW w:w="2127"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没有违法所得，影响较轻的</w:t>
            </w:r>
          </w:p>
        </w:tc>
        <w:tc>
          <w:tcPr>
            <w:tcW w:w="2409" w:type="dxa"/>
            <w:vMerge w:val="restart"/>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没收蚕遗传资源和违法所得</w:t>
            </w:r>
          </w:p>
        </w:tc>
        <w:tc>
          <w:tcPr>
            <w:tcW w:w="2094"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并处一万元以上三万元以下罚款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4" w:hRule="atLeast"/>
          <w:jc w:val="center"/>
        </w:trPr>
        <w:tc>
          <w:tcPr>
            <w:tcW w:w="421" w:type="dxa"/>
            <w:vMerge w:val="continue"/>
            <w:tcBorders>
              <w:tl2br w:val="nil"/>
              <w:tr2bl w:val="nil"/>
            </w:tcBorders>
            <w:tcMar>
              <w:top w:w="57" w:type="dxa"/>
              <w:left w:w="57" w:type="dxa"/>
              <w:bottom w:w="57" w:type="dxa"/>
              <w:right w:w="57" w:type="dxa"/>
            </w:tcMar>
            <w:vAlign w:val="center"/>
          </w:tcPr>
          <w:p>
            <w:pPr>
              <w:adjustRightInd w:val="0"/>
              <w:snapToGrid w:val="0"/>
              <w:jc w:val="center"/>
              <w:rPr>
                <w:rFonts w:ascii="仿宋_GB2312" w:hAnsi="仿宋_GB2312" w:eastAsia="仿宋_GB2312" w:cs="仿宋_GB2312"/>
                <w:color w:val="000000"/>
                <w:sz w:val="21"/>
                <w:szCs w:val="21"/>
              </w:rPr>
            </w:pPr>
          </w:p>
        </w:tc>
        <w:tc>
          <w:tcPr>
            <w:tcW w:w="1846"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4253"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850"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严重</w:t>
            </w:r>
          </w:p>
        </w:tc>
        <w:tc>
          <w:tcPr>
            <w:tcW w:w="2127"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没有违法所得但影响较重，或有违法所得的</w:t>
            </w:r>
          </w:p>
        </w:tc>
        <w:tc>
          <w:tcPr>
            <w:tcW w:w="2409"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2094"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并处三万元以上五万元以下罚款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4" w:hRule="atLeast"/>
          <w:jc w:val="center"/>
        </w:trPr>
        <w:tc>
          <w:tcPr>
            <w:tcW w:w="421" w:type="dxa"/>
            <w:vMerge w:val="restart"/>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3</w:t>
            </w:r>
          </w:p>
        </w:tc>
        <w:tc>
          <w:tcPr>
            <w:tcW w:w="1846" w:type="dxa"/>
            <w:vMerge w:val="restart"/>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销售、推广未经审定蚕种的</w:t>
            </w:r>
          </w:p>
        </w:tc>
        <w:tc>
          <w:tcPr>
            <w:tcW w:w="4253" w:type="dxa"/>
            <w:vMerge w:val="restart"/>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蚕种管理办法》第三十一条第一款，违反本办法第十一条第二款的规定，销售、推广未经审定蚕种的，由县级以上人民政府农业（蚕业）行政主管部门责令停止违法行为，没收蚕种和违法所得；违法所得在五万元以上的，并处违法所得一倍以上三倍以下罚款；没有违法所得或者违法所得不足五万元的，并处五千元以上五万元以下罚款。</w:t>
            </w:r>
          </w:p>
        </w:tc>
        <w:tc>
          <w:tcPr>
            <w:tcW w:w="850"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较轻</w:t>
            </w:r>
          </w:p>
        </w:tc>
        <w:tc>
          <w:tcPr>
            <w:tcW w:w="2127"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没有违法所得</w:t>
            </w:r>
          </w:p>
        </w:tc>
        <w:tc>
          <w:tcPr>
            <w:tcW w:w="2409" w:type="dxa"/>
            <w:vMerge w:val="restart"/>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没收蚕种和违法所得</w:t>
            </w:r>
          </w:p>
        </w:tc>
        <w:tc>
          <w:tcPr>
            <w:tcW w:w="2094"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并处五千元以上一万元以下罚款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4" w:hRule="atLeast"/>
          <w:jc w:val="center"/>
        </w:trPr>
        <w:tc>
          <w:tcPr>
            <w:tcW w:w="421" w:type="dxa"/>
            <w:vMerge w:val="continue"/>
            <w:tcBorders>
              <w:tl2br w:val="nil"/>
              <w:tr2bl w:val="nil"/>
            </w:tcBorders>
            <w:tcMar>
              <w:top w:w="57" w:type="dxa"/>
              <w:left w:w="57" w:type="dxa"/>
              <w:bottom w:w="57" w:type="dxa"/>
              <w:right w:w="57" w:type="dxa"/>
            </w:tcMar>
            <w:vAlign w:val="center"/>
          </w:tcPr>
          <w:p>
            <w:pPr>
              <w:adjustRightInd w:val="0"/>
              <w:snapToGrid w:val="0"/>
              <w:jc w:val="center"/>
              <w:rPr>
                <w:rFonts w:ascii="仿宋_GB2312" w:hAnsi="仿宋_GB2312" w:eastAsia="仿宋_GB2312" w:cs="仿宋_GB2312"/>
                <w:color w:val="000000"/>
                <w:sz w:val="21"/>
                <w:szCs w:val="21"/>
              </w:rPr>
            </w:pPr>
          </w:p>
        </w:tc>
        <w:tc>
          <w:tcPr>
            <w:tcW w:w="1846"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4253"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850"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一般</w:t>
            </w:r>
          </w:p>
        </w:tc>
        <w:tc>
          <w:tcPr>
            <w:tcW w:w="2127"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违法所得不足五万元的</w:t>
            </w:r>
          </w:p>
        </w:tc>
        <w:tc>
          <w:tcPr>
            <w:tcW w:w="2409"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2094"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并处一万元以上五万元以下罚款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4" w:hRule="atLeast"/>
          <w:jc w:val="center"/>
        </w:trPr>
        <w:tc>
          <w:tcPr>
            <w:tcW w:w="421" w:type="dxa"/>
            <w:vMerge w:val="continue"/>
            <w:tcBorders>
              <w:tl2br w:val="nil"/>
              <w:tr2bl w:val="nil"/>
            </w:tcBorders>
            <w:tcMar>
              <w:top w:w="57" w:type="dxa"/>
              <w:left w:w="57" w:type="dxa"/>
              <w:bottom w:w="57" w:type="dxa"/>
              <w:right w:w="57" w:type="dxa"/>
            </w:tcMar>
            <w:vAlign w:val="center"/>
          </w:tcPr>
          <w:p>
            <w:pPr>
              <w:adjustRightInd w:val="0"/>
              <w:snapToGrid w:val="0"/>
              <w:jc w:val="center"/>
              <w:rPr>
                <w:rFonts w:ascii="仿宋_GB2312" w:hAnsi="仿宋_GB2312" w:eastAsia="仿宋_GB2312" w:cs="仿宋_GB2312"/>
                <w:color w:val="000000"/>
                <w:sz w:val="21"/>
                <w:szCs w:val="21"/>
              </w:rPr>
            </w:pPr>
          </w:p>
        </w:tc>
        <w:tc>
          <w:tcPr>
            <w:tcW w:w="1846"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4253"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850"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严重</w:t>
            </w:r>
          </w:p>
        </w:tc>
        <w:tc>
          <w:tcPr>
            <w:tcW w:w="2127"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违法所得在五万元以上的</w:t>
            </w:r>
          </w:p>
        </w:tc>
        <w:tc>
          <w:tcPr>
            <w:tcW w:w="2409"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2094"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并处违法所得一倍以上三倍以下罚款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7" w:hRule="atLeast"/>
          <w:jc w:val="center"/>
        </w:trPr>
        <w:tc>
          <w:tcPr>
            <w:tcW w:w="421" w:type="dxa"/>
            <w:vMerge w:val="restart"/>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4</w:t>
            </w:r>
          </w:p>
        </w:tc>
        <w:tc>
          <w:tcPr>
            <w:tcW w:w="1846" w:type="dxa"/>
            <w:vMerge w:val="restart"/>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无蚕种生产、经营许可证或者违反蚕种生产、经营许可证的规定生产经营蚕种，或者转让、租借蚕种生产、经营许可证的</w:t>
            </w:r>
          </w:p>
        </w:tc>
        <w:tc>
          <w:tcPr>
            <w:tcW w:w="4253" w:type="dxa"/>
            <w:vMerge w:val="restart"/>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蚕种管理办法》第三十二条，违反本办法有关规定，无蚕种生产、经营许可证或者违反蚕种生产、经营许可证的规定生产经营蚕种，或者转让、租借蚕种生产、经营许可证的，由县级以上人民政府农业（蚕业）行政主管部门责令停止违法行为，没收违法所得；违法所得在三万元以上的，并处违法所得一倍以上三倍以下罚款；没有违法所得或者违法所得不足三万元的，并处三千元以上三万元以下罚款。违反蚕种生产、经营许可证的规定生产经营蚕种或者转让、租借蚕种生产、经营许可证，情节严重的，并处吊销蚕种生产、经营许可证。</w:t>
            </w:r>
          </w:p>
        </w:tc>
        <w:tc>
          <w:tcPr>
            <w:tcW w:w="850"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较轻</w:t>
            </w:r>
          </w:p>
        </w:tc>
        <w:tc>
          <w:tcPr>
            <w:tcW w:w="2127"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没有违法所得</w:t>
            </w:r>
          </w:p>
        </w:tc>
        <w:tc>
          <w:tcPr>
            <w:tcW w:w="2409" w:type="dxa"/>
            <w:vMerge w:val="restart"/>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没收违法所得</w:t>
            </w:r>
          </w:p>
        </w:tc>
        <w:tc>
          <w:tcPr>
            <w:tcW w:w="2094"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并处三千元以上一万元以下罚款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7" w:hRule="atLeast"/>
          <w:jc w:val="center"/>
        </w:trPr>
        <w:tc>
          <w:tcPr>
            <w:tcW w:w="421" w:type="dxa"/>
            <w:vMerge w:val="continue"/>
            <w:tcBorders>
              <w:tl2br w:val="nil"/>
              <w:tr2bl w:val="nil"/>
            </w:tcBorders>
            <w:tcMar>
              <w:top w:w="57" w:type="dxa"/>
              <w:left w:w="57" w:type="dxa"/>
              <w:bottom w:w="57" w:type="dxa"/>
              <w:right w:w="57" w:type="dxa"/>
            </w:tcMar>
            <w:vAlign w:val="center"/>
          </w:tcPr>
          <w:p>
            <w:pPr>
              <w:adjustRightInd w:val="0"/>
              <w:snapToGrid w:val="0"/>
              <w:jc w:val="center"/>
              <w:rPr>
                <w:rFonts w:ascii="仿宋_GB2312" w:hAnsi="仿宋_GB2312" w:eastAsia="仿宋_GB2312" w:cs="仿宋_GB2312"/>
                <w:color w:val="000000"/>
                <w:sz w:val="21"/>
                <w:szCs w:val="21"/>
              </w:rPr>
            </w:pPr>
          </w:p>
        </w:tc>
        <w:tc>
          <w:tcPr>
            <w:tcW w:w="1846"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4253"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850"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一般</w:t>
            </w:r>
          </w:p>
        </w:tc>
        <w:tc>
          <w:tcPr>
            <w:tcW w:w="2127"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违法所得不足三万元的</w:t>
            </w:r>
          </w:p>
        </w:tc>
        <w:tc>
          <w:tcPr>
            <w:tcW w:w="2409"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2094"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并处一万元以上三万元以下罚款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7" w:hRule="atLeast"/>
          <w:jc w:val="center"/>
        </w:trPr>
        <w:tc>
          <w:tcPr>
            <w:tcW w:w="421" w:type="dxa"/>
            <w:vMerge w:val="continue"/>
            <w:tcBorders>
              <w:tl2br w:val="nil"/>
              <w:tr2bl w:val="nil"/>
            </w:tcBorders>
            <w:tcMar>
              <w:top w:w="57" w:type="dxa"/>
              <w:left w:w="57" w:type="dxa"/>
              <w:bottom w:w="57" w:type="dxa"/>
              <w:right w:w="57" w:type="dxa"/>
            </w:tcMar>
            <w:vAlign w:val="center"/>
          </w:tcPr>
          <w:p>
            <w:pPr>
              <w:adjustRightInd w:val="0"/>
              <w:snapToGrid w:val="0"/>
              <w:jc w:val="center"/>
              <w:rPr>
                <w:rFonts w:ascii="仿宋_GB2312" w:hAnsi="仿宋_GB2312" w:eastAsia="仿宋_GB2312" w:cs="仿宋_GB2312"/>
                <w:color w:val="000000"/>
                <w:sz w:val="21"/>
                <w:szCs w:val="21"/>
              </w:rPr>
            </w:pPr>
          </w:p>
        </w:tc>
        <w:tc>
          <w:tcPr>
            <w:tcW w:w="1846"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4253"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850"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较重</w:t>
            </w:r>
          </w:p>
        </w:tc>
        <w:tc>
          <w:tcPr>
            <w:tcW w:w="2127"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违法所得在三万元以上的</w:t>
            </w:r>
          </w:p>
        </w:tc>
        <w:tc>
          <w:tcPr>
            <w:tcW w:w="2409"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2094"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并处违法所得一倍以上三倍以下罚款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421" w:type="dxa"/>
            <w:vMerge w:val="continue"/>
            <w:tcBorders>
              <w:tl2br w:val="nil"/>
              <w:tr2bl w:val="nil"/>
            </w:tcBorders>
            <w:tcMar>
              <w:top w:w="57" w:type="dxa"/>
              <w:left w:w="57" w:type="dxa"/>
              <w:bottom w:w="57" w:type="dxa"/>
              <w:right w:w="57" w:type="dxa"/>
            </w:tcMar>
            <w:vAlign w:val="center"/>
          </w:tcPr>
          <w:p>
            <w:pPr>
              <w:adjustRightInd w:val="0"/>
              <w:snapToGrid w:val="0"/>
              <w:jc w:val="center"/>
              <w:rPr>
                <w:rFonts w:ascii="仿宋_GB2312" w:hAnsi="仿宋_GB2312" w:eastAsia="仿宋_GB2312" w:cs="仿宋_GB2312"/>
                <w:color w:val="000000"/>
                <w:sz w:val="21"/>
                <w:szCs w:val="21"/>
              </w:rPr>
            </w:pPr>
          </w:p>
        </w:tc>
        <w:tc>
          <w:tcPr>
            <w:tcW w:w="1846"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4253"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850"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严重</w:t>
            </w:r>
          </w:p>
        </w:tc>
        <w:tc>
          <w:tcPr>
            <w:tcW w:w="2127"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违反蚕种生产、经营许可证的规定生产经营蚕种，或转让、租借蚕种生产、经营许可证，情节严重的</w:t>
            </w:r>
          </w:p>
        </w:tc>
        <w:tc>
          <w:tcPr>
            <w:tcW w:w="2409"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2094"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并处违法所得一倍以上三倍以下罚款，吊销蚕种生产、经营许可证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421" w:type="dxa"/>
            <w:vMerge w:val="restart"/>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5</w:t>
            </w:r>
          </w:p>
        </w:tc>
        <w:tc>
          <w:tcPr>
            <w:tcW w:w="1846" w:type="dxa"/>
            <w:vMerge w:val="restart"/>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以不合格蚕种冒充合格的蚕种，或冒充其他企业（种场）名称或者品种的蚕种</w:t>
            </w:r>
          </w:p>
        </w:tc>
        <w:tc>
          <w:tcPr>
            <w:tcW w:w="4253" w:type="dxa"/>
            <w:vMerge w:val="restart"/>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蚕种管理办法》第三十四条，违反本办法第二十三条第一项至第二项规定的，由县级以上地方人民政府农业（蚕业）行政主管部门责令停止销售，没收违法销售的蚕种和违法所得；违法所得在五万元以上的，并处违法所得一倍以上五倍以下罚款；没有违法所得或者违法所得不足五万元的，并处五千元以上五万元以下罚款；情节严重的，并处吊销蚕种生产、经营许可证。</w:t>
            </w:r>
          </w:p>
        </w:tc>
        <w:tc>
          <w:tcPr>
            <w:tcW w:w="850"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较轻</w:t>
            </w:r>
          </w:p>
        </w:tc>
        <w:tc>
          <w:tcPr>
            <w:tcW w:w="2127"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没有违法所得</w:t>
            </w:r>
          </w:p>
        </w:tc>
        <w:tc>
          <w:tcPr>
            <w:tcW w:w="2409" w:type="dxa"/>
            <w:vMerge w:val="restart"/>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没收违法销售的蚕种和违法所得；情节严重的，并处吊销蚕种生产、经营许可证</w:t>
            </w:r>
          </w:p>
        </w:tc>
        <w:tc>
          <w:tcPr>
            <w:tcW w:w="2094"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并处五千元以上一万元以下罚款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421" w:type="dxa"/>
            <w:vMerge w:val="continue"/>
            <w:tcBorders>
              <w:tl2br w:val="nil"/>
              <w:tr2bl w:val="nil"/>
            </w:tcBorders>
            <w:tcMar>
              <w:top w:w="57" w:type="dxa"/>
              <w:left w:w="57" w:type="dxa"/>
              <w:bottom w:w="57" w:type="dxa"/>
              <w:right w:w="57" w:type="dxa"/>
            </w:tcMar>
            <w:vAlign w:val="center"/>
          </w:tcPr>
          <w:p>
            <w:pPr>
              <w:adjustRightInd w:val="0"/>
              <w:snapToGrid w:val="0"/>
              <w:jc w:val="center"/>
              <w:rPr>
                <w:rFonts w:ascii="仿宋_GB2312" w:hAnsi="仿宋_GB2312" w:eastAsia="仿宋_GB2312" w:cs="仿宋_GB2312"/>
                <w:color w:val="000000"/>
                <w:sz w:val="21"/>
                <w:szCs w:val="21"/>
              </w:rPr>
            </w:pPr>
          </w:p>
        </w:tc>
        <w:tc>
          <w:tcPr>
            <w:tcW w:w="1846"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4253"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850"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一般</w:t>
            </w:r>
          </w:p>
        </w:tc>
        <w:tc>
          <w:tcPr>
            <w:tcW w:w="2127"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违法所得不足五万元的</w:t>
            </w:r>
          </w:p>
        </w:tc>
        <w:tc>
          <w:tcPr>
            <w:tcW w:w="2409"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2094"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并处一万元以上五万元以下罚款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421" w:type="dxa"/>
            <w:vMerge w:val="continue"/>
            <w:tcBorders>
              <w:tl2br w:val="nil"/>
              <w:tr2bl w:val="nil"/>
            </w:tcBorders>
            <w:tcMar>
              <w:top w:w="57" w:type="dxa"/>
              <w:left w:w="57" w:type="dxa"/>
              <w:bottom w:w="57" w:type="dxa"/>
              <w:right w:w="57" w:type="dxa"/>
            </w:tcMar>
            <w:vAlign w:val="center"/>
          </w:tcPr>
          <w:p>
            <w:pPr>
              <w:adjustRightInd w:val="0"/>
              <w:snapToGrid w:val="0"/>
              <w:jc w:val="center"/>
              <w:rPr>
                <w:rFonts w:ascii="仿宋_GB2312" w:hAnsi="仿宋_GB2312" w:eastAsia="仿宋_GB2312" w:cs="仿宋_GB2312"/>
                <w:color w:val="000000"/>
                <w:sz w:val="21"/>
                <w:szCs w:val="21"/>
              </w:rPr>
            </w:pPr>
          </w:p>
        </w:tc>
        <w:tc>
          <w:tcPr>
            <w:tcW w:w="1846"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4253"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850"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严重</w:t>
            </w:r>
          </w:p>
        </w:tc>
        <w:tc>
          <w:tcPr>
            <w:tcW w:w="2127"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违法所得在五万元以上的</w:t>
            </w:r>
          </w:p>
        </w:tc>
        <w:tc>
          <w:tcPr>
            <w:tcW w:w="2409"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2094"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并处违法所得一倍以上五倍以下罚款</w:t>
            </w:r>
          </w:p>
        </w:tc>
      </w:tr>
    </w:tbl>
    <w:p>
      <w:pPr>
        <w:pStyle w:val="2"/>
        <w:ind w:firstLine="640" w:firstLineChars="200"/>
        <w:rPr>
          <w:rFonts w:hint="eastAsia" w:ascii="黑体" w:hAnsi="黑体" w:eastAsia="黑体" w:cs="黑体"/>
          <w:color w:val="000000"/>
          <w:kern w:val="0"/>
          <w:sz w:val="32"/>
          <w:szCs w:val="32"/>
        </w:rPr>
      </w:pPr>
    </w:p>
    <w:p>
      <w:pPr>
        <w:pStyle w:val="2"/>
        <w:ind w:firstLine="640" w:firstLineChars="200"/>
      </w:pPr>
      <w:r>
        <w:rPr>
          <w:rFonts w:hint="eastAsia" w:ascii="黑体" w:hAnsi="黑体" w:eastAsia="黑体" w:cs="黑体"/>
          <w:color w:val="000000"/>
          <w:kern w:val="0"/>
          <w:sz w:val="32"/>
          <w:szCs w:val="32"/>
        </w:rPr>
        <w:t>八、农业转基因</w:t>
      </w:r>
    </w:p>
    <w:tbl>
      <w:tblPr>
        <w:tblStyle w:val="7"/>
        <w:tblW w:w="140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21"/>
        <w:gridCol w:w="1818"/>
        <w:gridCol w:w="4255"/>
        <w:gridCol w:w="868"/>
        <w:gridCol w:w="2170"/>
        <w:gridCol w:w="2407"/>
        <w:gridCol w:w="206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blHeader/>
          <w:jc w:val="center"/>
        </w:trPr>
        <w:tc>
          <w:tcPr>
            <w:tcW w:w="421"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黑体" w:hAnsi="黑体" w:eastAsia="黑体" w:cs="黑体"/>
                <w:color w:val="000000"/>
                <w:sz w:val="24"/>
                <w:szCs w:val="24"/>
              </w:rPr>
            </w:pPr>
            <w:r>
              <w:rPr>
                <w:rFonts w:hint="eastAsia" w:ascii="黑体" w:hAnsi="黑体" w:eastAsia="黑体" w:cs="黑体"/>
                <w:color w:val="000000"/>
                <w:kern w:val="0"/>
                <w:sz w:val="24"/>
                <w:szCs w:val="24"/>
              </w:rPr>
              <w:t>序号</w:t>
            </w:r>
          </w:p>
        </w:tc>
        <w:tc>
          <w:tcPr>
            <w:tcW w:w="1818"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黑体" w:hAnsi="黑体" w:eastAsia="黑体" w:cs="黑体"/>
                <w:color w:val="000000"/>
                <w:sz w:val="24"/>
                <w:szCs w:val="24"/>
              </w:rPr>
            </w:pPr>
            <w:r>
              <w:rPr>
                <w:rFonts w:hint="eastAsia" w:ascii="黑体" w:hAnsi="黑体" w:eastAsia="黑体" w:cs="黑体"/>
                <w:color w:val="000000"/>
                <w:kern w:val="0"/>
                <w:sz w:val="24"/>
                <w:szCs w:val="24"/>
              </w:rPr>
              <w:t>违法行为</w:t>
            </w:r>
          </w:p>
        </w:tc>
        <w:tc>
          <w:tcPr>
            <w:tcW w:w="4255"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黑体" w:hAnsi="黑体" w:eastAsia="黑体" w:cs="黑体"/>
                <w:color w:val="000000"/>
                <w:sz w:val="24"/>
                <w:szCs w:val="24"/>
              </w:rPr>
            </w:pPr>
            <w:r>
              <w:rPr>
                <w:rFonts w:hint="eastAsia" w:ascii="黑体" w:hAnsi="黑体" w:eastAsia="黑体" w:cs="黑体"/>
                <w:color w:val="000000"/>
                <w:kern w:val="0"/>
                <w:sz w:val="24"/>
                <w:szCs w:val="24"/>
              </w:rPr>
              <w:t>处罚依据</w:t>
            </w:r>
          </w:p>
        </w:tc>
        <w:tc>
          <w:tcPr>
            <w:tcW w:w="868"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黑体" w:hAnsi="黑体" w:eastAsia="黑体" w:cs="黑体"/>
                <w:color w:val="000000"/>
                <w:kern w:val="0"/>
                <w:sz w:val="24"/>
                <w:szCs w:val="24"/>
              </w:rPr>
            </w:pPr>
            <w:r>
              <w:rPr>
                <w:rFonts w:hint="eastAsia" w:ascii="黑体" w:hAnsi="黑体" w:eastAsia="黑体" w:cs="黑体"/>
                <w:color w:val="000000"/>
                <w:kern w:val="0"/>
                <w:sz w:val="24"/>
                <w:szCs w:val="24"/>
              </w:rPr>
              <w:t>违法</w:t>
            </w:r>
          </w:p>
          <w:p>
            <w:pPr>
              <w:widowControl/>
              <w:adjustRightInd w:val="0"/>
              <w:snapToGrid w:val="0"/>
              <w:jc w:val="center"/>
              <w:textAlignment w:val="center"/>
              <w:rPr>
                <w:rFonts w:ascii="黑体" w:hAnsi="黑体" w:eastAsia="黑体" w:cs="黑体"/>
                <w:color w:val="000000"/>
                <w:sz w:val="24"/>
                <w:szCs w:val="24"/>
              </w:rPr>
            </w:pPr>
            <w:r>
              <w:rPr>
                <w:rFonts w:hint="eastAsia" w:ascii="黑体" w:hAnsi="黑体" w:eastAsia="黑体" w:cs="黑体"/>
                <w:color w:val="000000"/>
                <w:kern w:val="0"/>
                <w:sz w:val="24"/>
                <w:szCs w:val="24"/>
              </w:rPr>
              <w:t>程度</w:t>
            </w:r>
          </w:p>
        </w:tc>
        <w:tc>
          <w:tcPr>
            <w:tcW w:w="2170"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黑体" w:hAnsi="黑体" w:eastAsia="黑体" w:cs="黑体"/>
                <w:color w:val="000000"/>
                <w:sz w:val="24"/>
                <w:szCs w:val="24"/>
              </w:rPr>
            </w:pPr>
            <w:r>
              <w:rPr>
                <w:rFonts w:hint="eastAsia" w:ascii="黑体" w:hAnsi="黑体" w:eastAsia="黑体" w:cs="黑体"/>
                <w:color w:val="000000"/>
                <w:kern w:val="0"/>
                <w:sz w:val="24"/>
                <w:szCs w:val="24"/>
              </w:rPr>
              <w:t>违法情节</w:t>
            </w:r>
          </w:p>
        </w:tc>
        <w:tc>
          <w:tcPr>
            <w:tcW w:w="4468" w:type="dxa"/>
            <w:gridSpan w:val="2"/>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黑体" w:hAnsi="黑体" w:eastAsia="黑体" w:cs="黑体"/>
                <w:color w:val="000000"/>
                <w:sz w:val="24"/>
                <w:szCs w:val="24"/>
              </w:rPr>
            </w:pPr>
            <w:r>
              <w:rPr>
                <w:rFonts w:hint="eastAsia" w:ascii="黑体" w:hAnsi="黑体" w:eastAsia="黑体" w:cs="黑体"/>
                <w:color w:val="000000"/>
                <w:kern w:val="0"/>
                <w:sz w:val="24"/>
                <w:szCs w:val="24"/>
              </w:rPr>
              <w:t>裁量标准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6" w:hRule="atLeast"/>
          <w:jc w:val="center"/>
        </w:trPr>
        <w:tc>
          <w:tcPr>
            <w:tcW w:w="421" w:type="dxa"/>
            <w:vMerge w:val="restart"/>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1</w:t>
            </w:r>
          </w:p>
        </w:tc>
        <w:tc>
          <w:tcPr>
            <w:tcW w:w="1818" w:type="dxa"/>
            <w:vMerge w:val="restart"/>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未经批准擅自从事环境释放、生产性试验的；已获批准但未按照规定采取安全管理、防范措施的，或者超过批准范围和期限进行试验的</w:t>
            </w:r>
          </w:p>
        </w:tc>
        <w:tc>
          <w:tcPr>
            <w:tcW w:w="4255" w:type="dxa"/>
            <w:vMerge w:val="restart"/>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1.《农业转基因生物安全管理条例》第四十三条，违反本条例规定，未经批准擅自从事环境释放、生产性试验的；已获批准但未按照规定采取安全管理、防范措施的，或者超过批准范围进行试验的，由国务院农业行政主管部门或者省、自治区、直辖市人民政府农业行政主管部门依据职权，责令停止试验，并处1万元以上5万元以下的罚款。</w:t>
            </w:r>
            <w:r>
              <w:rPr>
                <w:rFonts w:hint="eastAsia" w:ascii="仿宋_GB2312" w:hAnsi="仿宋_GB2312" w:eastAsia="仿宋_GB2312" w:cs="仿宋_GB2312"/>
                <w:color w:val="000000"/>
                <w:kern w:val="0"/>
                <w:sz w:val="21"/>
                <w:szCs w:val="21"/>
              </w:rPr>
              <w:br w:type="textWrapping"/>
            </w:r>
            <w:r>
              <w:rPr>
                <w:rFonts w:hint="eastAsia" w:ascii="仿宋_GB2312" w:hAnsi="仿宋_GB2312" w:eastAsia="仿宋_GB2312" w:cs="仿宋_GB2312"/>
                <w:color w:val="000000"/>
                <w:kern w:val="0"/>
                <w:sz w:val="21"/>
                <w:szCs w:val="21"/>
              </w:rPr>
              <w:t>2.《农业转基因生物安全评价管理办法》第四十条，违反本办法规定，未经批准擅自从事环境释放、生产性试验的，或已获批准但未按照规定采取安全管理防范措施的，或者超过批准范围和期限进行试验的，按照《条例》第四十四条的规定处罚。</w:t>
            </w:r>
          </w:p>
        </w:tc>
        <w:tc>
          <w:tcPr>
            <w:tcW w:w="868"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较轻</w:t>
            </w:r>
          </w:p>
        </w:tc>
        <w:tc>
          <w:tcPr>
            <w:tcW w:w="2170"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已获批准但超过批准范围和期限进行试验的</w:t>
            </w:r>
          </w:p>
        </w:tc>
        <w:tc>
          <w:tcPr>
            <w:tcW w:w="2407" w:type="dxa"/>
            <w:vMerge w:val="restart"/>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责令停止试验</w:t>
            </w:r>
          </w:p>
        </w:tc>
        <w:tc>
          <w:tcPr>
            <w:tcW w:w="2061"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处一万元以上二万元以下罚款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20" w:hRule="atLeast"/>
          <w:jc w:val="center"/>
        </w:trPr>
        <w:tc>
          <w:tcPr>
            <w:tcW w:w="421"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1818"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4255"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868"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一般</w:t>
            </w:r>
          </w:p>
        </w:tc>
        <w:tc>
          <w:tcPr>
            <w:tcW w:w="2170"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已获批准但未按照规定采取安全管理、防范措施的</w:t>
            </w:r>
          </w:p>
        </w:tc>
        <w:tc>
          <w:tcPr>
            <w:tcW w:w="2407"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2061"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处二万元以上四万元以下罚款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2" w:hRule="atLeast"/>
          <w:jc w:val="center"/>
        </w:trPr>
        <w:tc>
          <w:tcPr>
            <w:tcW w:w="421"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1818"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4255"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868"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严重</w:t>
            </w:r>
          </w:p>
        </w:tc>
        <w:tc>
          <w:tcPr>
            <w:tcW w:w="2170"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未经批准擅自从事环境释放、生产性试验的</w:t>
            </w:r>
          </w:p>
        </w:tc>
        <w:tc>
          <w:tcPr>
            <w:tcW w:w="2407"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2061"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处四万元以上五万元以下罚款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91" w:hRule="atLeast"/>
          <w:jc w:val="center"/>
        </w:trPr>
        <w:tc>
          <w:tcPr>
            <w:tcW w:w="421" w:type="dxa"/>
            <w:vMerge w:val="restart"/>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2</w:t>
            </w:r>
          </w:p>
        </w:tc>
        <w:tc>
          <w:tcPr>
            <w:tcW w:w="1818" w:type="dxa"/>
            <w:vMerge w:val="restart"/>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未经批准生产、加工农业转基因生物或者未按照批准的品种、范围、安全管理要求和技术标准生产、加工的</w:t>
            </w:r>
          </w:p>
        </w:tc>
        <w:tc>
          <w:tcPr>
            <w:tcW w:w="4255" w:type="dxa"/>
            <w:vMerge w:val="restart"/>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农业转基因生物安全管理条例》第四十六条，违反本条例规定，未经批准生产、加工农业转基因生物或者未按照批准的品种、范围、安全管理要求和技术标准生产、加工的，由国务院农业行政主管部门或者省、自治区、直辖市人民政府农业行政主管部门依据职权，责令停止生产或者加工，没收违法生产或者加工的产品及违法所得；违法所得10万元以上的，并处违法所得1倍以上5倍以下的罚款；没有违法所得或违法所得不足10万元的，并处10万元以上20万元以下的罚款。</w:t>
            </w:r>
          </w:p>
        </w:tc>
        <w:tc>
          <w:tcPr>
            <w:tcW w:w="868"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较轻</w:t>
            </w:r>
          </w:p>
        </w:tc>
        <w:tc>
          <w:tcPr>
            <w:tcW w:w="2170"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没有违法所得或违法所得不足十万元的</w:t>
            </w:r>
          </w:p>
        </w:tc>
        <w:tc>
          <w:tcPr>
            <w:tcW w:w="2407" w:type="dxa"/>
            <w:vMerge w:val="restart"/>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责令停止生产或者加工，没收违法生产或者加工的产品及违法所得</w:t>
            </w:r>
          </w:p>
        </w:tc>
        <w:tc>
          <w:tcPr>
            <w:tcW w:w="2061"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并处十万元以上二十万元以下的罚款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3" w:hRule="atLeast"/>
          <w:jc w:val="center"/>
        </w:trPr>
        <w:tc>
          <w:tcPr>
            <w:tcW w:w="421"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1818"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4255"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868"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一般</w:t>
            </w:r>
          </w:p>
        </w:tc>
        <w:tc>
          <w:tcPr>
            <w:tcW w:w="2170"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违法所得在十万元至五十万元的</w:t>
            </w:r>
          </w:p>
        </w:tc>
        <w:tc>
          <w:tcPr>
            <w:tcW w:w="2407"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2061"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并处违法所得一倍以上三倍以下的罚款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1" w:hRule="atLeast"/>
          <w:jc w:val="center"/>
        </w:trPr>
        <w:tc>
          <w:tcPr>
            <w:tcW w:w="421"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1818"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4255"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868"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较重</w:t>
            </w:r>
          </w:p>
        </w:tc>
        <w:tc>
          <w:tcPr>
            <w:tcW w:w="2170"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违法所得在五十万元以上的</w:t>
            </w:r>
          </w:p>
        </w:tc>
        <w:tc>
          <w:tcPr>
            <w:tcW w:w="2407"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2061"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并处三倍以上五倍以下罚款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2" w:hRule="atLeast"/>
          <w:jc w:val="center"/>
        </w:trPr>
        <w:tc>
          <w:tcPr>
            <w:tcW w:w="421" w:type="dxa"/>
            <w:vMerge w:val="restart"/>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3</w:t>
            </w:r>
          </w:p>
        </w:tc>
        <w:tc>
          <w:tcPr>
            <w:tcW w:w="1818" w:type="dxa"/>
            <w:vMerge w:val="restart"/>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违反农业转基因生物标识管理规定的</w:t>
            </w:r>
          </w:p>
        </w:tc>
        <w:tc>
          <w:tcPr>
            <w:tcW w:w="4255" w:type="dxa"/>
            <w:vMerge w:val="restart"/>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农业转基因生物安全管理条例》第五十条，违反本条例关于农业转基因生物标识管理规定的，由县级以上人民政府农业行政主管部门依据职权，责令限期改正，可以没收非法销售的产品和违法所得，并处以1万元以上5万元以下的罚款。</w:t>
            </w:r>
          </w:p>
        </w:tc>
        <w:tc>
          <w:tcPr>
            <w:tcW w:w="868"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较轻</w:t>
            </w:r>
          </w:p>
        </w:tc>
        <w:tc>
          <w:tcPr>
            <w:tcW w:w="2170"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转基因生物标识标注不醒目，难以辨认，或附加标识不牢固、不持久的</w:t>
            </w:r>
          </w:p>
        </w:tc>
        <w:tc>
          <w:tcPr>
            <w:tcW w:w="2407" w:type="dxa"/>
            <w:vMerge w:val="restart"/>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可以没收非法销售的产品和违法所得</w:t>
            </w:r>
          </w:p>
        </w:tc>
        <w:tc>
          <w:tcPr>
            <w:tcW w:w="2061"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并处以一万元以上二万元以下的罚款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421"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1818"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4255"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868"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较重</w:t>
            </w:r>
          </w:p>
        </w:tc>
        <w:tc>
          <w:tcPr>
            <w:tcW w:w="2170"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不标注转基因生物标识的</w:t>
            </w:r>
          </w:p>
        </w:tc>
        <w:tc>
          <w:tcPr>
            <w:tcW w:w="2407"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2061"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并处以二万元以上五万元以下的罚款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2" w:hRule="atLeast"/>
          <w:jc w:val="center"/>
        </w:trPr>
        <w:tc>
          <w:tcPr>
            <w:tcW w:w="421" w:type="dxa"/>
            <w:vMerge w:val="restart"/>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4</w:t>
            </w:r>
          </w:p>
        </w:tc>
        <w:tc>
          <w:tcPr>
            <w:tcW w:w="1818" w:type="dxa"/>
            <w:vMerge w:val="restart"/>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假冒、伪造、转让或者买卖农业转基因生物有关证明文书的</w:t>
            </w:r>
          </w:p>
        </w:tc>
        <w:tc>
          <w:tcPr>
            <w:tcW w:w="4255" w:type="dxa"/>
            <w:vMerge w:val="restart"/>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农业转基因生物安全管理条例》第五十一条，假冒、伪造、转让或者买卖农业转基因生物有关证明文书的，由县级以上人民政府农业行政主管部门依据职权，收缴相应的证明文书，并处2万元以上10万元以下的罚款；构成犯罪的，依法追究刑事责任。</w:t>
            </w:r>
          </w:p>
        </w:tc>
        <w:tc>
          <w:tcPr>
            <w:tcW w:w="868"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较轻</w:t>
            </w:r>
          </w:p>
        </w:tc>
        <w:tc>
          <w:tcPr>
            <w:tcW w:w="2170"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转让或者买卖农业转基因生物有关证明文书的</w:t>
            </w:r>
          </w:p>
        </w:tc>
        <w:tc>
          <w:tcPr>
            <w:tcW w:w="2407" w:type="dxa"/>
            <w:vMerge w:val="restart"/>
            <w:tcBorders>
              <w:tl2br w:val="nil"/>
              <w:tr2bl w:val="nil"/>
            </w:tcBorders>
            <w:noWrap/>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收缴相应证明文书</w:t>
            </w:r>
          </w:p>
        </w:tc>
        <w:tc>
          <w:tcPr>
            <w:tcW w:w="2061"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并处二万元以上五万元以下的罚款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jc w:val="center"/>
        </w:trPr>
        <w:tc>
          <w:tcPr>
            <w:tcW w:w="421"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1818"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4255"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868"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较重</w:t>
            </w:r>
          </w:p>
        </w:tc>
        <w:tc>
          <w:tcPr>
            <w:tcW w:w="2170"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假冒、伪造农业转基因生物有关证明文书的</w:t>
            </w:r>
          </w:p>
        </w:tc>
        <w:tc>
          <w:tcPr>
            <w:tcW w:w="2407" w:type="dxa"/>
            <w:vMerge w:val="continue"/>
            <w:tcBorders>
              <w:tl2br w:val="nil"/>
              <w:tr2bl w:val="nil"/>
            </w:tcBorders>
            <w:noWrap/>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2061"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并处五万元以上十万元以下的罚款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4" w:hRule="atLeast"/>
          <w:jc w:val="center"/>
        </w:trPr>
        <w:tc>
          <w:tcPr>
            <w:tcW w:w="421" w:type="dxa"/>
            <w:vMerge w:val="restart"/>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5</w:t>
            </w:r>
          </w:p>
        </w:tc>
        <w:tc>
          <w:tcPr>
            <w:tcW w:w="1818" w:type="dxa"/>
            <w:vMerge w:val="restart"/>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转基因植物种子、种畜禽、水产苗种的生产、经营单位和个人，未按照规定制作、保存转基因种子生产经营档案的</w:t>
            </w:r>
          </w:p>
        </w:tc>
        <w:tc>
          <w:tcPr>
            <w:tcW w:w="4255" w:type="dxa"/>
            <w:vMerge w:val="restart"/>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农业转基因生物安全管理条例》第四十七条，违反本条例规定，转基因植物种子、种畜禽、水产苗种的生产、经营单位和个人，未按照规定制作、保存生产经营档案的，由县级以上人民政府农业行政主管部门依据职权，责令改正，处1000元以上1万元以下的罚款。</w:t>
            </w:r>
          </w:p>
        </w:tc>
        <w:tc>
          <w:tcPr>
            <w:tcW w:w="868"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较轻</w:t>
            </w:r>
          </w:p>
        </w:tc>
        <w:tc>
          <w:tcPr>
            <w:tcW w:w="2170"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档案记录不全</w:t>
            </w:r>
          </w:p>
        </w:tc>
        <w:tc>
          <w:tcPr>
            <w:tcW w:w="4468" w:type="dxa"/>
            <w:gridSpan w:val="2"/>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处一千元以上五千元以下的罚款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2" w:hRule="atLeast"/>
          <w:jc w:val="center"/>
        </w:trPr>
        <w:tc>
          <w:tcPr>
            <w:tcW w:w="421"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1818"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4255"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868"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较重</w:t>
            </w:r>
          </w:p>
        </w:tc>
        <w:tc>
          <w:tcPr>
            <w:tcW w:w="2170"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 xml:space="preserve">未按规定建立、保存档案 </w:t>
            </w:r>
          </w:p>
        </w:tc>
        <w:tc>
          <w:tcPr>
            <w:tcW w:w="4468" w:type="dxa"/>
            <w:gridSpan w:val="2"/>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处五千元以上一万元以下的罚款</w:t>
            </w:r>
          </w:p>
        </w:tc>
      </w:tr>
    </w:tbl>
    <w:p/>
    <w:p>
      <w:pPr>
        <w:pStyle w:val="2"/>
      </w:pPr>
      <w:r>
        <w:br w:type="page"/>
      </w:r>
    </w:p>
    <w:p>
      <w:pPr>
        <w:ind w:firstLine="640" w:firstLineChars="200"/>
      </w:pPr>
      <w:r>
        <w:rPr>
          <w:rFonts w:hint="eastAsia" w:ascii="黑体" w:hAnsi="黑体" w:eastAsia="黑体" w:cs="黑体"/>
          <w:color w:val="000000"/>
          <w:kern w:val="0"/>
          <w:sz w:val="32"/>
          <w:szCs w:val="32"/>
        </w:rPr>
        <w:t>九、野生植物保护</w:t>
      </w:r>
    </w:p>
    <w:tbl>
      <w:tblPr>
        <w:tblStyle w:val="7"/>
        <w:tblW w:w="140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21"/>
        <w:gridCol w:w="1098"/>
        <w:gridCol w:w="3531"/>
        <w:gridCol w:w="730"/>
        <w:gridCol w:w="2378"/>
        <w:gridCol w:w="2105"/>
        <w:gridCol w:w="373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blHeader/>
          <w:jc w:val="center"/>
        </w:trPr>
        <w:tc>
          <w:tcPr>
            <w:tcW w:w="421"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黑体" w:hAnsi="黑体" w:eastAsia="黑体" w:cs="黑体"/>
                <w:color w:val="000000"/>
                <w:sz w:val="24"/>
                <w:szCs w:val="24"/>
              </w:rPr>
            </w:pPr>
            <w:r>
              <w:rPr>
                <w:rFonts w:hint="eastAsia" w:ascii="黑体" w:hAnsi="黑体" w:eastAsia="黑体" w:cs="黑体"/>
                <w:color w:val="000000"/>
                <w:kern w:val="0"/>
                <w:sz w:val="24"/>
                <w:szCs w:val="24"/>
              </w:rPr>
              <w:t>序号</w:t>
            </w:r>
          </w:p>
        </w:tc>
        <w:tc>
          <w:tcPr>
            <w:tcW w:w="1098"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黑体" w:hAnsi="黑体" w:eastAsia="黑体" w:cs="黑体"/>
                <w:color w:val="000000"/>
                <w:sz w:val="24"/>
                <w:szCs w:val="24"/>
              </w:rPr>
            </w:pPr>
            <w:r>
              <w:rPr>
                <w:rFonts w:hint="eastAsia" w:ascii="黑体" w:hAnsi="黑体" w:eastAsia="黑体" w:cs="黑体"/>
                <w:color w:val="000000"/>
                <w:kern w:val="0"/>
                <w:sz w:val="24"/>
                <w:szCs w:val="24"/>
              </w:rPr>
              <w:t>违法行为</w:t>
            </w:r>
          </w:p>
        </w:tc>
        <w:tc>
          <w:tcPr>
            <w:tcW w:w="3531"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黑体" w:hAnsi="黑体" w:eastAsia="黑体" w:cs="黑体"/>
                <w:color w:val="000000"/>
                <w:sz w:val="24"/>
                <w:szCs w:val="24"/>
              </w:rPr>
            </w:pPr>
            <w:r>
              <w:rPr>
                <w:rFonts w:hint="eastAsia" w:ascii="黑体" w:hAnsi="黑体" w:eastAsia="黑体" w:cs="黑体"/>
                <w:color w:val="000000"/>
                <w:kern w:val="0"/>
                <w:sz w:val="24"/>
                <w:szCs w:val="24"/>
              </w:rPr>
              <w:t>法律依据</w:t>
            </w:r>
          </w:p>
        </w:tc>
        <w:tc>
          <w:tcPr>
            <w:tcW w:w="730"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黑体" w:hAnsi="黑体" w:eastAsia="黑体" w:cs="黑体"/>
                <w:color w:val="000000"/>
                <w:sz w:val="24"/>
                <w:szCs w:val="24"/>
              </w:rPr>
            </w:pPr>
            <w:r>
              <w:rPr>
                <w:rFonts w:hint="eastAsia" w:ascii="黑体" w:hAnsi="黑体" w:eastAsia="黑体" w:cs="黑体"/>
                <w:color w:val="000000"/>
                <w:kern w:val="0"/>
                <w:sz w:val="24"/>
                <w:szCs w:val="24"/>
              </w:rPr>
              <w:t>违法程度</w:t>
            </w:r>
          </w:p>
        </w:tc>
        <w:tc>
          <w:tcPr>
            <w:tcW w:w="2378"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黑体" w:hAnsi="黑体" w:eastAsia="黑体" w:cs="黑体"/>
                <w:color w:val="000000"/>
                <w:sz w:val="24"/>
                <w:szCs w:val="24"/>
              </w:rPr>
            </w:pPr>
            <w:r>
              <w:rPr>
                <w:rFonts w:hint="eastAsia" w:ascii="黑体" w:hAnsi="黑体" w:eastAsia="黑体" w:cs="黑体"/>
                <w:color w:val="000000"/>
                <w:kern w:val="0"/>
                <w:sz w:val="24"/>
                <w:szCs w:val="24"/>
              </w:rPr>
              <w:t>违法情节</w:t>
            </w:r>
          </w:p>
        </w:tc>
        <w:tc>
          <w:tcPr>
            <w:tcW w:w="5842" w:type="dxa"/>
            <w:gridSpan w:val="2"/>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黑体" w:hAnsi="黑体" w:eastAsia="黑体" w:cs="黑体"/>
                <w:color w:val="000000"/>
                <w:sz w:val="24"/>
                <w:szCs w:val="24"/>
              </w:rPr>
            </w:pPr>
            <w:r>
              <w:rPr>
                <w:rFonts w:hint="eastAsia" w:ascii="黑体" w:hAnsi="黑体" w:eastAsia="黑体" w:cs="黑体"/>
                <w:color w:val="000000"/>
                <w:kern w:val="0"/>
                <w:sz w:val="24"/>
                <w:szCs w:val="24"/>
              </w:rPr>
              <w:t>裁量标准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2" w:hRule="atLeast"/>
          <w:jc w:val="center"/>
        </w:trPr>
        <w:tc>
          <w:tcPr>
            <w:tcW w:w="421" w:type="dxa"/>
            <w:vMerge w:val="restart"/>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1</w:t>
            </w:r>
          </w:p>
        </w:tc>
        <w:tc>
          <w:tcPr>
            <w:tcW w:w="1098" w:type="dxa"/>
            <w:vMerge w:val="restart"/>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未取得采集证或者未按照采集证的规定采集国家重点保护野生植物的</w:t>
            </w:r>
          </w:p>
        </w:tc>
        <w:tc>
          <w:tcPr>
            <w:tcW w:w="3531" w:type="dxa"/>
            <w:vMerge w:val="restart"/>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中华人民共和国野生植物保护条例》第二十三条，违反本条例规定，未取得采集证或者未按照采集证的规定采集国家重点保护野生植物的，由野生植物行政主管部门没收所采集的野生植物和违法所得，可以并处违法所得10倍以下的罚款；有采集证的，并可以吊销采集证。</w:t>
            </w:r>
          </w:p>
        </w:tc>
        <w:tc>
          <w:tcPr>
            <w:tcW w:w="730"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较轻</w:t>
            </w:r>
          </w:p>
        </w:tc>
        <w:tc>
          <w:tcPr>
            <w:tcW w:w="2378"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未按照采集证的规定采集国家重点保护二级野生植物的</w:t>
            </w:r>
          </w:p>
        </w:tc>
        <w:tc>
          <w:tcPr>
            <w:tcW w:w="2105" w:type="dxa"/>
            <w:vMerge w:val="restart"/>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没收所采集的野生植物和违法所得；有采集证的，并可以吊销采集证</w:t>
            </w:r>
          </w:p>
        </w:tc>
        <w:tc>
          <w:tcPr>
            <w:tcW w:w="3737"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可以并处违法所得一倍以上三倍以下的罚款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8" w:hRule="atLeast"/>
          <w:jc w:val="center"/>
        </w:trPr>
        <w:tc>
          <w:tcPr>
            <w:tcW w:w="421" w:type="dxa"/>
            <w:vMerge w:val="continue"/>
            <w:tcBorders>
              <w:tl2br w:val="nil"/>
              <w:tr2bl w:val="nil"/>
            </w:tcBorders>
            <w:tcMar>
              <w:top w:w="57" w:type="dxa"/>
              <w:left w:w="57" w:type="dxa"/>
              <w:bottom w:w="57" w:type="dxa"/>
              <w:right w:w="57" w:type="dxa"/>
            </w:tcMar>
            <w:vAlign w:val="center"/>
          </w:tcPr>
          <w:p>
            <w:pPr>
              <w:adjustRightInd w:val="0"/>
              <w:snapToGrid w:val="0"/>
              <w:jc w:val="center"/>
              <w:rPr>
                <w:rFonts w:ascii="仿宋_GB2312" w:hAnsi="仿宋_GB2312" w:eastAsia="仿宋_GB2312" w:cs="仿宋_GB2312"/>
                <w:color w:val="000000"/>
                <w:sz w:val="21"/>
                <w:szCs w:val="21"/>
              </w:rPr>
            </w:pPr>
          </w:p>
        </w:tc>
        <w:tc>
          <w:tcPr>
            <w:tcW w:w="1098"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3531"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730"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一般</w:t>
            </w:r>
          </w:p>
        </w:tc>
        <w:tc>
          <w:tcPr>
            <w:tcW w:w="2378"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未取得采集证采集国家重点保护二级野生植物的</w:t>
            </w:r>
          </w:p>
        </w:tc>
        <w:tc>
          <w:tcPr>
            <w:tcW w:w="2105"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3737"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可以并处违法所得三倍以上六倍以下的罚款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5" w:hRule="atLeast"/>
          <w:jc w:val="center"/>
        </w:trPr>
        <w:tc>
          <w:tcPr>
            <w:tcW w:w="421" w:type="dxa"/>
            <w:vMerge w:val="continue"/>
            <w:tcBorders>
              <w:tl2br w:val="nil"/>
              <w:tr2bl w:val="nil"/>
            </w:tcBorders>
            <w:tcMar>
              <w:top w:w="57" w:type="dxa"/>
              <w:left w:w="57" w:type="dxa"/>
              <w:bottom w:w="57" w:type="dxa"/>
              <w:right w:w="57" w:type="dxa"/>
            </w:tcMar>
            <w:vAlign w:val="center"/>
          </w:tcPr>
          <w:p>
            <w:pPr>
              <w:adjustRightInd w:val="0"/>
              <w:snapToGrid w:val="0"/>
              <w:jc w:val="center"/>
              <w:rPr>
                <w:rFonts w:ascii="仿宋_GB2312" w:hAnsi="仿宋_GB2312" w:eastAsia="仿宋_GB2312" w:cs="仿宋_GB2312"/>
                <w:color w:val="000000"/>
                <w:sz w:val="21"/>
                <w:szCs w:val="21"/>
              </w:rPr>
            </w:pPr>
          </w:p>
        </w:tc>
        <w:tc>
          <w:tcPr>
            <w:tcW w:w="1098"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3531"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730"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较重</w:t>
            </w:r>
          </w:p>
        </w:tc>
        <w:tc>
          <w:tcPr>
            <w:tcW w:w="2378"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未按照采集证的规定采集国家重点保护一级野生植物的</w:t>
            </w:r>
          </w:p>
        </w:tc>
        <w:tc>
          <w:tcPr>
            <w:tcW w:w="2105"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3737"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可以并处违法所得六倍以上八倍以下罚款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1" w:hRule="atLeast"/>
          <w:jc w:val="center"/>
        </w:trPr>
        <w:tc>
          <w:tcPr>
            <w:tcW w:w="421" w:type="dxa"/>
            <w:vMerge w:val="continue"/>
            <w:tcBorders>
              <w:tl2br w:val="nil"/>
              <w:tr2bl w:val="nil"/>
            </w:tcBorders>
            <w:tcMar>
              <w:top w:w="57" w:type="dxa"/>
              <w:left w:w="57" w:type="dxa"/>
              <w:bottom w:w="57" w:type="dxa"/>
              <w:right w:w="57" w:type="dxa"/>
            </w:tcMar>
            <w:vAlign w:val="center"/>
          </w:tcPr>
          <w:p>
            <w:pPr>
              <w:adjustRightInd w:val="0"/>
              <w:snapToGrid w:val="0"/>
              <w:jc w:val="center"/>
              <w:rPr>
                <w:rFonts w:ascii="仿宋_GB2312" w:hAnsi="仿宋_GB2312" w:eastAsia="仿宋_GB2312" w:cs="仿宋_GB2312"/>
                <w:color w:val="000000"/>
                <w:sz w:val="21"/>
                <w:szCs w:val="21"/>
              </w:rPr>
            </w:pPr>
          </w:p>
        </w:tc>
        <w:tc>
          <w:tcPr>
            <w:tcW w:w="1098"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3531"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730"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严重</w:t>
            </w:r>
          </w:p>
        </w:tc>
        <w:tc>
          <w:tcPr>
            <w:tcW w:w="2378"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未取得采集证采集国家重点保护一级野生植物的</w:t>
            </w:r>
          </w:p>
        </w:tc>
        <w:tc>
          <w:tcPr>
            <w:tcW w:w="2105"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3737"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可以并处违法所得八倍以上十倍以下罚款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0" w:hRule="atLeast"/>
          <w:jc w:val="center"/>
        </w:trPr>
        <w:tc>
          <w:tcPr>
            <w:tcW w:w="421" w:type="dxa"/>
            <w:vMerge w:val="restart"/>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2</w:t>
            </w:r>
          </w:p>
        </w:tc>
        <w:tc>
          <w:tcPr>
            <w:tcW w:w="1098" w:type="dxa"/>
            <w:vMerge w:val="restart"/>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违反本条例规定，出售、收购国家重点保护野生植物的</w:t>
            </w:r>
          </w:p>
        </w:tc>
        <w:tc>
          <w:tcPr>
            <w:tcW w:w="3531" w:type="dxa"/>
            <w:vMerge w:val="restart"/>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中华人民共和国野生植物保护条例》第二十四条，违反本条例规定，出售、收购国家重点保护野生植物的，由工商行政管理部门或者野生植物行政主管部门按照职责分工没收野生植物和违法所得，可以并处违法所得10倍以下的罚款。</w:t>
            </w:r>
          </w:p>
        </w:tc>
        <w:tc>
          <w:tcPr>
            <w:tcW w:w="730"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较轻</w:t>
            </w:r>
          </w:p>
        </w:tc>
        <w:tc>
          <w:tcPr>
            <w:tcW w:w="2378"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违法出售、收购国家重点保护二级野生植物的</w:t>
            </w:r>
          </w:p>
        </w:tc>
        <w:tc>
          <w:tcPr>
            <w:tcW w:w="2105" w:type="dxa"/>
            <w:vMerge w:val="restart"/>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按职责分工没收所采集的野生植物和违法所得</w:t>
            </w:r>
          </w:p>
        </w:tc>
        <w:tc>
          <w:tcPr>
            <w:tcW w:w="3737"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可以并处违法所得或收购植物货值金额五倍以下罚款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atLeast"/>
          <w:jc w:val="center"/>
        </w:trPr>
        <w:tc>
          <w:tcPr>
            <w:tcW w:w="421" w:type="dxa"/>
            <w:vMerge w:val="continue"/>
            <w:tcBorders>
              <w:tl2br w:val="nil"/>
              <w:tr2bl w:val="nil"/>
            </w:tcBorders>
            <w:tcMar>
              <w:top w:w="57" w:type="dxa"/>
              <w:left w:w="57" w:type="dxa"/>
              <w:bottom w:w="57" w:type="dxa"/>
              <w:right w:w="57" w:type="dxa"/>
            </w:tcMar>
            <w:vAlign w:val="center"/>
          </w:tcPr>
          <w:p>
            <w:pPr>
              <w:adjustRightInd w:val="0"/>
              <w:snapToGrid w:val="0"/>
              <w:jc w:val="center"/>
              <w:rPr>
                <w:rFonts w:ascii="仿宋_GB2312" w:hAnsi="仿宋_GB2312" w:eastAsia="仿宋_GB2312" w:cs="仿宋_GB2312"/>
                <w:color w:val="000000"/>
                <w:sz w:val="21"/>
                <w:szCs w:val="21"/>
              </w:rPr>
            </w:pPr>
          </w:p>
        </w:tc>
        <w:tc>
          <w:tcPr>
            <w:tcW w:w="1098"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3531"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730"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较重</w:t>
            </w:r>
          </w:p>
        </w:tc>
        <w:tc>
          <w:tcPr>
            <w:tcW w:w="2378"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违法出售、收购国家重点保护一级野生植物的</w:t>
            </w:r>
          </w:p>
        </w:tc>
        <w:tc>
          <w:tcPr>
            <w:tcW w:w="2105"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3737"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可以并处违法所得或收购植物货值金额五倍以上十倍以下罚款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2" w:hRule="atLeast"/>
          <w:jc w:val="center"/>
        </w:trPr>
        <w:tc>
          <w:tcPr>
            <w:tcW w:w="421" w:type="dxa"/>
            <w:vMerge w:val="restart"/>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3</w:t>
            </w:r>
          </w:p>
        </w:tc>
        <w:tc>
          <w:tcPr>
            <w:tcW w:w="1098" w:type="dxa"/>
            <w:vMerge w:val="restart"/>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伪造、倒卖、转让采集证、允许进出口证明书或者有关批准文件、标签的</w:t>
            </w:r>
          </w:p>
        </w:tc>
        <w:tc>
          <w:tcPr>
            <w:tcW w:w="3531" w:type="dxa"/>
            <w:vMerge w:val="restart"/>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中华人民共和国野生植物保护条例》第二十六条，伪造、倒卖、转让采集证、允许进出口证明书或者有关批准文件、标签的，由野生植物行政主管部门或者工商行政管理部门按照职责分工收缴，没收违法所得，可以并处5万元以下的罚款。</w:t>
            </w:r>
          </w:p>
        </w:tc>
        <w:tc>
          <w:tcPr>
            <w:tcW w:w="730"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较轻</w:t>
            </w:r>
          </w:p>
        </w:tc>
        <w:tc>
          <w:tcPr>
            <w:tcW w:w="2378"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 xml:space="preserve">转让国家二级重点保护野生植物采集证、允许进出口证明书或者有关批准文件、标签的 </w:t>
            </w:r>
          </w:p>
        </w:tc>
        <w:tc>
          <w:tcPr>
            <w:tcW w:w="2105" w:type="dxa"/>
            <w:vMerge w:val="restart"/>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收缴采集证、允许进出口证明书或者有关批准文件、标签，没收违法所得</w:t>
            </w:r>
          </w:p>
        </w:tc>
        <w:tc>
          <w:tcPr>
            <w:tcW w:w="3737"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可以并处一万元以下罚款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7" w:hRule="atLeast"/>
          <w:jc w:val="center"/>
        </w:trPr>
        <w:tc>
          <w:tcPr>
            <w:tcW w:w="421" w:type="dxa"/>
            <w:vMerge w:val="continue"/>
            <w:tcBorders>
              <w:tl2br w:val="nil"/>
              <w:tr2bl w:val="nil"/>
            </w:tcBorders>
            <w:tcMar>
              <w:top w:w="57" w:type="dxa"/>
              <w:left w:w="57" w:type="dxa"/>
              <w:bottom w:w="57" w:type="dxa"/>
              <w:right w:w="57" w:type="dxa"/>
            </w:tcMar>
            <w:vAlign w:val="center"/>
          </w:tcPr>
          <w:p>
            <w:pPr>
              <w:adjustRightInd w:val="0"/>
              <w:snapToGrid w:val="0"/>
              <w:jc w:val="center"/>
              <w:rPr>
                <w:rFonts w:ascii="仿宋_GB2312" w:hAnsi="仿宋_GB2312" w:eastAsia="仿宋_GB2312" w:cs="仿宋_GB2312"/>
                <w:color w:val="000000"/>
                <w:sz w:val="21"/>
                <w:szCs w:val="21"/>
              </w:rPr>
            </w:pPr>
          </w:p>
        </w:tc>
        <w:tc>
          <w:tcPr>
            <w:tcW w:w="1098"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3531"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730"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一般</w:t>
            </w:r>
          </w:p>
        </w:tc>
        <w:tc>
          <w:tcPr>
            <w:tcW w:w="2378"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转让国家一级重点保护野生植物采集证、允许进出口证明书或者有关批准文件、标签的</w:t>
            </w:r>
          </w:p>
        </w:tc>
        <w:tc>
          <w:tcPr>
            <w:tcW w:w="2105"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3737"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可以并处一万元以上二万元以下的罚款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1" w:hRule="atLeast"/>
          <w:jc w:val="center"/>
        </w:trPr>
        <w:tc>
          <w:tcPr>
            <w:tcW w:w="421" w:type="dxa"/>
            <w:vMerge w:val="continue"/>
            <w:tcBorders>
              <w:tl2br w:val="nil"/>
              <w:tr2bl w:val="nil"/>
            </w:tcBorders>
            <w:tcMar>
              <w:top w:w="57" w:type="dxa"/>
              <w:left w:w="57" w:type="dxa"/>
              <w:bottom w:w="57" w:type="dxa"/>
              <w:right w:w="57" w:type="dxa"/>
            </w:tcMar>
            <w:vAlign w:val="center"/>
          </w:tcPr>
          <w:p>
            <w:pPr>
              <w:adjustRightInd w:val="0"/>
              <w:snapToGrid w:val="0"/>
              <w:jc w:val="center"/>
              <w:rPr>
                <w:rFonts w:ascii="仿宋_GB2312" w:hAnsi="仿宋_GB2312" w:eastAsia="仿宋_GB2312" w:cs="仿宋_GB2312"/>
                <w:color w:val="000000"/>
                <w:sz w:val="21"/>
                <w:szCs w:val="21"/>
              </w:rPr>
            </w:pPr>
          </w:p>
        </w:tc>
        <w:tc>
          <w:tcPr>
            <w:tcW w:w="1098"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3531"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730"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较重</w:t>
            </w:r>
          </w:p>
        </w:tc>
        <w:tc>
          <w:tcPr>
            <w:tcW w:w="2378"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倒卖国家二级重点保护野生植物采集证、允许进出口证明书或者有关批准文件、标签的</w:t>
            </w:r>
          </w:p>
        </w:tc>
        <w:tc>
          <w:tcPr>
            <w:tcW w:w="2105"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3737"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可以并处二万元以上三万元以下的罚款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 w:hRule="atLeast"/>
          <w:jc w:val="center"/>
        </w:trPr>
        <w:tc>
          <w:tcPr>
            <w:tcW w:w="421" w:type="dxa"/>
            <w:vMerge w:val="continue"/>
            <w:tcBorders>
              <w:tl2br w:val="nil"/>
              <w:tr2bl w:val="nil"/>
            </w:tcBorders>
            <w:tcMar>
              <w:top w:w="57" w:type="dxa"/>
              <w:left w:w="57" w:type="dxa"/>
              <w:bottom w:w="57" w:type="dxa"/>
              <w:right w:w="57" w:type="dxa"/>
            </w:tcMar>
            <w:vAlign w:val="center"/>
          </w:tcPr>
          <w:p>
            <w:pPr>
              <w:adjustRightInd w:val="0"/>
              <w:snapToGrid w:val="0"/>
              <w:jc w:val="center"/>
              <w:rPr>
                <w:rFonts w:ascii="仿宋_GB2312" w:hAnsi="仿宋_GB2312" w:eastAsia="仿宋_GB2312" w:cs="仿宋_GB2312"/>
                <w:color w:val="000000"/>
                <w:sz w:val="21"/>
                <w:szCs w:val="21"/>
              </w:rPr>
            </w:pPr>
          </w:p>
        </w:tc>
        <w:tc>
          <w:tcPr>
            <w:tcW w:w="1098"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3531"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730"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严重</w:t>
            </w:r>
          </w:p>
        </w:tc>
        <w:tc>
          <w:tcPr>
            <w:tcW w:w="2378"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倒卖国家一级重点保护野生植物采集证、允许进出口证明书或者有关批准文件、标签的</w:t>
            </w:r>
          </w:p>
        </w:tc>
        <w:tc>
          <w:tcPr>
            <w:tcW w:w="2105"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3737"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可以并处三万元以上四万元以下的罚款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2" w:hRule="atLeast"/>
          <w:jc w:val="center"/>
        </w:trPr>
        <w:tc>
          <w:tcPr>
            <w:tcW w:w="421" w:type="dxa"/>
            <w:vMerge w:val="continue"/>
            <w:tcBorders>
              <w:tl2br w:val="nil"/>
              <w:tr2bl w:val="nil"/>
            </w:tcBorders>
            <w:tcMar>
              <w:top w:w="57" w:type="dxa"/>
              <w:left w:w="57" w:type="dxa"/>
              <w:bottom w:w="57" w:type="dxa"/>
              <w:right w:w="57" w:type="dxa"/>
            </w:tcMar>
            <w:vAlign w:val="center"/>
          </w:tcPr>
          <w:p>
            <w:pPr>
              <w:adjustRightInd w:val="0"/>
              <w:snapToGrid w:val="0"/>
              <w:jc w:val="center"/>
              <w:rPr>
                <w:rFonts w:ascii="仿宋_GB2312" w:hAnsi="仿宋_GB2312" w:eastAsia="仿宋_GB2312" w:cs="仿宋_GB2312"/>
                <w:color w:val="000000"/>
                <w:sz w:val="21"/>
                <w:szCs w:val="21"/>
              </w:rPr>
            </w:pPr>
          </w:p>
        </w:tc>
        <w:tc>
          <w:tcPr>
            <w:tcW w:w="1098"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3531"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730"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特别严重</w:t>
            </w:r>
          </w:p>
        </w:tc>
        <w:tc>
          <w:tcPr>
            <w:tcW w:w="2378"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伪造国家重点保护野生植物采集证、允许进出口证明书或者有关批准文件、标签的</w:t>
            </w:r>
          </w:p>
        </w:tc>
        <w:tc>
          <w:tcPr>
            <w:tcW w:w="2105"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3737"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可以并处四万元以上五万元以下的罚款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5" w:hRule="atLeast"/>
          <w:jc w:val="center"/>
        </w:trPr>
        <w:tc>
          <w:tcPr>
            <w:tcW w:w="421" w:type="dxa"/>
            <w:vMerge w:val="restart"/>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4</w:t>
            </w:r>
          </w:p>
        </w:tc>
        <w:tc>
          <w:tcPr>
            <w:tcW w:w="1098" w:type="dxa"/>
            <w:vMerge w:val="restart"/>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外国人在中国境内采集、收购国家重点保护野生植物，或者未经批准对国家重点保护野生植物进行野外考察的</w:t>
            </w:r>
          </w:p>
        </w:tc>
        <w:tc>
          <w:tcPr>
            <w:tcW w:w="3531" w:type="dxa"/>
            <w:vMerge w:val="restart"/>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中华人民共和国野生植物保护条例》第二十七条，外国人在中国境内采集、收购国家重点保护野生植物，或者未经批准对国家重点保护野生植物进行野外考察的，由野生植物行政主管部门没收所采集、收购的野生植物和考察资料，可以并处5万元以下的罚款。</w:t>
            </w:r>
          </w:p>
        </w:tc>
        <w:tc>
          <w:tcPr>
            <w:tcW w:w="730"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较轻</w:t>
            </w:r>
          </w:p>
        </w:tc>
        <w:tc>
          <w:tcPr>
            <w:tcW w:w="2378"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外国人未经批准对国家重点保护野生植物进行野外考察的</w:t>
            </w:r>
          </w:p>
        </w:tc>
        <w:tc>
          <w:tcPr>
            <w:tcW w:w="5842" w:type="dxa"/>
            <w:gridSpan w:val="2"/>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没收考察资料，可以并处一万元以下罚款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9" w:hRule="atLeast"/>
          <w:jc w:val="center"/>
        </w:trPr>
        <w:tc>
          <w:tcPr>
            <w:tcW w:w="421" w:type="dxa"/>
            <w:vMerge w:val="continue"/>
            <w:tcBorders>
              <w:tl2br w:val="nil"/>
              <w:tr2bl w:val="nil"/>
            </w:tcBorders>
            <w:tcMar>
              <w:top w:w="57" w:type="dxa"/>
              <w:left w:w="57" w:type="dxa"/>
              <w:bottom w:w="57" w:type="dxa"/>
              <w:right w:w="57" w:type="dxa"/>
            </w:tcMar>
            <w:vAlign w:val="center"/>
          </w:tcPr>
          <w:p>
            <w:pPr>
              <w:adjustRightInd w:val="0"/>
              <w:snapToGrid w:val="0"/>
              <w:jc w:val="center"/>
              <w:rPr>
                <w:rFonts w:ascii="仿宋_GB2312" w:hAnsi="仿宋_GB2312" w:eastAsia="仿宋_GB2312" w:cs="仿宋_GB2312"/>
                <w:color w:val="000000"/>
                <w:sz w:val="21"/>
                <w:szCs w:val="21"/>
              </w:rPr>
            </w:pPr>
          </w:p>
        </w:tc>
        <w:tc>
          <w:tcPr>
            <w:tcW w:w="1098"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3531"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730"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一般</w:t>
            </w:r>
          </w:p>
        </w:tc>
        <w:tc>
          <w:tcPr>
            <w:tcW w:w="2378"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外国人在中国境内采集、收购国家重点二级保护野生植物的</w:t>
            </w:r>
          </w:p>
        </w:tc>
        <w:tc>
          <w:tcPr>
            <w:tcW w:w="2105" w:type="dxa"/>
            <w:vMerge w:val="restart"/>
            <w:tcBorders>
              <w:tl2br w:val="nil"/>
              <w:tr2bl w:val="nil"/>
            </w:tcBorders>
            <w:noWrap/>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没收所收购的野生植物</w:t>
            </w:r>
          </w:p>
        </w:tc>
        <w:tc>
          <w:tcPr>
            <w:tcW w:w="3737"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可以并处一万以上三万以下的罚款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7" w:hRule="atLeast"/>
          <w:jc w:val="center"/>
        </w:trPr>
        <w:tc>
          <w:tcPr>
            <w:tcW w:w="421" w:type="dxa"/>
            <w:vMerge w:val="continue"/>
            <w:tcBorders>
              <w:tl2br w:val="nil"/>
              <w:tr2bl w:val="nil"/>
            </w:tcBorders>
            <w:tcMar>
              <w:top w:w="57" w:type="dxa"/>
              <w:left w:w="57" w:type="dxa"/>
              <w:bottom w:w="57" w:type="dxa"/>
              <w:right w:w="57" w:type="dxa"/>
            </w:tcMar>
            <w:vAlign w:val="center"/>
          </w:tcPr>
          <w:p>
            <w:pPr>
              <w:adjustRightInd w:val="0"/>
              <w:snapToGrid w:val="0"/>
              <w:jc w:val="center"/>
              <w:rPr>
                <w:rFonts w:ascii="仿宋_GB2312" w:hAnsi="仿宋_GB2312" w:eastAsia="仿宋_GB2312" w:cs="仿宋_GB2312"/>
                <w:color w:val="000000"/>
                <w:sz w:val="21"/>
                <w:szCs w:val="21"/>
              </w:rPr>
            </w:pPr>
          </w:p>
        </w:tc>
        <w:tc>
          <w:tcPr>
            <w:tcW w:w="1098"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3531"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730"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较重</w:t>
            </w:r>
          </w:p>
        </w:tc>
        <w:tc>
          <w:tcPr>
            <w:tcW w:w="2378"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外国人在中国境内采集、收购国家重点保护一级野生植物的</w:t>
            </w:r>
          </w:p>
        </w:tc>
        <w:tc>
          <w:tcPr>
            <w:tcW w:w="2105" w:type="dxa"/>
            <w:vMerge w:val="continue"/>
            <w:tcBorders>
              <w:tl2br w:val="nil"/>
              <w:tr2bl w:val="nil"/>
            </w:tcBorders>
            <w:noWrap/>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3737"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可以并处三万以上五万以下的罚款</w:t>
            </w:r>
          </w:p>
        </w:tc>
      </w:tr>
    </w:tbl>
    <w:p/>
    <w:p>
      <w:pPr>
        <w:pStyle w:val="2"/>
      </w:pPr>
      <w:r>
        <w:br w:type="page"/>
      </w:r>
    </w:p>
    <w:p>
      <w:pPr>
        <w:ind w:firstLine="640" w:firstLineChars="200"/>
      </w:pPr>
      <w:r>
        <w:rPr>
          <w:rFonts w:hint="eastAsia" w:ascii="黑体" w:hAnsi="黑体" w:eastAsia="黑体" w:cs="黑体"/>
          <w:color w:val="000000"/>
          <w:kern w:val="0"/>
          <w:sz w:val="32"/>
          <w:szCs w:val="32"/>
        </w:rPr>
        <w:t>十、农业机械</w:t>
      </w:r>
    </w:p>
    <w:tbl>
      <w:tblPr>
        <w:tblStyle w:val="7"/>
        <w:tblW w:w="140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21"/>
        <w:gridCol w:w="2130"/>
        <w:gridCol w:w="4433"/>
        <w:gridCol w:w="670"/>
        <w:gridCol w:w="3949"/>
        <w:gridCol w:w="239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blHeader/>
          <w:jc w:val="center"/>
        </w:trPr>
        <w:tc>
          <w:tcPr>
            <w:tcW w:w="421" w:type="dxa"/>
            <w:tcMar>
              <w:top w:w="57" w:type="dxa"/>
              <w:left w:w="57" w:type="dxa"/>
              <w:bottom w:w="57" w:type="dxa"/>
              <w:right w:w="57" w:type="dxa"/>
            </w:tcMar>
            <w:vAlign w:val="center"/>
          </w:tcPr>
          <w:p>
            <w:pPr>
              <w:widowControl/>
              <w:adjustRightInd w:val="0"/>
              <w:snapToGrid w:val="0"/>
              <w:jc w:val="center"/>
              <w:textAlignment w:val="center"/>
              <w:rPr>
                <w:rFonts w:ascii="黑体" w:hAnsi="黑体" w:eastAsia="黑体" w:cs="黑体"/>
                <w:color w:val="000000"/>
                <w:sz w:val="24"/>
                <w:szCs w:val="24"/>
              </w:rPr>
            </w:pPr>
            <w:r>
              <w:rPr>
                <w:rFonts w:hint="eastAsia" w:ascii="黑体" w:hAnsi="黑体" w:eastAsia="黑体" w:cs="黑体"/>
                <w:color w:val="000000"/>
                <w:kern w:val="0"/>
                <w:sz w:val="24"/>
                <w:szCs w:val="24"/>
              </w:rPr>
              <w:t>序号</w:t>
            </w:r>
          </w:p>
        </w:tc>
        <w:tc>
          <w:tcPr>
            <w:tcW w:w="2130" w:type="dxa"/>
            <w:tcMar>
              <w:top w:w="57" w:type="dxa"/>
              <w:left w:w="57" w:type="dxa"/>
              <w:bottom w:w="57" w:type="dxa"/>
              <w:right w:w="57" w:type="dxa"/>
            </w:tcMar>
            <w:vAlign w:val="center"/>
          </w:tcPr>
          <w:p>
            <w:pPr>
              <w:widowControl/>
              <w:adjustRightInd w:val="0"/>
              <w:snapToGrid w:val="0"/>
              <w:jc w:val="center"/>
              <w:textAlignment w:val="center"/>
              <w:rPr>
                <w:rFonts w:ascii="黑体" w:hAnsi="黑体" w:eastAsia="黑体" w:cs="黑体"/>
                <w:color w:val="000000"/>
                <w:sz w:val="24"/>
                <w:szCs w:val="24"/>
              </w:rPr>
            </w:pPr>
            <w:r>
              <w:rPr>
                <w:rFonts w:hint="eastAsia" w:ascii="黑体" w:hAnsi="黑体" w:eastAsia="黑体" w:cs="黑体"/>
                <w:color w:val="000000"/>
                <w:kern w:val="0"/>
                <w:sz w:val="24"/>
                <w:szCs w:val="24"/>
              </w:rPr>
              <w:t>违法行为</w:t>
            </w:r>
          </w:p>
        </w:tc>
        <w:tc>
          <w:tcPr>
            <w:tcW w:w="4433" w:type="dxa"/>
            <w:tcMar>
              <w:top w:w="57" w:type="dxa"/>
              <w:left w:w="57" w:type="dxa"/>
              <w:bottom w:w="57" w:type="dxa"/>
              <w:right w:w="57" w:type="dxa"/>
            </w:tcMar>
            <w:vAlign w:val="center"/>
          </w:tcPr>
          <w:p>
            <w:pPr>
              <w:widowControl/>
              <w:adjustRightInd w:val="0"/>
              <w:snapToGrid w:val="0"/>
              <w:jc w:val="center"/>
              <w:textAlignment w:val="center"/>
              <w:rPr>
                <w:rFonts w:ascii="黑体" w:hAnsi="黑体" w:eastAsia="黑体" w:cs="黑体"/>
                <w:color w:val="000000"/>
                <w:sz w:val="24"/>
                <w:szCs w:val="24"/>
              </w:rPr>
            </w:pPr>
            <w:r>
              <w:rPr>
                <w:rFonts w:hint="eastAsia" w:ascii="黑体" w:hAnsi="黑体" w:eastAsia="黑体" w:cs="黑体"/>
                <w:color w:val="000000"/>
                <w:kern w:val="0"/>
                <w:sz w:val="24"/>
                <w:szCs w:val="24"/>
              </w:rPr>
              <w:t>法律依据</w:t>
            </w:r>
          </w:p>
        </w:tc>
        <w:tc>
          <w:tcPr>
            <w:tcW w:w="670" w:type="dxa"/>
            <w:tcMar>
              <w:top w:w="57" w:type="dxa"/>
              <w:left w:w="57" w:type="dxa"/>
              <w:bottom w:w="57" w:type="dxa"/>
              <w:right w:w="57" w:type="dxa"/>
            </w:tcMar>
            <w:vAlign w:val="center"/>
          </w:tcPr>
          <w:p>
            <w:pPr>
              <w:widowControl/>
              <w:adjustRightInd w:val="0"/>
              <w:snapToGrid w:val="0"/>
              <w:jc w:val="center"/>
              <w:textAlignment w:val="center"/>
              <w:rPr>
                <w:rFonts w:ascii="黑体" w:hAnsi="黑体" w:eastAsia="黑体" w:cs="黑体"/>
                <w:color w:val="000000"/>
                <w:sz w:val="24"/>
                <w:szCs w:val="24"/>
              </w:rPr>
            </w:pPr>
            <w:r>
              <w:rPr>
                <w:rFonts w:hint="eastAsia" w:ascii="黑体" w:hAnsi="黑体" w:eastAsia="黑体" w:cs="黑体"/>
                <w:color w:val="000000"/>
                <w:kern w:val="0"/>
                <w:sz w:val="24"/>
                <w:szCs w:val="24"/>
              </w:rPr>
              <w:t>违法程度</w:t>
            </w:r>
          </w:p>
        </w:tc>
        <w:tc>
          <w:tcPr>
            <w:tcW w:w="3949" w:type="dxa"/>
            <w:tcMar>
              <w:top w:w="57" w:type="dxa"/>
              <w:left w:w="57" w:type="dxa"/>
              <w:bottom w:w="57" w:type="dxa"/>
              <w:right w:w="57" w:type="dxa"/>
            </w:tcMar>
            <w:vAlign w:val="center"/>
          </w:tcPr>
          <w:p>
            <w:pPr>
              <w:widowControl/>
              <w:adjustRightInd w:val="0"/>
              <w:snapToGrid w:val="0"/>
              <w:jc w:val="center"/>
              <w:textAlignment w:val="center"/>
              <w:rPr>
                <w:rFonts w:ascii="黑体" w:hAnsi="黑体" w:eastAsia="黑体" w:cs="黑体"/>
                <w:color w:val="000000"/>
                <w:sz w:val="24"/>
                <w:szCs w:val="24"/>
              </w:rPr>
            </w:pPr>
            <w:r>
              <w:rPr>
                <w:rFonts w:hint="eastAsia" w:ascii="黑体" w:hAnsi="黑体" w:eastAsia="黑体" w:cs="黑体"/>
                <w:color w:val="000000"/>
                <w:kern w:val="0"/>
                <w:sz w:val="24"/>
                <w:szCs w:val="24"/>
              </w:rPr>
              <w:t>违法情节</w:t>
            </w:r>
          </w:p>
        </w:tc>
        <w:tc>
          <w:tcPr>
            <w:tcW w:w="2397" w:type="dxa"/>
            <w:tcMar>
              <w:top w:w="57" w:type="dxa"/>
              <w:left w:w="57" w:type="dxa"/>
              <w:bottom w:w="57" w:type="dxa"/>
              <w:right w:w="57" w:type="dxa"/>
            </w:tcMar>
            <w:vAlign w:val="center"/>
          </w:tcPr>
          <w:p>
            <w:pPr>
              <w:widowControl/>
              <w:adjustRightInd w:val="0"/>
              <w:snapToGrid w:val="0"/>
              <w:jc w:val="center"/>
              <w:textAlignment w:val="center"/>
              <w:rPr>
                <w:rFonts w:ascii="黑体" w:hAnsi="黑体" w:eastAsia="黑体" w:cs="黑体"/>
                <w:color w:val="000000"/>
                <w:sz w:val="24"/>
                <w:szCs w:val="24"/>
              </w:rPr>
            </w:pPr>
            <w:r>
              <w:rPr>
                <w:rFonts w:hint="eastAsia" w:ascii="黑体" w:hAnsi="黑体" w:eastAsia="黑体" w:cs="黑体"/>
                <w:color w:val="000000"/>
                <w:kern w:val="0"/>
                <w:sz w:val="24"/>
                <w:szCs w:val="24"/>
              </w:rPr>
              <w:t>裁量标准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7" w:hRule="atLeast"/>
          <w:jc w:val="center"/>
        </w:trPr>
        <w:tc>
          <w:tcPr>
            <w:tcW w:w="421" w:type="dxa"/>
            <w:vMerge w:val="restart"/>
            <w:tcMar>
              <w:top w:w="57" w:type="dxa"/>
              <w:left w:w="57" w:type="dxa"/>
              <w:bottom w:w="57" w:type="dxa"/>
              <w:right w:w="57" w:type="dxa"/>
            </w:tcMar>
            <w:vAlign w:val="center"/>
          </w:tcPr>
          <w:p>
            <w:pPr>
              <w:widowControl/>
              <w:adjustRightInd w:val="0"/>
              <w:snapToGrid w:val="0"/>
              <w:jc w:val="center"/>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1</w:t>
            </w:r>
          </w:p>
        </w:tc>
        <w:tc>
          <w:tcPr>
            <w:tcW w:w="2130" w:type="dxa"/>
            <w:vMerge w:val="restart"/>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从事农业机械维修经营不能保持设备、设施、人员、质量管理、安全生产和环境保护等技术条件符合要求的</w:t>
            </w:r>
          </w:p>
        </w:tc>
        <w:tc>
          <w:tcPr>
            <w:tcW w:w="4433" w:type="dxa"/>
            <w:vMerge w:val="restart"/>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 xml:space="preserve">   《农业机械安全监督管理条例》第四十八条，从事农业机械维修经营不符合本条例第十八条规定的，由县级以上地方人民政府农业机械化主管部门责令改正；拒不改正的，处5000元以上1万元以下罚款。 </w:t>
            </w:r>
            <w:r>
              <w:rPr>
                <w:rFonts w:hint="eastAsia" w:ascii="仿宋_GB2312" w:hAnsi="仿宋_GB2312" w:eastAsia="仿宋_GB2312" w:cs="仿宋_GB2312"/>
                <w:color w:val="000000"/>
                <w:kern w:val="0"/>
                <w:sz w:val="21"/>
                <w:szCs w:val="21"/>
              </w:rPr>
              <w:br w:type="textWrapping"/>
            </w:r>
            <w:r>
              <w:rPr>
                <w:rFonts w:hint="eastAsia" w:ascii="仿宋_GB2312" w:hAnsi="仿宋_GB2312" w:eastAsia="仿宋_GB2312" w:cs="仿宋_GB2312"/>
                <w:color w:val="000000"/>
                <w:kern w:val="0"/>
                <w:sz w:val="21"/>
                <w:szCs w:val="21"/>
              </w:rPr>
              <w:t xml:space="preserve">   《农业机械安全监督管理条例》第十八条 ,从事农业机械维修经营，应当有必要的维修场地，有必要的维修设施、设备和检测仪器，有相应的维修技术人员，有安全防护和环境保护措施。 </w:t>
            </w:r>
            <w:r>
              <w:rPr>
                <w:rFonts w:hint="eastAsia" w:ascii="仿宋_GB2312" w:hAnsi="仿宋_GB2312" w:eastAsia="仿宋_GB2312" w:cs="仿宋_GB2312"/>
                <w:color w:val="000000"/>
                <w:kern w:val="0"/>
                <w:sz w:val="21"/>
                <w:szCs w:val="21"/>
              </w:rPr>
              <w:br w:type="textWrapping"/>
            </w:r>
            <w:r>
              <w:rPr>
                <w:rFonts w:hint="eastAsia" w:ascii="仿宋_GB2312" w:hAnsi="仿宋_GB2312" w:eastAsia="仿宋_GB2312" w:cs="仿宋_GB2312"/>
                <w:color w:val="000000"/>
                <w:kern w:val="0"/>
                <w:sz w:val="21"/>
                <w:szCs w:val="21"/>
              </w:rPr>
              <w:t xml:space="preserve">   《农业机械维修管理规定》第二十条，违反本规定，不能保持设备、设施、人员、质量管理、安全生产和环境保护等技术条件符合要求的，由农业机械化主管部门给予警告，限期整改；拒不改正的，依照《农业机械安全监督管理条例》有关规定予以处罚。</w:t>
            </w:r>
          </w:p>
        </w:tc>
        <w:tc>
          <w:tcPr>
            <w:tcW w:w="670" w:type="dxa"/>
            <w:tcMar>
              <w:top w:w="57" w:type="dxa"/>
              <w:left w:w="57" w:type="dxa"/>
              <w:bottom w:w="57" w:type="dxa"/>
              <w:right w:w="57" w:type="dxa"/>
            </w:tcMar>
            <w:vAlign w:val="center"/>
          </w:tcPr>
          <w:p>
            <w:pPr>
              <w:widowControl/>
              <w:adjustRightInd w:val="0"/>
              <w:snapToGrid w:val="0"/>
              <w:jc w:val="center"/>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轻微</w:t>
            </w:r>
          </w:p>
        </w:tc>
        <w:tc>
          <w:tcPr>
            <w:tcW w:w="3949" w:type="dxa"/>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初次违法，设备、设施、人员、质量管理、安全生产和环境保护等技术条件不符合要求的</w:t>
            </w:r>
          </w:p>
        </w:tc>
        <w:tc>
          <w:tcPr>
            <w:tcW w:w="2397" w:type="dxa"/>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警告，限期整改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33" w:hRule="atLeast"/>
          <w:jc w:val="center"/>
        </w:trPr>
        <w:tc>
          <w:tcPr>
            <w:tcW w:w="421" w:type="dxa"/>
            <w:vMerge w:val="continue"/>
            <w:tcMar>
              <w:top w:w="57" w:type="dxa"/>
              <w:left w:w="57" w:type="dxa"/>
              <w:bottom w:w="57" w:type="dxa"/>
              <w:right w:w="57" w:type="dxa"/>
            </w:tcMar>
            <w:vAlign w:val="center"/>
          </w:tcPr>
          <w:p>
            <w:pPr>
              <w:adjustRightInd w:val="0"/>
              <w:snapToGrid w:val="0"/>
              <w:jc w:val="center"/>
              <w:rPr>
                <w:rFonts w:ascii="仿宋_GB2312" w:hAnsi="仿宋_GB2312" w:eastAsia="仿宋_GB2312" w:cs="仿宋_GB2312"/>
                <w:color w:val="000000"/>
                <w:sz w:val="21"/>
                <w:szCs w:val="21"/>
              </w:rPr>
            </w:pPr>
          </w:p>
        </w:tc>
        <w:tc>
          <w:tcPr>
            <w:tcW w:w="2130" w:type="dxa"/>
            <w:vMerge w:val="continue"/>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4433" w:type="dxa"/>
            <w:vMerge w:val="continue"/>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670" w:type="dxa"/>
            <w:tcMar>
              <w:top w:w="57" w:type="dxa"/>
              <w:left w:w="57" w:type="dxa"/>
              <w:bottom w:w="57" w:type="dxa"/>
              <w:right w:w="57" w:type="dxa"/>
            </w:tcMar>
            <w:vAlign w:val="center"/>
          </w:tcPr>
          <w:p>
            <w:pPr>
              <w:widowControl/>
              <w:adjustRightInd w:val="0"/>
              <w:snapToGrid w:val="0"/>
              <w:jc w:val="center"/>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一般</w:t>
            </w:r>
          </w:p>
        </w:tc>
        <w:tc>
          <w:tcPr>
            <w:tcW w:w="3949" w:type="dxa"/>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再次违法，设备、设施、人员、质量管理、安全生产和环境保护等技术条件有一到三项不符要求且由农业机械化主管部门给予警告，限期整改后拒不改正的</w:t>
            </w:r>
          </w:p>
        </w:tc>
        <w:tc>
          <w:tcPr>
            <w:tcW w:w="2397" w:type="dxa"/>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处五千元以上七千五百元以下以下罚款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66" w:hRule="atLeast"/>
          <w:jc w:val="center"/>
        </w:trPr>
        <w:tc>
          <w:tcPr>
            <w:tcW w:w="421" w:type="dxa"/>
            <w:vMerge w:val="continue"/>
            <w:tcMar>
              <w:top w:w="57" w:type="dxa"/>
              <w:left w:w="57" w:type="dxa"/>
              <w:bottom w:w="57" w:type="dxa"/>
              <w:right w:w="57" w:type="dxa"/>
            </w:tcMar>
            <w:vAlign w:val="center"/>
          </w:tcPr>
          <w:p>
            <w:pPr>
              <w:adjustRightInd w:val="0"/>
              <w:snapToGrid w:val="0"/>
              <w:jc w:val="center"/>
              <w:rPr>
                <w:rFonts w:ascii="仿宋_GB2312" w:hAnsi="仿宋_GB2312" w:eastAsia="仿宋_GB2312" w:cs="仿宋_GB2312"/>
                <w:color w:val="000000"/>
                <w:sz w:val="21"/>
                <w:szCs w:val="21"/>
              </w:rPr>
            </w:pPr>
          </w:p>
        </w:tc>
        <w:tc>
          <w:tcPr>
            <w:tcW w:w="2130" w:type="dxa"/>
            <w:vMerge w:val="continue"/>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4433" w:type="dxa"/>
            <w:vMerge w:val="continue"/>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670" w:type="dxa"/>
            <w:tcMar>
              <w:top w:w="57" w:type="dxa"/>
              <w:left w:w="57" w:type="dxa"/>
              <w:bottom w:w="57" w:type="dxa"/>
              <w:right w:w="57" w:type="dxa"/>
            </w:tcMar>
            <w:vAlign w:val="center"/>
          </w:tcPr>
          <w:p>
            <w:pPr>
              <w:widowControl/>
              <w:adjustRightInd w:val="0"/>
              <w:snapToGrid w:val="0"/>
              <w:jc w:val="center"/>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严重</w:t>
            </w:r>
          </w:p>
        </w:tc>
        <w:tc>
          <w:tcPr>
            <w:tcW w:w="3949" w:type="dxa"/>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多次违法，或者再次违法设备、设施、人员、质量管理、安全生产和环境保护等技术条件有四项以上不符要求，经由农业机械化主管部门给予警告，限期整改后拒不改正的</w:t>
            </w:r>
          </w:p>
        </w:tc>
        <w:tc>
          <w:tcPr>
            <w:tcW w:w="2397" w:type="dxa"/>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处七千五百元以上一万元以下罚款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5" w:hRule="atLeast"/>
          <w:jc w:val="center"/>
        </w:trPr>
        <w:tc>
          <w:tcPr>
            <w:tcW w:w="421" w:type="dxa"/>
            <w:vMerge w:val="restart"/>
            <w:tcMar>
              <w:top w:w="57" w:type="dxa"/>
              <w:left w:w="57" w:type="dxa"/>
              <w:bottom w:w="57" w:type="dxa"/>
              <w:right w:w="57" w:type="dxa"/>
            </w:tcMar>
            <w:vAlign w:val="center"/>
          </w:tcPr>
          <w:p>
            <w:pPr>
              <w:widowControl/>
              <w:adjustRightInd w:val="0"/>
              <w:snapToGrid w:val="0"/>
              <w:jc w:val="center"/>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2</w:t>
            </w:r>
          </w:p>
        </w:tc>
        <w:tc>
          <w:tcPr>
            <w:tcW w:w="2130" w:type="dxa"/>
            <w:vMerge w:val="restart"/>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农业机械维修经营者使用不符合农业机械安全技术标准的配件维修农业机械，或者拼装、改装农业机械整机，或者承揽维修已经达到报废条件的农业机械的</w:t>
            </w:r>
          </w:p>
        </w:tc>
        <w:tc>
          <w:tcPr>
            <w:tcW w:w="4433" w:type="dxa"/>
            <w:vMerge w:val="restart"/>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农业机械安全监督管理条例》第四十九条，农业机械维修经营者使用不符合农业机械安全技术标准的配件维修农业机械，或者拼装、改装农业机械整机，或者承揽维修已经达到报废条件的农业机械的，由县级以上地方人民政府农业机械化主管部门责令改正，没收违法所得，并处违法经营额1倍以上2倍以下罚款；拒不改正的，处违法经营额2倍以上5倍以下罚款。</w:t>
            </w:r>
          </w:p>
        </w:tc>
        <w:tc>
          <w:tcPr>
            <w:tcW w:w="670" w:type="dxa"/>
            <w:tcMar>
              <w:top w:w="57" w:type="dxa"/>
              <w:left w:w="57" w:type="dxa"/>
              <w:bottom w:w="57" w:type="dxa"/>
              <w:right w:w="57" w:type="dxa"/>
            </w:tcMar>
            <w:vAlign w:val="center"/>
          </w:tcPr>
          <w:p>
            <w:pPr>
              <w:widowControl/>
              <w:adjustRightInd w:val="0"/>
              <w:snapToGrid w:val="0"/>
              <w:jc w:val="center"/>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较轻</w:t>
            </w:r>
          </w:p>
        </w:tc>
        <w:tc>
          <w:tcPr>
            <w:tcW w:w="3949" w:type="dxa"/>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初次违法，违法经营额不足一千元以下的</w:t>
            </w:r>
          </w:p>
        </w:tc>
        <w:tc>
          <w:tcPr>
            <w:tcW w:w="2397" w:type="dxa"/>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责令改正，没收违法所得，并处违法经营额一倍以上二倍以下罚款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421" w:type="dxa"/>
            <w:vMerge w:val="continue"/>
            <w:tcMar>
              <w:top w:w="57" w:type="dxa"/>
              <w:left w:w="57" w:type="dxa"/>
              <w:bottom w:w="57" w:type="dxa"/>
              <w:right w:w="57" w:type="dxa"/>
            </w:tcMar>
            <w:vAlign w:val="center"/>
          </w:tcPr>
          <w:p>
            <w:pPr>
              <w:adjustRightInd w:val="0"/>
              <w:snapToGrid w:val="0"/>
              <w:jc w:val="center"/>
              <w:rPr>
                <w:rFonts w:ascii="仿宋_GB2312" w:hAnsi="仿宋_GB2312" w:eastAsia="仿宋_GB2312" w:cs="仿宋_GB2312"/>
                <w:color w:val="000000"/>
                <w:sz w:val="21"/>
                <w:szCs w:val="21"/>
              </w:rPr>
            </w:pPr>
          </w:p>
        </w:tc>
        <w:tc>
          <w:tcPr>
            <w:tcW w:w="2130" w:type="dxa"/>
            <w:vMerge w:val="continue"/>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4433" w:type="dxa"/>
            <w:vMerge w:val="continue"/>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670" w:type="dxa"/>
            <w:tcMar>
              <w:top w:w="57" w:type="dxa"/>
              <w:left w:w="57" w:type="dxa"/>
              <w:bottom w:w="57" w:type="dxa"/>
              <w:right w:w="57" w:type="dxa"/>
            </w:tcMar>
            <w:vAlign w:val="center"/>
          </w:tcPr>
          <w:p>
            <w:pPr>
              <w:widowControl/>
              <w:adjustRightInd w:val="0"/>
              <w:snapToGrid w:val="0"/>
              <w:jc w:val="center"/>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一般</w:t>
            </w:r>
          </w:p>
        </w:tc>
        <w:tc>
          <w:tcPr>
            <w:tcW w:w="3949" w:type="dxa"/>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再次违法，违法经营额一千元以上不满五千元的</w:t>
            </w:r>
          </w:p>
        </w:tc>
        <w:tc>
          <w:tcPr>
            <w:tcW w:w="2397" w:type="dxa"/>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没收违法所得，并处违法经营额二倍以上四倍以下罚款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 w:hRule="atLeast"/>
          <w:jc w:val="center"/>
        </w:trPr>
        <w:tc>
          <w:tcPr>
            <w:tcW w:w="421" w:type="dxa"/>
            <w:vMerge w:val="continue"/>
            <w:tcMar>
              <w:top w:w="57" w:type="dxa"/>
              <w:left w:w="57" w:type="dxa"/>
              <w:bottom w:w="57" w:type="dxa"/>
              <w:right w:w="57" w:type="dxa"/>
            </w:tcMar>
            <w:vAlign w:val="center"/>
          </w:tcPr>
          <w:p>
            <w:pPr>
              <w:adjustRightInd w:val="0"/>
              <w:snapToGrid w:val="0"/>
              <w:jc w:val="center"/>
              <w:rPr>
                <w:rFonts w:ascii="仿宋_GB2312" w:hAnsi="仿宋_GB2312" w:eastAsia="仿宋_GB2312" w:cs="仿宋_GB2312"/>
                <w:color w:val="000000"/>
                <w:sz w:val="21"/>
                <w:szCs w:val="21"/>
              </w:rPr>
            </w:pPr>
          </w:p>
        </w:tc>
        <w:tc>
          <w:tcPr>
            <w:tcW w:w="2130" w:type="dxa"/>
            <w:vMerge w:val="continue"/>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4433" w:type="dxa"/>
            <w:vMerge w:val="continue"/>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670" w:type="dxa"/>
            <w:tcMar>
              <w:top w:w="57" w:type="dxa"/>
              <w:left w:w="57" w:type="dxa"/>
              <w:bottom w:w="57" w:type="dxa"/>
              <w:right w:w="57" w:type="dxa"/>
            </w:tcMar>
            <w:vAlign w:val="center"/>
          </w:tcPr>
          <w:p>
            <w:pPr>
              <w:widowControl/>
              <w:adjustRightInd w:val="0"/>
              <w:snapToGrid w:val="0"/>
              <w:jc w:val="center"/>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严重</w:t>
            </w:r>
          </w:p>
        </w:tc>
        <w:tc>
          <w:tcPr>
            <w:tcW w:w="3949" w:type="dxa"/>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多次违法或者再次违法经营额五千元以上的</w:t>
            </w:r>
          </w:p>
        </w:tc>
        <w:tc>
          <w:tcPr>
            <w:tcW w:w="2397" w:type="dxa"/>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没收违法所得，并处违法经营额四倍以上五倍以下罚款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421" w:type="dxa"/>
            <w:vMerge w:val="restart"/>
            <w:tcMar>
              <w:top w:w="57" w:type="dxa"/>
              <w:left w:w="57" w:type="dxa"/>
              <w:bottom w:w="57" w:type="dxa"/>
              <w:right w:w="57" w:type="dxa"/>
            </w:tcMar>
            <w:vAlign w:val="center"/>
          </w:tcPr>
          <w:p>
            <w:pPr>
              <w:widowControl/>
              <w:adjustRightInd w:val="0"/>
              <w:snapToGrid w:val="0"/>
              <w:jc w:val="center"/>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3</w:t>
            </w:r>
          </w:p>
        </w:tc>
        <w:tc>
          <w:tcPr>
            <w:tcW w:w="2130" w:type="dxa"/>
            <w:vMerge w:val="restart"/>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未按照规定办理登记手续并取得相应的证书和牌照，擅自将拖拉机、联合收割机投入使用，或者未按照规定办理变更登记手续的</w:t>
            </w:r>
          </w:p>
        </w:tc>
        <w:tc>
          <w:tcPr>
            <w:tcW w:w="4433" w:type="dxa"/>
            <w:vMerge w:val="restart"/>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农业机械安全监督管理条例》第五十条，未按照规定办理登记手续并取得相应的证书和牌照，擅自将拖拉机、联合收割机投入使用，或者未按照规定办理变更登记手续的，由县级以上地方人民政府农业机械化主管部门责令限期补办相关手续；逾期不补办的，责令停止使用；拒不停止使用的，扣押拖拉机、联合收割机，并处200元以上2000元以下罚款。</w:t>
            </w:r>
          </w:p>
        </w:tc>
        <w:tc>
          <w:tcPr>
            <w:tcW w:w="670" w:type="dxa"/>
            <w:tcMar>
              <w:top w:w="57" w:type="dxa"/>
              <w:left w:w="57" w:type="dxa"/>
              <w:bottom w:w="57" w:type="dxa"/>
              <w:right w:w="57" w:type="dxa"/>
            </w:tcMar>
            <w:vAlign w:val="center"/>
          </w:tcPr>
          <w:p>
            <w:pPr>
              <w:widowControl/>
              <w:adjustRightInd w:val="0"/>
              <w:snapToGrid w:val="0"/>
              <w:jc w:val="center"/>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轻微</w:t>
            </w:r>
          </w:p>
        </w:tc>
        <w:tc>
          <w:tcPr>
            <w:tcW w:w="3949" w:type="dxa"/>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初次违法，在限期内及时补办相关手续</w:t>
            </w:r>
          </w:p>
        </w:tc>
        <w:tc>
          <w:tcPr>
            <w:tcW w:w="2397" w:type="dxa"/>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责令限期补办相关手续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5" w:hRule="atLeast"/>
          <w:jc w:val="center"/>
        </w:trPr>
        <w:tc>
          <w:tcPr>
            <w:tcW w:w="421" w:type="dxa"/>
            <w:vMerge w:val="continue"/>
            <w:tcMar>
              <w:top w:w="57" w:type="dxa"/>
              <w:left w:w="57" w:type="dxa"/>
              <w:bottom w:w="57" w:type="dxa"/>
              <w:right w:w="57" w:type="dxa"/>
            </w:tcMar>
            <w:vAlign w:val="center"/>
          </w:tcPr>
          <w:p>
            <w:pPr>
              <w:adjustRightInd w:val="0"/>
              <w:snapToGrid w:val="0"/>
              <w:jc w:val="center"/>
              <w:rPr>
                <w:rFonts w:ascii="仿宋_GB2312" w:hAnsi="仿宋_GB2312" w:eastAsia="仿宋_GB2312" w:cs="仿宋_GB2312"/>
                <w:color w:val="000000"/>
                <w:sz w:val="21"/>
                <w:szCs w:val="21"/>
              </w:rPr>
            </w:pPr>
          </w:p>
        </w:tc>
        <w:tc>
          <w:tcPr>
            <w:tcW w:w="2130" w:type="dxa"/>
            <w:vMerge w:val="continue"/>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4433" w:type="dxa"/>
            <w:vMerge w:val="continue"/>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670" w:type="dxa"/>
            <w:tcMar>
              <w:top w:w="57" w:type="dxa"/>
              <w:left w:w="57" w:type="dxa"/>
              <w:bottom w:w="57" w:type="dxa"/>
              <w:right w:w="57" w:type="dxa"/>
            </w:tcMar>
            <w:vAlign w:val="center"/>
          </w:tcPr>
          <w:p>
            <w:pPr>
              <w:widowControl/>
              <w:adjustRightInd w:val="0"/>
              <w:snapToGrid w:val="0"/>
              <w:jc w:val="center"/>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较轻</w:t>
            </w:r>
          </w:p>
        </w:tc>
        <w:tc>
          <w:tcPr>
            <w:tcW w:w="3949" w:type="dxa"/>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初次违法，责令限期补办相关手续、逾期不补办的</w:t>
            </w:r>
          </w:p>
        </w:tc>
        <w:tc>
          <w:tcPr>
            <w:tcW w:w="2397" w:type="dxa"/>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责令停止使用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5" w:hRule="atLeast"/>
          <w:jc w:val="center"/>
        </w:trPr>
        <w:tc>
          <w:tcPr>
            <w:tcW w:w="421" w:type="dxa"/>
            <w:vMerge w:val="continue"/>
            <w:tcMar>
              <w:top w:w="57" w:type="dxa"/>
              <w:left w:w="57" w:type="dxa"/>
              <w:bottom w:w="57" w:type="dxa"/>
              <w:right w:w="57" w:type="dxa"/>
            </w:tcMar>
            <w:vAlign w:val="center"/>
          </w:tcPr>
          <w:p>
            <w:pPr>
              <w:adjustRightInd w:val="0"/>
              <w:snapToGrid w:val="0"/>
              <w:jc w:val="center"/>
              <w:rPr>
                <w:rFonts w:ascii="仿宋_GB2312" w:hAnsi="仿宋_GB2312" w:eastAsia="仿宋_GB2312" w:cs="仿宋_GB2312"/>
                <w:color w:val="000000"/>
                <w:sz w:val="21"/>
                <w:szCs w:val="21"/>
              </w:rPr>
            </w:pPr>
          </w:p>
        </w:tc>
        <w:tc>
          <w:tcPr>
            <w:tcW w:w="2130" w:type="dxa"/>
            <w:vMerge w:val="continue"/>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4433" w:type="dxa"/>
            <w:vMerge w:val="continue"/>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670" w:type="dxa"/>
            <w:tcMar>
              <w:top w:w="57" w:type="dxa"/>
              <w:left w:w="57" w:type="dxa"/>
              <w:bottom w:w="57" w:type="dxa"/>
              <w:right w:w="57" w:type="dxa"/>
            </w:tcMar>
            <w:vAlign w:val="center"/>
          </w:tcPr>
          <w:p>
            <w:pPr>
              <w:widowControl/>
              <w:adjustRightInd w:val="0"/>
              <w:snapToGrid w:val="0"/>
              <w:jc w:val="center"/>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一般</w:t>
            </w:r>
          </w:p>
        </w:tc>
        <w:tc>
          <w:tcPr>
            <w:tcW w:w="3949" w:type="dxa"/>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责令限期补办相关手续、逾期不补办、拒不停止使用的</w:t>
            </w:r>
          </w:p>
        </w:tc>
        <w:tc>
          <w:tcPr>
            <w:tcW w:w="2397" w:type="dxa"/>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扣押拖拉机、联合收割机，并处二百元以上一千元以下罚款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6" w:hRule="atLeast"/>
          <w:jc w:val="center"/>
        </w:trPr>
        <w:tc>
          <w:tcPr>
            <w:tcW w:w="421" w:type="dxa"/>
            <w:vMerge w:val="continue"/>
            <w:tcMar>
              <w:top w:w="57" w:type="dxa"/>
              <w:left w:w="57" w:type="dxa"/>
              <w:bottom w:w="57" w:type="dxa"/>
              <w:right w:w="57" w:type="dxa"/>
            </w:tcMar>
            <w:vAlign w:val="center"/>
          </w:tcPr>
          <w:p>
            <w:pPr>
              <w:adjustRightInd w:val="0"/>
              <w:snapToGrid w:val="0"/>
              <w:jc w:val="center"/>
              <w:rPr>
                <w:rFonts w:ascii="仿宋_GB2312" w:hAnsi="仿宋_GB2312" w:eastAsia="仿宋_GB2312" w:cs="仿宋_GB2312"/>
                <w:color w:val="000000"/>
                <w:sz w:val="21"/>
                <w:szCs w:val="21"/>
              </w:rPr>
            </w:pPr>
          </w:p>
        </w:tc>
        <w:tc>
          <w:tcPr>
            <w:tcW w:w="2130" w:type="dxa"/>
            <w:vMerge w:val="continue"/>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4433" w:type="dxa"/>
            <w:vMerge w:val="continue"/>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670" w:type="dxa"/>
            <w:tcMar>
              <w:top w:w="57" w:type="dxa"/>
              <w:left w:w="57" w:type="dxa"/>
              <w:bottom w:w="57" w:type="dxa"/>
              <w:right w:w="57" w:type="dxa"/>
            </w:tcMar>
            <w:vAlign w:val="center"/>
          </w:tcPr>
          <w:p>
            <w:pPr>
              <w:widowControl/>
              <w:adjustRightInd w:val="0"/>
              <w:snapToGrid w:val="0"/>
              <w:jc w:val="center"/>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严重</w:t>
            </w:r>
          </w:p>
        </w:tc>
        <w:tc>
          <w:tcPr>
            <w:tcW w:w="3949" w:type="dxa"/>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多次违法，拒不停止使用；妨碍、阻挠或者抗拒执法或者造成事故，机主承担主要责任以上的</w:t>
            </w:r>
          </w:p>
        </w:tc>
        <w:tc>
          <w:tcPr>
            <w:tcW w:w="2397" w:type="dxa"/>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扣押拖拉机、联合收割机，并处一千元以上二千元以下罚款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4" w:hRule="atLeast"/>
          <w:jc w:val="center"/>
        </w:trPr>
        <w:tc>
          <w:tcPr>
            <w:tcW w:w="421" w:type="dxa"/>
            <w:vMerge w:val="restart"/>
            <w:tcMar>
              <w:top w:w="57" w:type="dxa"/>
              <w:left w:w="57" w:type="dxa"/>
              <w:bottom w:w="57" w:type="dxa"/>
              <w:right w:w="57" w:type="dxa"/>
            </w:tcMar>
            <w:vAlign w:val="center"/>
          </w:tcPr>
          <w:p>
            <w:pPr>
              <w:widowControl/>
              <w:adjustRightInd w:val="0"/>
              <w:snapToGrid w:val="0"/>
              <w:jc w:val="center"/>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4</w:t>
            </w:r>
          </w:p>
        </w:tc>
        <w:tc>
          <w:tcPr>
            <w:tcW w:w="2130" w:type="dxa"/>
            <w:vMerge w:val="restart"/>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伪造、变造或者使用伪造、变造的拖拉机、联合收割机证书和牌照，或者使用其他拖拉机、联合收割机的证书和牌照的</w:t>
            </w:r>
          </w:p>
        </w:tc>
        <w:tc>
          <w:tcPr>
            <w:tcW w:w="4433" w:type="dxa"/>
            <w:vMerge w:val="restart"/>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 xml:space="preserve"> 《农业机械安全监督管理条例》第五十一条，伪造、变造或者使用伪造、变造的拖拉机、联合收割机证书和牌照的，或者使用其他拖拉机、联合收割机的证书和牌照的，由县级以上地方人民政府农业机械化主管部门收缴伪造、变造或者使用的证书和牌照，对违法行为人予以批评教育，并处200元以上2000元以下罚款。</w:t>
            </w:r>
          </w:p>
        </w:tc>
        <w:tc>
          <w:tcPr>
            <w:tcW w:w="670" w:type="dxa"/>
            <w:tcMar>
              <w:top w:w="57" w:type="dxa"/>
              <w:left w:w="57" w:type="dxa"/>
              <w:bottom w:w="57" w:type="dxa"/>
              <w:right w:w="57" w:type="dxa"/>
            </w:tcMar>
            <w:vAlign w:val="center"/>
          </w:tcPr>
          <w:p>
            <w:pPr>
              <w:widowControl/>
              <w:adjustRightInd w:val="0"/>
              <w:snapToGrid w:val="0"/>
              <w:jc w:val="center"/>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较轻</w:t>
            </w:r>
          </w:p>
        </w:tc>
        <w:tc>
          <w:tcPr>
            <w:tcW w:w="3949" w:type="dxa"/>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使用其他拖拉机、联合收割机的证书和牌照的</w:t>
            </w:r>
          </w:p>
        </w:tc>
        <w:tc>
          <w:tcPr>
            <w:tcW w:w="2397" w:type="dxa"/>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收缴使用的其他拖拉机、联合收割机的证书和牌照，对违法行为人予以批评教育，并处二百元以上一千元以下罚款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421" w:type="dxa"/>
            <w:vMerge w:val="continue"/>
            <w:tcMar>
              <w:top w:w="57" w:type="dxa"/>
              <w:left w:w="57" w:type="dxa"/>
              <w:bottom w:w="57" w:type="dxa"/>
              <w:right w:w="57" w:type="dxa"/>
            </w:tcMar>
            <w:vAlign w:val="center"/>
          </w:tcPr>
          <w:p>
            <w:pPr>
              <w:adjustRightInd w:val="0"/>
              <w:snapToGrid w:val="0"/>
              <w:jc w:val="center"/>
              <w:rPr>
                <w:rFonts w:ascii="仿宋_GB2312" w:hAnsi="仿宋_GB2312" w:eastAsia="仿宋_GB2312" w:cs="仿宋_GB2312"/>
                <w:color w:val="000000"/>
                <w:sz w:val="21"/>
                <w:szCs w:val="21"/>
              </w:rPr>
            </w:pPr>
          </w:p>
        </w:tc>
        <w:tc>
          <w:tcPr>
            <w:tcW w:w="2130" w:type="dxa"/>
            <w:vMerge w:val="continue"/>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4433" w:type="dxa"/>
            <w:vMerge w:val="continue"/>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670" w:type="dxa"/>
            <w:tcMar>
              <w:top w:w="57" w:type="dxa"/>
              <w:left w:w="57" w:type="dxa"/>
              <w:bottom w:w="57" w:type="dxa"/>
              <w:right w:w="57" w:type="dxa"/>
            </w:tcMar>
            <w:vAlign w:val="center"/>
          </w:tcPr>
          <w:p>
            <w:pPr>
              <w:widowControl/>
              <w:adjustRightInd w:val="0"/>
              <w:snapToGrid w:val="0"/>
              <w:jc w:val="center"/>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一般</w:t>
            </w:r>
          </w:p>
        </w:tc>
        <w:tc>
          <w:tcPr>
            <w:tcW w:w="3949" w:type="dxa"/>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使用伪造、变造拖拉机和联合收割机的证书和牌照的</w:t>
            </w:r>
          </w:p>
        </w:tc>
        <w:tc>
          <w:tcPr>
            <w:tcW w:w="2397" w:type="dxa"/>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收缴伪造、变造或者使用的证书和牌照，对违法行为人予以批评教育，并处一千元以上一千五百元以下罚款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421" w:type="dxa"/>
            <w:vMerge w:val="continue"/>
            <w:tcMar>
              <w:top w:w="57" w:type="dxa"/>
              <w:left w:w="57" w:type="dxa"/>
              <w:bottom w:w="57" w:type="dxa"/>
              <w:right w:w="57" w:type="dxa"/>
            </w:tcMar>
            <w:vAlign w:val="center"/>
          </w:tcPr>
          <w:p>
            <w:pPr>
              <w:adjustRightInd w:val="0"/>
              <w:snapToGrid w:val="0"/>
              <w:jc w:val="center"/>
              <w:rPr>
                <w:rFonts w:ascii="仿宋_GB2312" w:hAnsi="仿宋_GB2312" w:eastAsia="仿宋_GB2312" w:cs="仿宋_GB2312"/>
                <w:color w:val="000000"/>
                <w:sz w:val="21"/>
                <w:szCs w:val="21"/>
              </w:rPr>
            </w:pPr>
          </w:p>
        </w:tc>
        <w:tc>
          <w:tcPr>
            <w:tcW w:w="2130" w:type="dxa"/>
            <w:vMerge w:val="continue"/>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4433" w:type="dxa"/>
            <w:vMerge w:val="continue"/>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670" w:type="dxa"/>
            <w:tcMar>
              <w:top w:w="57" w:type="dxa"/>
              <w:left w:w="57" w:type="dxa"/>
              <w:bottom w:w="57" w:type="dxa"/>
              <w:right w:w="57" w:type="dxa"/>
            </w:tcMar>
            <w:vAlign w:val="center"/>
          </w:tcPr>
          <w:p>
            <w:pPr>
              <w:widowControl/>
              <w:adjustRightInd w:val="0"/>
              <w:snapToGrid w:val="0"/>
              <w:jc w:val="center"/>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严重</w:t>
            </w:r>
          </w:p>
        </w:tc>
        <w:tc>
          <w:tcPr>
            <w:tcW w:w="3949" w:type="dxa"/>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妨碍、阻挠或者抗拒执法，或者伪造、变造拖拉机和联合收割机的证书和牌照的</w:t>
            </w:r>
          </w:p>
        </w:tc>
        <w:tc>
          <w:tcPr>
            <w:tcW w:w="2397" w:type="dxa"/>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收缴伪造、变造或者使用的证书和牌照，对违法行为人予以批评教育，并处一千五百元以上二千元以下罚款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421" w:type="dxa"/>
            <w:vMerge w:val="restart"/>
            <w:tcMar>
              <w:top w:w="57" w:type="dxa"/>
              <w:left w:w="57" w:type="dxa"/>
              <w:bottom w:w="57" w:type="dxa"/>
              <w:right w:w="57" w:type="dxa"/>
            </w:tcMar>
            <w:vAlign w:val="center"/>
          </w:tcPr>
          <w:p>
            <w:pPr>
              <w:widowControl/>
              <w:adjustRightInd w:val="0"/>
              <w:snapToGrid w:val="0"/>
              <w:jc w:val="center"/>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5</w:t>
            </w:r>
          </w:p>
        </w:tc>
        <w:tc>
          <w:tcPr>
            <w:tcW w:w="2130" w:type="dxa"/>
            <w:vMerge w:val="restart"/>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未取得拖拉机、联合收割机操作证件（驾驶证）而操作（驾驶）拖拉机、联合收割机的</w:t>
            </w:r>
          </w:p>
        </w:tc>
        <w:tc>
          <w:tcPr>
            <w:tcW w:w="4433" w:type="dxa"/>
            <w:vMerge w:val="restart"/>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《农业机械安全监督管理条例》第五十二条，未取得拖拉机、联合收割机操作证件而操作拖拉机、联合收割机的，由县级以上地方人民政府农业机械化主管部门责令改正，处100元以上500元以下罚款。</w:t>
            </w:r>
          </w:p>
        </w:tc>
        <w:tc>
          <w:tcPr>
            <w:tcW w:w="670" w:type="dxa"/>
            <w:tcMar>
              <w:top w:w="57" w:type="dxa"/>
              <w:left w:w="57" w:type="dxa"/>
              <w:bottom w:w="57" w:type="dxa"/>
              <w:right w:w="57" w:type="dxa"/>
            </w:tcMar>
            <w:vAlign w:val="center"/>
          </w:tcPr>
          <w:p>
            <w:pPr>
              <w:widowControl/>
              <w:adjustRightInd w:val="0"/>
              <w:snapToGrid w:val="0"/>
              <w:jc w:val="center"/>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轻微</w:t>
            </w:r>
          </w:p>
        </w:tc>
        <w:tc>
          <w:tcPr>
            <w:tcW w:w="3949" w:type="dxa"/>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未取得操作证件（驾驶证）而操作（驾驶）拖拉机和联合收割机作业，初次违法、及时改正的</w:t>
            </w:r>
          </w:p>
        </w:tc>
        <w:tc>
          <w:tcPr>
            <w:tcW w:w="2397" w:type="dxa"/>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责令改正，不予处罚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421" w:type="dxa"/>
            <w:vMerge w:val="continue"/>
            <w:tcMar>
              <w:top w:w="57" w:type="dxa"/>
              <w:left w:w="57" w:type="dxa"/>
              <w:bottom w:w="57" w:type="dxa"/>
              <w:right w:w="57" w:type="dxa"/>
            </w:tcMar>
            <w:vAlign w:val="center"/>
          </w:tcPr>
          <w:p>
            <w:pPr>
              <w:adjustRightInd w:val="0"/>
              <w:snapToGrid w:val="0"/>
              <w:jc w:val="center"/>
              <w:rPr>
                <w:rFonts w:ascii="仿宋_GB2312" w:hAnsi="仿宋_GB2312" w:eastAsia="仿宋_GB2312" w:cs="仿宋_GB2312"/>
                <w:color w:val="000000"/>
                <w:sz w:val="21"/>
                <w:szCs w:val="21"/>
              </w:rPr>
            </w:pPr>
          </w:p>
        </w:tc>
        <w:tc>
          <w:tcPr>
            <w:tcW w:w="2130" w:type="dxa"/>
            <w:vMerge w:val="continue"/>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4433" w:type="dxa"/>
            <w:vMerge w:val="continue"/>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670" w:type="dxa"/>
            <w:tcMar>
              <w:top w:w="57" w:type="dxa"/>
              <w:left w:w="57" w:type="dxa"/>
              <w:bottom w:w="57" w:type="dxa"/>
              <w:right w:w="57" w:type="dxa"/>
            </w:tcMar>
            <w:vAlign w:val="center"/>
          </w:tcPr>
          <w:p>
            <w:pPr>
              <w:widowControl/>
              <w:adjustRightInd w:val="0"/>
              <w:snapToGrid w:val="0"/>
              <w:jc w:val="center"/>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一般</w:t>
            </w:r>
          </w:p>
        </w:tc>
        <w:tc>
          <w:tcPr>
            <w:tcW w:w="3949" w:type="dxa"/>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未取得操作证件（驾驶证）而操作（驾驶）拖拉机和联合收割机作业，拒不改正的</w:t>
            </w:r>
          </w:p>
        </w:tc>
        <w:tc>
          <w:tcPr>
            <w:tcW w:w="2397" w:type="dxa"/>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责令改正，处一百元以上四百元以下罚款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5" w:hRule="atLeast"/>
          <w:jc w:val="center"/>
        </w:trPr>
        <w:tc>
          <w:tcPr>
            <w:tcW w:w="421" w:type="dxa"/>
            <w:vMerge w:val="continue"/>
            <w:tcMar>
              <w:top w:w="57" w:type="dxa"/>
              <w:left w:w="57" w:type="dxa"/>
              <w:bottom w:w="57" w:type="dxa"/>
              <w:right w:w="57" w:type="dxa"/>
            </w:tcMar>
            <w:vAlign w:val="center"/>
          </w:tcPr>
          <w:p>
            <w:pPr>
              <w:adjustRightInd w:val="0"/>
              <w:snapToGrid w:val="0"/>
              <w:jc w:val="center"/>
              <w:rPr>
                <w:rFonts w:ascii="仿宋_GB2312" w:hAnsi="仿宋_GB2312" w:eastAsia="仿宋_GB2312" w:cs="仿宋_GB2312"/>
                <w:color w:val="000000"/>
                <w:sz w:val="21"/>
                <w:szCs w:val="21"/>
              </w:rPr>
            </w:pPr>
          </w:p>
        </w:tc>
        <w:tc>
          <w:tcPr>
            <w:tcW w:w="2130" w:type="dxa"/>
            <w:vMerge w:val="continue"/>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4433" w:type="dxa"/>
            <w:vMerge w:val="continue"/>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670" w:type="dxa"/>
            <w:tcMar>
              <w:top w:w="57" w:type="dxa"/>
              <w:left w:w="57" w:type="dxa"/>
              <w:bottom w:w="57" w:type="dxa"/>
              <w:right w:w="57" w:type="dxa"/>
            </w:tcMar>
            <w:vAlign w:val="center"/>
          </w:tcPr>
          <w:p>
            <w:pPr>
              <w:widowControl/>
              <w:adjustRightInd w:val="0"/>
              <w:snapToGrid w:val="0"/>
              <w:jc w:val="center"/>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严重</w:t>
            </w:r>
          </w:p>
        </w:tc>
        <w:tc>
          <w:tcPr>
            <w:tcW w:w="3949" w:type="dxa"/>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违法行为造成事故，致人员伤亡的或者妨碍、阻挠或者抗拒执法的</w:t>
            </w:r>
          </w:p>
        </w:tc>
        <w:tc>
          <w:tcPr>
            <w:tcW w:w="2397" w:type="dxa"/>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责令改正，处四百元以上五百元以下罚款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2" w:hRule="atLeast"/>
          <w:jc w:val="center"/>
        </w:trPr>
        <w:tc>
          <w:tcPr>
            <w:tcW w:w="421" w:type="dxa"/>
            <w:vMerge w:val="restart"/>
            <w:tcMar>
              <w:top w:w="57" w:type="dxa"/>
              <w:left w:w="57" w:type="dxa"/>
              <w:bottom w:w="57" w:type="dxa"/>
              <w:right w:w="57" w:type="dxa"/>
            </w:tcMar>
            <w:vAlign w:val="center"/>
          </w:tcPr>
          <w:p>
            <w:pPr>
              <w:widowControl/>
              <w:adjustRightInd w:val="0"/>
              <w:snapToGrid w:val="0"/>
              <w:jc w:val="center"/>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6</w:t>
            </w:r>
          </w:p>
        </w:tc>
        <w:tc>
          <w:tcPr>
            <w:tcW w:w="2130" w:type="dxa"/>
            <w:vMerge w:val="restart"/>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拖拉机、联合收割机操作人员操作与本人操作证件规定不相符的拖拉机、联合收割机，或者操作未按照规定登记、检验或者检验不合格、安全设施不全、机件失效的拖拉机、联合收割机，或者使用国家管制的精神药品、麻醉品后操作拖拉机、联合收割机，或者患有妨碍安全操作的疾病操作拖拉机、联合收割机的</w:t>
            </w:r>
          </w:p>
        </w:tc>
        <w:tc>
          <w:tcPr>
            <w:tcW w:w="4433" w:type="dxa"/>
            <w:vMerge w:val="restart"/>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农业机械安全监督管理条例》第五十三条，拖拉机、联合收割机操作人员操作与本人操作证件规定不相符的拖拉机、联合收割机，或者操作未按照规定登记、检验或者检验不合格、安全设施不全、机件失效的拖拉机、联合收割机，或者使用国家管制的精神药品、麻醉品后操作拖拉机、联合收割机，或者患有妨碍安全操作的疾病操作拖拉机、联合收割机的，由县级以上地方人民政府农业机械化主管部门对违法行为人予以批评教育，责令改正；拒不改正的，处100元以上500元以下罚款；情节严重的，吊销有关人员的操作证件。</w:t>
            </w:r>
          </w:p>
        </w:tc>
        <w:tc>
          <w:tcPr>
            <w:tcW w:w="670" w:type="dxa"/>
            <w:tcMar>
              <w:top w:w="57" w:type="dxa"/>
              <w:left w:w="57" w:type="dxa"/>
              <w:bottom w:w="57" w:type="dxa"/>
              <w:right w:w="57" w:type="dxa"/>
            </w:tcMar>
            <w:vAlign w:val="center"/>
          </w:tcPr>
          <w:p>
            <w:pPr>
              <w:widowControl/>
              <w:adjustRightInd w:val="0"/>
              <w:snapToGrid w:val="0"/>
              <w:jc w:val="center"/>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轻微</w:t>
            </w:r>
          </w:p>
        </w:tc>
        <w:tc>
          <w:tcPr>
            <w:tcW w:w="3949" w:type="dxa"/>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初次违法，危害后果轻微并及时改正的</w:t>
            </w:r>
          </w:p>
        </w:tc>
        <w:tc>
          <w:tcPr>
            <w:tcW w:w="2397" w:type="dxa"/>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责令改正，不予行政处罚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86" w:hRule="atLeast"/>
          <w:jc w:val="center"/>
        </w:trPr>
        <w:tc>
          <w:tcPr>
            <w:tcW w:w="421" w:type="dxa"/>
            <w:vMerge w:val="continue"/>
            <w:tcMar>
              <w:top w:w="57" w:type="dxa"/>
              <w:left w:w="57" w:type="dxa"/>
              <w:bottom w:w="57" w:type="dxa"/>
              <w:right w:w="57" w:type="dxa"/>
            </w:tcMar>
            <w:vAlign w:val="center"/>
          </w:tcPr>
          <w:p>
            <w:pPr>
              <w:adjustRightInd w:val="0"/>
              <w:snapToGrid w:val="0"/>
              <w:jc w:val="center"/>
              <w:rPr>
                <w:rFonts w:ascii="仿宋_GB2312" w:hAnsi="仿宋_GB2312" w:eastAsia="仿宋_GB2312" w:cs="仿宋_GB2312"/>
                <w:color w:val="000000"/>
                <w:sz w:val="21"/>
                <w:szCs w:val="21"/>
              </w:rPr>
            </w:pPr>
          </w:p>
        </w:tc>
        <w:tc>
          <w:tcPr>
            <w:tcW w:w="2130" w:type="dxa"/>
            <w:vMerge w:val="continue"/>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4433" w:type="dxa"/>
            <w:vMerge w:val="continue"/>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670" w:type="dxa"/>
            <w:tcMar>
              <w:top w:w="57" w:type="dxa"/>
              <w:left w:w="57" w:type="dxa"/>
              <w:bottom w:w="57" w:type="dxa"/>
              <w:right w:w="57" w:type="dxa"/>
            </w:tcMar>
            <w:vAlign w:val="center"/>
          </w:tcPr>
          <w:p>
            <w:pPr>
              <w:widowControl/>
              <w:adjustRightInd w:val="0"/>
              <w:snapToGrid w:val="0"/>
              <w:jc w:val="center"/>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一般</w:t>
            </w:r>
          </w:p>
        </w:tc>
        <w:tc>
          <w:tcPr>
            <w:tcW w:w="3949" w:type="dxa"/>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拒不改正，再次违法操作的</w:t>
            </w:r>
          </w:p>
        </w:tc>
        <w:tc>
          <w:tcPr>
            <w:tcW w:w="2397" w:type="dxa"/>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处一百元以上四百元以下罚款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421" w:type="dxa"/>
            <w:vMerge w:val="continue"/>
            <w:tcMar>
              <w:top w:w="57" w:type="dxa"/>
              <w:left w:w="57" w:type="dxa"/>
              <w:bottom w:w="57" w:type="dxa"/>
              <w:right w:w="57" w:type="dxa"/>
            </w:tcMar>
            <w:vAlign w:val="center"/>
          </w:tcPr>
          <w:p>
            <w:pPr>
              <w:adjustRightInd w:val="0"/>
              <w:snapToGrid w:val="0"/>
              <w:jc w:val="center"/>
              <w:rPr>
                <w:rFonts w:ascii="仿宋_GB2312" w:hAnsi="仿宋_GB2312" w:eastAsia="仿宋_GB2312" w:cs="仿宋_GB2312"/>
                <w:color w:val="000000"/>
                <w:sz w:val="21"/>
                <w:szCs w:val="21"/>
              </w:rPr>
            </w:pPr>
          </w:p>
        </w:tc>
        <w:tc>
          <w:tcPr>
            <w:tcW w:w="2130" w:type="dxa"/>
            <w:vMerge w:val="continue"/>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4433" w:type="dxa"/>
            <w:vMerge w:val="continue"/>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670" w:type="dxa"/>
            <w:tcMar>
              <w:top w:w="57" w:type="dxa"/>
              <w:left w:w="57" w:type="dxa"/>
              <w:bottom w:w="57" w:type="dxa"/>
              <w:right w:w="57" w:type="dxa"/>
            </w:tcMar>
            <w:vAlign w:val="center"/>
          </w:tcPr>
          <w:p>
            <w:pPr>
              <w:widowControl/>
              <w:adjustRightInd w:val="0"/>
              <w:snapToGrid w:val="0"/>
              <w:jc w:val="center"/>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严重</w:t>
            </w:r>
          </w:p>
        </w:tc>
        <w:tc>
          <w:tcPr>
            <w:tcW w:w="3949" w:type="dxa"/>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多次违法操作或者违法操作拖拉机和联合收割机造成事故，或者妨碍、阻挠或者抗拒执法的</w:t>
            </w:r>
          </w:p>
        </w:tc>
        <w:tc>
          <w:tcPr>
            <w:tcW w:w="2397" w:type="dxa"/>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处四百元以上五百元以下罚款，吊销有关人员的操作证件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421" w:type="dxa"/>
            <w:vMerge w:val="restart"/>
            <w:tcMar>
              <w:top w:w="57" w:type="dxa"/>
              <w:left w:w="57" w:type="dxa"/>
              <w:bottom w:w="57" w:type="dxa"/>
              <w:right w:w="57" w:type="dxa"/>
            </w:tcMar>
            <w:vAlign w:val="center"/>
          </w:tcPr>
          <w:p>
            <w:pPr>
              <w:widowControl/>
              <w:adjustRightInd w:val="0"/>
              <w:snapToGrid w:val="0"/>
              <w:jc w:val="center"/>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7</w:t>
            </w:r>
          </w:p>
        </w:tc>
        <w:tc>
          <w:tcPr>
            <w:tcW w:w="2130" w:type="dxa"/>
            <w:vMerge w:val="restart"/>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使用拖拉机、联合收割机违反规定载人的</w:t>
            </w:r>
          </w:p>
        </w:tc>
        <w:tc>
          <w:tcPr>
            <w:tcW w:w="4433" w:type="dxa"/>
            <w:vMerge w:val="restart"/>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农业机械安全监督管理条例》第五十四条，使用拖拉机、联合收割机违反规定载人的，由县级以上地方人民政府农业机械化主管部门对违法行为人予以批评教育，责令改正；拒不改正的，扣押拖拉机、联合收割机的证书、牌照；情节严重的，吊销有关人员的操作证件。</w:t>
            </w:r>
          </w:p>
        </w:tc>
        <w:tc>
          <w:tcPr>
            <w:tcW w:w="670" w:type="dxa"/>
            <w:tcMar>
              <w:top w:w="57" w:type="dxa"/>
              <w:left w:w="57" w:type="dxa"/>
              <w:bottom w:w="57" w:type="dxa"/>
              <w:right w:w="57" w:type="dxa"/>
            </w:tcMar>
            <w:vAlign w:val="center"/>
          </w:tcPr>
          <w:p>
            <w:pPr>
              <w:widowControl/>
              <w:adjustRightInd w:val="0"/>
              <w:snapToGrid w:val="0"/>
              <w:jc w:val="center"/>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轻微</w:t>
            </w:r>
          </w:p>
        </w:tc>
        <w:tc>
          <w:tcPr>
            <w:tcW w:w="3949" w:type="dxa"/>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使用拖拉机、联合收割机违反规定载人，初次违法，危害后果轻微并及时改正的</w:t>
            </w:r>
          </w:p>
        </w:tc>
        <w:tc>
          <w:tcPr>
            <w:tcW w:w="2397" w:type="dxa"/>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对违法行为人批评教育，责令改正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421" w:type="dxa"/>
            <w:vMerge w:val="continue"/>
            <w:tcMar>
              <w:top w:w="57" w:type="dxa"/>
              <w:left w:w="57" w:type="dxa"/>
              <w:bottom w:w="57" w:type="dxa"/>
              <w:right w:w="57" w:type="dxa"/>
            </w:tcMar>
            <w:vAlign w:val="center"/>
          </w:tcPr>
          <w:p>
            <w:pPr>
              <w:adjustRightInd w:val="0"/>
              <w:snapToGrid w:val="0"/>
              <w:jc w:val="center"/>
              <w:rPr>
                <w:rFonts w:ascii="仿宋_GB2312" w:hAnsi="仿宋_GB2312" w:eastAsia="仿宋_GB2312" w:cs="仿宋_GB2312"/>
                <w:color w:val="000000"/>
                <w:sz w:val="21"/>
                <w:szCs w:val="21"/>
              </w:rPr>
            </w:pPr>
          </w:p>
        </w:tc>
        <w:tc>
          <w:tcPr>
            <w:tcW w:w="2130" w:type="dxa"/>
            <w:vMerge w:val="continue"/>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4433" w:type="dxa"/>
            <w:vMerge w:val="continue"/>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670" w:type="dxa"/>
            <w:tcMar>
              <w:top w:w="57" w:type="dxa"/>
              <w:left w:w="57" w:type="dxa"/>
              <w:bottom w:w="57" w:type="dxa"/>
              <w:right w:w="57" w:type="dxa"/>
            </w:tcMar>
            <w:vAlign w:val="center"/>
          </w:tcPr>
          <w:p>
            <w:pPr>
              <w:widowControl/>
              <w:adjustRightInd w:val="0"/>
              <w:snapToGrid w:val="0"/>
              <w:jc w:val="center"/>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一般</w:t>
            </w:r>
          </w:p>
        </w:tc>
        <w:tc>
          <w:tcPr>
            <w:tcW w:w="3949" w:type="dxa"/>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使用拖拉机、联合收割机违反规定载人，拒不改正的</w:t>
            </w:r>
          </w:p>
        </w:tc>
        <w:tc>
          <w:tcPr>
            <w:tcW w:w="2397" w:type="dxa"/>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扣押拖拉机、联合收割机的证书、牌照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3" w:hRule="atLeast"/>
          <w:jc w:val="center"/>
        </w:trPr>
        <w:tc>
          <w:tcPr>
            <w:tcW w:w="421" w:type="dxa"/>
            <w:vMerge w:val="continue"/>
            <w:tcMar>
              <w:top w:w="57" w:type="dxa"/>
              <w:left w:w="57" w:type="dxa"/>
              <w:bottom w:w="57" w:type="dxa"/>
              <w:right w:w="57" w:type="dxa"/>
            </w:tcMar>
            <w:vAlign w:val="center"/>
          </w:tcPr>
          <w:p>
            <w:pPr>
              <w:adjustRightInd w:val="0"/>
              <w:snapToGrid w:val="0"/>
              <w:jc w:val="center"/>
              <w:rPr>
                <w:rFonts w:ascii="仿宋_GB2312" w:hAnsi="仿宋_GB2312" w:eastAsia="仿宋_GB2312" w:cs="仿宋_GB2312"/>
                <w:color w:val="000000"/>
                <w:sz w:val="21"/>
                <w:szCs w:val="21"/>
              </w:rPr>
            </w:pPr>
          </w:p>
        </w:tc>
        <w:tc>
          <w:tcPr>
            <w:tcW w:w="2130" w:type="dxa"/>
            <w:vMerge w:val="continue"/>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4433" w:type="dxa"/>
            <w:vMerge w:val="continue"/>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670" w:type="dxa"/>
            <w:tcMar>
              <w:top w:w="57" w:type="dxa"/>
              <w:left w:w="57" w:type="dxa"/>
              <w:bottom w:w="57" w:type="dxa"/>
              <w:right w:w="57" w:type="dxa"/>
            </w:tcMar>
            <w:vAlign w:val="center"/>
          </w:tcPr>
          <w:p>
            <w:pPr>
              <w:widowControl/>
              <w:adjustRightInd w:val="0"/>
              <w:snapToGrid w:val="0"/>
              <w:jc w:val="center"/>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严重</w:t>
            </w:r>
          </w:p>
        </w:tc>
        <w:tc>
          <w:tcPr>
            <w:tcW w:w="3949" w:type="dxa"/>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违法行为给他人或者社会公共利益造成危害的</w:t>
            </w:r>
          </w:p>
        </w:tc>
        <w:tc>
          <w:tcPr>
            <w:tcW w:w="2397" w:type="dxa"/>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吊销有关人员的操作证件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3" w:hRule="atLeast"/>
          <w:jc w:val="center"/>
        </w:trPr>
        <w:tc>
          <w:tcPr>
            <w:tcW w:w="421" w:type="dxa"/>
            <w:vMerge w:val="restart"/>
            <w:tcMar>
              <w:top w:w="57" w:type="dxa"/>
              <w:left w:w="57" w:type="dxa"/>
              <w:bottom w:w="57" w:type="dxa"/>
              <w:right w:w="57" w:type="dxa"/>
            </w:tcMar>
            <w:vAlign w:val="center"/>
          </w:tcPr>
          <w:p>
            <w:pPr>
              <w:widowControl/>
              <w:adjustRightInd w:val="0"/>
              <w:snapToGrid w:val="0"/>
              <w:jc w:val="center"/>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8</w:t>
            </w:r>
          </w:p>
        </w:tc>
        <w:tc>
          <w:tcPr>
            <w:tcW w:w="2130" w:type="dxa"/>
            <w:vMerge w:val="restart"/>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农业机械存在事故隐患拒不排除并继续使用的</w:t>
            </w:r>
          </w:p>
        </w:tc>
        <w:tc>
          <w:tcPr>
            <w:tcW w:w="4433" w:type="dxa"/>
            <w:vMerge w:val="restart"/>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《农业机械安全监督管理条例》</w:t>
            </w:r>
            <w:r>
              <w:rPr>
                <w:rFonts w:hint="eastAsia" w:ascii="仿宋_GB2312" w:hAnsi="仿宋_GB2312" w:eastAsia="仿宋_GB2312" w:cs="仿宋_GB2312"/>
                <w:color w:val="000000"/>
                <w:kern w:val="0"/>
                <w:sz w:val="21"/>
                <w:szCs w:val="21"/>
              </w:rPr>
              <w:br w:type="textWrapping"/>
            </w:r>
            <w:r>
              <w:rPr>
                <w:rFonts w:hint="eastAsia" w:ascii="仿宋_GB2312" w:hAnsi="仿宋_GB2312" w:eastAsia="仿宋_GB2312" w:cs="仿宋_GB2312"/>
                <w:color w:val="000000"/>
                <w:kern w:val="0"/>
                <w:sz w:val="21"/>
                <w:szCs w:val="21"/>
              </w:rPr>
              <w:t>第五十五条第一款：经检验、检查发现农业机械存在事故隐患，经农业机械化主管部门告知拒不排除并继续使用的，由县级以上地方人民政府农业机械化主管部门对违法行为人予以批评教育，责令改正；拒不改正的，责令停止使用；拒不停止使用的，扣押存在事故隐患的农业机械。</w:t>
            </w:r>
          </w:p>
        </w:tc>
        <w:tc>
          <w:tcPr>
            <w:tcW w:w="670" w:type="dxa"/>
            <w:tcMar>
              <w:top w:w="57" w:type="dxa"/>
              <w:left w:w="57" w:type="dxa"/>
              <w:bottom w:w="57" w:type="dxa"/>
              <w:right w:w="57" w:type="dxa"/>
            </w:tcMar>
            <w:vAlign w:val="center"/>
          </w:tcPr>
          <w:p>
            <w:pPr>
              <w:widowControl/>
              <w:adjustRightInd w:val="0"/>
              <w:snapToGrid w:val="0"/>
              <w:jc w:val="center"/>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轻微</w:t>
            </w:r>
          </w:p>
        </w:tc>
        <w:tc>
          <w:tcPr>
            <w:tcW w:w="3949" w:type="dxa"/>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初次违法，危害后果轻微并及时改正的</w:t>
            </w:r>
          </w:p>
        </w:tc>
        <w:tc>
          <w:tcPr>
            <w:tcW w:w="2397" w:type="dxa"/>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对违法行为人批评教育，责令改正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7" w:hRule="atLeast"/>
          <w:jc w:val="center"/>
        </w:trPr>
        <w:tc>
          <w:tcPr>
            <w:tcW w:w="421" w:type="dxa"/>
            <w:vMerge w:val="continue"/>
            <w:tcMar>
              <w:top w:w="57" w:type="dxa"/>
              <w:left w:w="57" w:type="dxa"/>
              <w:bottom w:w="57" w:type="dxa"/>
              <w:right w:w="57" w:type="dxa"/>
            </w:tcMar>
            <w:vAlign w:val="center"/>
          </w:tcPr>
          <w:p>
            <w:pPr>
              <w:adjustRightInd w:val="0"/>
              <w:snapToGrid w:val="0"/>
              <w:jc w:val="center"/>
              <w:rPr>
                <w:rFonts w:ascii="仿宋_GB2312" w:hAnsi="仿宋_GB2312" w:eastAsia="仿宋_GB2312" w:cs="仿宋_GB2312"/>
                <w:color w:val="000000"/>
                <w:sz w:val="21"/>
                <w:szCs w:val="21"/>
              </w:rPr>
            </w:pPr>
          </w:p>
        </w:tc>
        <w:tc>
          <w:tcPr>
            <w:tcW w:w="2130" w:type="dxa"/>
            <w:vMerge w:val="continue"/>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4433" w:type="dxa"/>
            <w:vMerge w:val="continue"/>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670" w:type="dxa"/>
            <w:tcMar>
              <w:top w:w="57" w:type="dxa"/>
              <w:left w:w="57" w:type="dxa"/>
              <w:bottom w:w="57" w:type="dxa"/>
              <w:right w:w="57" w:type="dxa"/>
            </w:tcMar>
            <w:vAlign w:val="center"/>
          </w:tcPr>
          <w:p>
            <w:pPr>
              <w:widowControl/>
              <w:adjustRightInd w:val="0"/>
              <w:snapToGrid w:val="0"/>
              <w:jc w:val="center"/>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一般</w:t>
            </w:r>
          </w:p>
        </w:tc>
        <w:tc>
          <w:tcPr>
            <w:tcW w:w="3949" w:type="dxa"/>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责令改正，拒不改正</w:t>
            </w:r>
          </w:p>
        </w:tc>
        <w:tc>
          <w:tcPr>
            <w:tcW w:w="2397" w:type="dxa"/>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责令停止使用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3" w:hRule="atLeast"/>
          <w:jc w:val="center"/>
        </w:trPr>
        <w:tc>
          <w:tcPr>
            <w:tcW w:w="421" w:type="dxa"/>
            <w:vMerge w:val="continue"/>
            <w:tcMar>
              <w:top w:w="57" w:type="dxa"/>
              <w:left w:w="57" w:type="dxa"/>
              <w:bottom w:w="57" w:type="dxa"/>
              <w:right w:w="57" w:type="dxa"/>
            </w:tcMar>
            <w:vAlign w:val="center"/>
          </w:tcPr>
          <w:p>
            <w:pPr>
              <w:adjustRightInd w:val="0"/>
              <w:snapToGrid w:val="0"/>
              <w:jc w:val="center"/>
              <w:rPr>
                <w:rFonts w:ascii="仿宋_GB2312" w:hAnsi="仿宋_GB2312" w:eastAsia="仿宋_GB2312" w:cs="仿宋_GB2312"/>
                <w:color w:val="000000"/>
                <w:sz w:val="21"/>
                <w:szCs w:val="21"/>
              </w:rPr>
            </w:pPr>
          </w:p>
        </w:tc>
        <w:tc>
          <w:tcPr>
            <w:tcW w:w="2130" w:type="dxa"/>
            <w:vMerge w:val="continue"/>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4433" w:type="dxa"/>
            <w:vMerge w:val="continue"/>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670" w:type="dxa"/>
            <w:tcMar>
              <w:top w:w="57" w:type="dxa"/>
              <w:left w:w="57" w:type="dxa"/>
              <w:bottom w:w="57" w:type="dxa"/>
              <w:right w:w="57" w:type="dxa"/>
            </w:tcMar>
            <w:vAlign w:val="center"/>
          </w:tcPr>
          <w:p>
            <w:pPr>
              <w:widowControl/>
              <w:adjustRightInd w:val="0"/>
              <w:snapToGrid w:val="0"/>
              <w:jc w:val="center"/>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严重</w:t>
            </w:r>
          </w:p>
        </w:tc>
        <w:tc>
          <w:tcPr>
            <w:tcW w:w="3949" w:type="dxa"/>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责令停止使用，拒不停止使用的</w:t>
            </w:r>
          </w:p>
        </w:tc>
        <w:tc>
          <w:tcPr>
            <w:tcW w:w="2397" w:type="dxa"/>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扣押存在事故隐患的农业机械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0" w:hRule="atLeast"/>
          <w:jc w:val="center"/>
        </w:trPr>
        <w:tc>
          <w:tcPr>
            <w:tcW w:w="421" w:type="dxa"/>
            <w:vMerge w:val="restart"/>
            <w:tcMar>
              <w:top w:w="57" w:type="dxa"/>
              <w:left w:w="57" w:type="dxa"/>
              <w:bottom w:w="57" w:type="dxa"/>
              <w:right w:w="57" w:type="dxa"/>
            </w:tcMar>
            <w:vAlign w:val="center"/>
          </w:tcPr>
          <w:p>
            <w:pPr>
              <w:widowControl/>
              <w:adjustRightInd w:val="0"/>
              <w:snapToGrid w:val="0"/>
              <w:jc w:val="center"/>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9</w:t>
            </w:r>
          </w:p>
        </w:tc>
        <w:tc>
          <w:tcPr>
            <w:tcW w:w="2130" w:type="dxa"/>
            <w:vMerge w:val="restart"/>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跨区作业中介服务组织不配备相应的服务设施和技术人员，没有兑现服务承诺，只收费不服务或者多收费少服务的</w:t>
            </w:r>
          </w:p>
        </w:tc>
        <w:tc>
          <w:tcPr>
            <w:tcW w:w="4433" w:type="dxa"/>
            <w:vMerge w:val="restart"/>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《联合收割机跨区作业管理办法》第二十八条， 跨区作业中介服务组织不配备相应的服务设施和技术人员，没有兑现服务承诺，只收费不服务或者多收费少服务的，由县级以上农机管理部门给予警告，责令退还服务费，可并处500元以上1000元以下的罚款；违反有关收费标准的，由县级以上农机管理部门配合价格主管部门依法查处。</w:t>
            </w:r>
          </w:p>
        </w:tc>
        <w:tc>
          <w:tcPr>
            <w:tcW w:w="670" w:type="dxa"/>
            <w:tcMar>
              <w:top w:w="57" w:type="dxa"/>
              <w:left w:w="57" w:type="dxa"/>
              <w:bottom w:w="57" w:type="dxa"/>
              <w:right w:w="57" w:type="dxa"/>
            </w:tcMar>
            <w:vAlign w:val="center"/>
          </w:tcPr>
          <w:p>
            <w:pPr>
              <w:widowControl/>
              <w:adjustRightInd w:val="0"/>
              <w:snapToGrid w:val="0"/>
              <w:jc w:val="center"/>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轻微</w:t>
            </w:r>
          </w:p>
        </w:tc>
        <w:tc>
          <w:tcPr>
            <w:tcW w:w="3949" w:type="dxa"/>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跨区作业中介服务组织不配备相应的服务设施和技术人员，没有兑现服务承诺，只收费不服务或者多收费少服务，首次发现，未造成严重影响的</w:t>
            </w:r>
          </w:p>
        </w:tc>
        <w:tc>
          <w:tcPr>
            <w:tcW w:w="2397" w:type="dxa"/>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警告，责令退还服务费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2" w:hRule="atLeast"/>
          <w:jc w:val="center"/>
        </w:trPr>
        <w:tc>
          <w:tcPr>
            <w:tcW w:w="421" w:type="dxa"/>
            <w:vMerge w:val="continue"/>
            <w:tcMar>
              <w:top w:w="57" w:type="dxa"/>
              <w:left w:w="57" w:type="dxa"/>
              <w:bottom w:w="57" w:type="dxa"/>
              <w:right w:w="57" w:type="dxa"/>
            </w:tcMar>
            <w:vAlign w:val="center"/>
          </w:tcPr>
          <w:p>
            <w:pPr>
              <w:adjustRightInd w:val="0"/>
              <w:snapToGrid w:val="0"/>
              <w:jc w:val="center"/>
              <w:rPr>
                <w:rFonts w:ascii="仿宋_GB2312" w:hAnsi="仿宋_GB2312" w:eastAsia="仿宋_GB2312" w:cs="仿宋_GB2312"/>
                <w:color w:val="000000"/>
                <w:sz w:val="21"/>
                <w:szCs w:val="21"/>
              </w:rPr>
            </w:pPr>
          </w:p>
        </w:tc>
        <w:tc>
          <w:tcPr>
            <w:tcW w:w="2130" w:type="dxa"/>
            <w:vMerge w:val="continue"/>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4433" w:type="dxa"/>
            <w:vMerge w:val="continue"/>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670" w:type="dxa"/>
            <w:tcMar>
              <w:top w:w="57" w:type="dxa"/>
              <w:left w:w="57" w:type="dxa"/>
              <w:bottom w:w="57" w:type="dxa"/>
              <w:right w:w="57" w:type="dxa"/>
            </w:tcMar>
            <w:vAlign w:val="center"/>
          </w:tcPr>
          <w:p>
            <w:pPr>
              <w:widowControl/>
              <w:adjustRightInd w:val="0"/>
              <w:snapToGrid w:val="0"/>
              <w:jc w:val="center"/>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一般</w:t>
            </w:r>
          </w:p>
        </w:tc>
        <w:tc>
          <w:tcPr>
            <w:tcW w:w="3949" w:type="dxa"/>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跨区作业中介服务组织不配备相应的服务设施和技术人员，没有兑现服务承诺，只收费不服务或者多收费少服务，拒不改正的</w:t>
            </w:r>
          </w:p>
        </w:tc>
        <w:tc>
          <w:tcPr>
            <w:tcW w:w="2397" w:type="dxa"/>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警告，责令退还服务费，可并处500元以上700元以下罚款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421" w:type="dxa"/>
            <w:vMerge w:val="continue"/>
            <w:tcMar>
              <w:top w:w="57" w:type="dxa"/>
              <w:left w:w="57" w:type="dxa"/>
              <w:bottom w:w="57" w:type="dxa"/>
              <w:right w:w="57" w:type="dxa"/>
            </w:tcMar>
            <w:vAlign w:val="center"/>
          </w:tcPr>
          <w:p>
            <w:pPr>
              <w:adjustRightInd w:val="0"/>
              <w:snapToGrid w:val="0"/>
              <w:jc w:val="center"/>
              <w:rPr>
                <w:rFonts w:ascii="仿宋_GB2312" w:hAnsi="仿宋_GB2312" w:eastAsia="仿宋_GB2312" w:cs="仿宋_GB2312"/>
                <w:color w:val="000000"/>
                <w:sz w:val="21"/>
                <w:szCs w:val="21"/>
              </w:rPr>
            </w:pPr>
          </w:p>
        </w:tc>
        <w:tc>
          <w:tcPr>
            <w:tcW w:w="2130" w:type="dxa"/>
            <w:vMerge w:val="continue"/>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4433" w:type="dxa"/>
            <w:vMerge w:val="continue"/>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670" w:type="dxa"/>
            <w:tcMar>
              <w:top w:w="57" w:type="dxa"/>
              <w:left w:w="57" w:type="dxa"/>
              <w:bottom w:w="57" w:type="dxa"/>
              <w:right w:w="57" w:type="dxa"/>
            </w:tcMar>
            <w:vAlign w:val="center"/>
          </w:tcPr>
          <w:p>
            <w:pPr>
              <w:widowControl/>
              <w:adjustRightInd w:val="0"/>
              <w:snapToGrid w:val="0"/>
              <w:jc w:val="center"/>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严重</w:t>
            </w:r>
          </w:p>
        </w:tc>
        <w:tc>
          <w:tcPr>
            <w:tcW w:w="3949" w:type="dxa"/>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跨区作业中介服务组织不配备相应的服务设施和技术人员，没有兑现服务承诺，只收费不服务或者多收费少服务，造成严重影响的</w:t>
            </w:r>
          </w:p>
        </w:tc>
        <w:tc>
          <w:tcPr>
            <w:tcW w:w="2397" w:type="dxa"/>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警告，责令退还服务费，可并处700元以上1000元以下罚款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421" w:type="dxa"/>
            <w:vMerge w:val="restart"/>
            <w:tcMar>
              <w:top w:w="57" w:type="dxa"/>
              <w:left w:w="57" w:type="dxa"/>
              <w:bottom w:w="57" w:type="dxa"/>
              <w:right w:w="57" w:type="dxa"/>
            </w:tcMar>
            <w:vAlign w:val="center"/>
          </w:tcPr>
          <w:p>
            <w:pPr>
              <w:widowControl/>
              <w:adjustRightInd w:val="0"/>
              <w:snapToGrid w:val="0"/>
              <w:jc w:val="center"/>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10</w:t>
            </w:r>
          </w:p>
        </w:tc>
        <w:tc>
          <w:tcPr>
            <w:tcW w:w="2130" w:type="dxa"/>
            <w:vMerge w:val="restart"/>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持假冒《联合收割机跨区收获作业证》或扰乱跨区作业秩序的</w:t>
            </w:r>
          </w:p>
        </w:tc>
        <w:tc>
          <w:tcPr>
            <w:tcW w:w="4433" w:type="dxa"/>
            <w:vMerge w:val="restart"/>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联合收割机跨区作业管理办法》第三十条，持假冒《作业证》或扰乱跨区作业秩序的，由县级以上农机管理部门责令停止违法行为，纳入当地农机管理部门统一管理，可并处50元以上100元以下的罚款；情节严重的，可并处100元以上200元以下的罚款。</w:t>
            </w:r>
          </w:p>
        </w:tc>
        <w:tc>
          <w:tcPr>
            <w:tcW w:w="670" w:type="dxa"/>
            <w:tcMar>
              <w:top w:w="57" w:type="dxa"/>
              <w:left w:w="57" w:type="dxa"/>
              <w:bottom w:w="57" w:type="dxa"/>
              <w:right w:w="57" w:type="dxa"/>
            </w:tcMar>
            <w:vAlign w:val="center"/>
          </w:tcPr>
          <w:p>
            <w:pPr>
              <w:widowControl/>
              <w:adjustRightInd w:val="0"/>
              <w:snapToGrid w:val="0"/>
              <w:jc w:val="center"/>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一般</w:t>
            </w:r>
          </w:p>
        </w:tc>
        <w:tc>
          <w:tcPr>
            <w:tcW w:w="3949" w:type="dxa"/>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持假冒《作业证》或扰乱跨区作业秩序，首次发现，未造成影响的</w:t>
            </w:r>
          </w:p>
        </w:tc>
        <w:tc>
          <w:tcPr>
            <w:tcW w:w="2397" w:type="dxa"/>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令停止违法行为，纳入当地农机管理部门统一管理，可并处50元以上100元以下的罚款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421" w:type="dxa"/>
            <w:vMerge w:val="continue"/>
            <w:tcMar>
              <w:top w:w="57" w:type="dxa"/>
              <w:left w:w="57" w:type="dxa"/>
              <w:bottom w:w="57" w:type="dxa"/>
              <w:right w:w="57" w:type="dxa"/>
            </w:tcMar>
            <w:vAlign w:val="center"/>
          </w:tcPr>
          <w:p>
            <w:pPr>
              <w:adjustRightInd w:val="0"/>
              <w:snapToGrid w:val="0"/>
              <w:jc w:val="center"/>
              <w:rPr>
                <w:rFonts w:ascii="仿宋_GB2312" w:hAnsi="仿宋_GB2312" w:eastAsia="仿宋_GB2312" w:cs="仿宋_GB2312"/>
                <w:color w:val="000000"/>
                <w:sz w:val="21"/>
                <w:szCs w:val="21"/>
              </w:rPr>
            </w:pPr>
          </w:p>
        </w:tc>
        <w:tc>
          <w:tcPr>
            <w:tcW w:w="2130" w:type="dxa"/>
            <w:vMerge w:val="continue"/>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4433" w:type="dxa"/>
            <w:vMerge w:val="continue"/>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670" w:type="dxa"/>
            <w:tcMar>
              <w:top w:w="57" w:type="dxa"/>
              <w:left w:w="57" w:type="dxa"/>
              <w:bottom w:w="57" w:type="dxa"/>
              <w:right w:w="57" w:type="dxa"/>
            </w:tcMar>
            <w:vAlign w:val="center"/>
          </w:tcPr>
          <w:p>
            <w:pPr>
              <w:widowControl/>
              <w:adjustRightInd w:val="0"/>
              <w:snapToGrid w:val="0"/>
              <w:jc w:val="center"/>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严重</w:t>
            </w:r>
          </w:p>
        </w:tc>
        <w:tc>
          <w:tcPr>
            <w:tcW w:w="3949" w:type="dxa"/>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持假冒《作业证》或扰乱跨区作业秩序，拒不改正或造成严重影响的</w:t>
            </w:r>
          </w:p>
        </w:tc>
        <w:tc>
          <w:tcPr>
            <w:tcW w:w="2397" w:type="dxa"/>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令停止违法行为，纳入当地农机管理部门统一管理，可并处100元以上200元以下的罚款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421" w:type="dxa"/>
            <w:vMerge w:val="restart"/>
            <w:noWrap/>
            <w:tcMar>
              <w:top w:w="57" w:type="dxa"/>
              <w:left w:w="57" w:type="dxa"/>
              <w:bottom w:w="57" w:type="dxa"/>
              <w:right w:w="57" w:type="dxa"/>
            </w:tcMar>
            <w:vAlign w:val="center"/>
          </w:tcPr>
          <w:p>
            <w:pPr>
              <w:widowControl/>
              <w:adjustRightInd w:val="0"/>
              <w:snapToGrid w:val="0"/>
              <w:jc w:val="center"/>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11</w:t>
            </w:r>
          </w:p>
        </w:tc>
        <w:tc>
          <w:tcPr>
            <w:tcW w:w="2130" w:type="dxa"/>
            <w:vMerge w:val="restart"/>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超越范围承揽无技术能力保障的维修项目的</w:t>
            </w:r>
          </w:p>
        </w:tc>
        <w:tc>
          <w:tcPr>
            <w:tcW w:w="4433" w:type="dxa"/>
            <w:vMerge w:val="restart"/>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《农业机械维修管理规定》第二十一条，违反本规定，超越范围承揽无技术能力保障的维修项目的，由农业机械化主管部门处200元以上500元以下罚款。</w:t>
            </w:r>
          </w:p>
        </w:tc>
        <w:tc>
          <w:tcPr>
            <w:tcW w:w="670" w:type="dxa"/>
            <w:tcMar>
              <w:top w:w="57" w:type="dxa"/>
              <w:left w:w="57" w:type="dxa"/>
              <w:bottom w:w="57" w:type="dxa"/>
              <w:right w:w="57" w:type="dxa"/>
            </w:tcMar>
            <w:vAlign w:val="center"/>
          </w:tcPr>
          <w:p>
            <w:pPr>
              <w:widowControl/>
              <w:adjustRightInd w:val="0"/>
              <w:snapToGrid w:val="0"/>
              <w:jc w:val="center"/>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轻微</w:t>
            </w:r>
          </w:p>
        </w:tc>
        <w:tc>
          <w:tcPr>
            <w:tcW w:w="3949" w:type="dxa"/>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超越范围承揽无技术能力保障的维修项目，与范围接近的</w:t>
            </w:r>
          </w:p>
        </w:tc>
        <w:tc>
          <w:tcPr>
            <w:tcW w:w="2397" w:type="dxa"/>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处二百元以上三百元以下罚款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421" w:type="dxa"/>
            <w:vMerge w:val="continue"/>
            <w:noWrap/>
            <w:tcMar>
              <w:top w:w="57" w:type="dxa"/>
              <w:left w:w="57" w:type="dxa"/>
              <w:bottom w:w="57" w:type="dxa"/>
              <w:right w:w="57" w:type="dxa"/>
            </w:tcMar>
            <w:vAlign w:val="center"/>
          </w:tcPr>
          <w:p>
            <w:pPr>
              <w:adjustRightInd w:val="0"/>
              <w:snapToGrid w:val="0"/>
              <w:jc w:val="center"/>
              <w:rPr>
                <w:rFonts w:ascii="仿宋_GB2312" w:hAnsi="仿宋_GB2312" w:eastAsia="仿宋_GB2312" w:cs="仿宋_GB2312"/>
                <w:color w:val="000000"/>
                <w:sz w:val="21"/>
                <w:szCs w:val="21"/>
              </w:rPr>
            </w:pPr>
          </w:p>
        </w:tc>
        <w:tc>
          <w:tcPr>
            <w:tcW w:w="2130" w:type="dxa"/>
            <w:vMerge w:val="continue"/>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4433" w:type="dxa"/>
            <w:vMerge w:val="continue"/>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670" w:type="dxa"/>
            <w:tcMar>
              <w:top w:w="57" w:type="dxa"/>
              <w:left w:w="57" w:type="dxa"/>
              <w:bottom w:w="57" w:type="dxa"/>
              <w:right w:w="57" w:type="dxa"/>
            </w:tcMar>
            <w:vAlign w:val="center"/>
          </w:tcPr>
          <w:p>
            <w:pPr>
              <w:widowControl/>
              <w:adjustRightInd w:val="0"/>
              <w:snapToGrid w:val="0"/>
              <w:jc w:val="center"/>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一般</w:t>
            </w:r>
          </w:p>
        </w:tc>
        <w:tc>
          <w:tcPr>
            <w:tcW w:w="3949" w:type="dxa"/>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超越范围承揽无技术能力保障的维修项目，与范围相关的</w:t>
            </w:r>
          </w:p>
        </w:tc>
        <w:tc>
          <w:tcPr>
            <w:tcW w:w="2397" w:type="dxa"/>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处三百元以上四百元以下罚款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421" w:type="dxa"/>
            <w:vMerge w:val="continue"/>
            <w:noWrap/>
            <w:tcMar>
              <w:top w:w="57" w:type="dxa"/>
              <w:left w:w="57" w:type="dxa"/>
              <w:bottom w:w="57" w:type="dxa"/>
              <w:right w:w="57" w:type="dxa"/>
            </w:tcMar>
            <w:vAlign w:val="center"/>
          </w:tcPr>
          <w:p>
            <w:pPr>
              <w:adjustRightInd w:val="0"/>
              <w:snapToGrid w:val="0"/>
              <w:jc w:val="center"/>
              <w:rPr>
                <w:rFonts w:ascii="仿宋_GB2312" w:hAnsi="仿宋_GB2312" w:eastAsia="仿宋_GB2312" w:cs="仿宋_GB2312"/>
                <w:color w:val="000000"/>
                <w:sz w:val="21"/>
                <w:szCs w:val="21"/>
              </w:rPr>
            </w:pPr>
          </w:p>
        </w:tc>
        <w:tc>
          <w:tcPr>
            <w:tcW w:w="2130" w:type="dxa"/>
            <w:vMerge w:val="continue"/>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4433" w:type="dxa"/>
            <w:vMerge w:val="continue"/>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670" w:type="dxa"/>
            <w:tcMar>
              <w:top w:w="57" w:type="dxa"/>
              <w:left w:w="57" w:type="dxa"/>
              <w:bottom w:w="57" w:type="dxa"/>
              <w:right w:w="57" w:type="dxa"/>
            </w:tcMar>
            <w:vAlign w:val="center"/>
          </w:tcPr>
          <w:p>
            <w:pPr>
              <w:widowControl/>
              <w:adjustRightInd w:val="0"/>
              <w:snapToGrid w:val="0"/>
              <w:jc w:val="center"/>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严重</w:t>
            </w:r>
          </w:p>
        </w:tc>
        <w:tc>
          <w:tcPr>
            <w:tcW w:w="3949" w:type="dxa"/>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超越范围承揽无技术能力保障的维修项目，完全背离项目的</w:t>
            </w:r>
          </w:p>
        </w:tc>
        <w:tc>
          <w:tcPr>
            <w:tcW w:w="2397" w:type="dxa"/>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处四百元以上五百元以下罚款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421" w:type="dxa"/>
            <w:vMerge w:val="restart"/>
            <w:tcMar>
              <w:top w:w="57" w:type="dxa"/>
              <w:left w:w="57" w:type="dxa"/>
              <w:bottom w:w="57" w:type="dxa"/>
              <w:right w:w="57" w:type="dxa"/>
            </w:tcMar>
            <w:vAlign w:val="center"/>
          </w:tcPr>
          <w:p>
            <w:pPr>
              <w:widowControl/>
              <w:adjustRightInd w:val="0"/>
              <w:snapToGrid w:val="0"/>
              <w:jc w:val="center"/>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12</w:t>
            </w:r>
          </w:p>
        </w:tc>
        <w:tc>
          <w:tcPr>
            <w:tcW w:w="2130" w:type="dxa"/>
            <w:vMerge w:val="restart"/>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农业机械维修者未按规定填写维修记录和报送年度维修情况统计表的</w:t>
            </w:r>
          </w:p>
        </w:tc>
        <w:tc>
          <w:tcPr>
            <w:tcW w:w="4433" w:type="dxa"/>
            <w:vMerge w:val="restart"/>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《农业机械维修管理规定》第二十三条，农业机械维修者未按规定填写维修记录和报送年度维修情况统计表的，由农业机械化主管部门给予警告，限期改正；逾期拒不改正的，处100元以下罚款。</w:t>
            </w:r>
          </w:p>
        </w:tc>
        <w:tc>
          <w:tcPr>
            <w:tcW w:w="670" w:type="dxa"/>
            <w:tcMar>
              <w:top w:w="57" w:type="dxa"/>
              <w:left w:w="57" w:type="dxa"/>
              <w:bottom w:w="57" w:type="dxa"/>
              <w:right w:w="57" w:type="dxa"/>
            </w:tcMar>
            <w:vAlign w:val="center"/>
          </w:tcPr>
          <w:p>
            <w:pPr>
              <w:widowControl/>
              <w:adjustRightInd w:val="0"/>
              <w:snapToGrid w:val="0"/>
              <w:jc w:val="center"/>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轻微</w:t>
            </w:r>
          </w:p>
        </w:tc>
        <w:tc>
          <w:tcPr>
            <w:tcW w:w="3949" w:type="dxa"/>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农业机械维修者未按规定填写维修记录和报送年度维修情况统计表的</w:t>
            </w:r>
          </w:p>
        </w:tc>
        <w:tc>
          <w:tcPr>
            <w:tcW w:w="2397" w:type="dxa"/>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给予警告，限期改正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421" w:type="dxa"/>
            <w:vMerge w:val="continue"/>
            <w:tcMar>
              <w:top w:w="57" w:type="dxa"/>
              <w:left w:w="57" w:type="dxa"/>
              <w:bottom w:w="57" w:type="dxa"/>
              <w:right w:w="57" w:type="dxa"/>
            </w:tcMar>
            <w:vAlign w:val="center"/>
          </w:tcPr>
          <w:p>
            <w:pPr>
              <w:adjustRightInd w:val="0"/>
              <w:snapToGrid w:val="0"/>
              <w:jc w:val="center"/>
              <w:rPr>
                <w:rFonts w:ascii="仿宋_GB2312" w:hAnsi="仿宋_GB2312" w:eastAsia="仿宋_GB2312" w:cs="仿宋_GB2312"/>
                <w:color w:val="000000"/>
                <w:sz w:val="21"/>
                <w:szCs w:val="21"/>
              </w:rPr>
            </w:pPr>
          </w:p>
        </w:tc>
        <w:tc>
          <w:tcPr>
            <w:tcW w:w="2130" w:type="dxa"/>
            <w:vMerge w:val="continue"/>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4433" w:type="dxa"/>
            <w:vMerge w:val="continue"/>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670" w:type="dxa"/>
            <w:tcMar>
              <w:top w:w="57" w:type="dxa"/>
              <w:left w:w="57" w:type="dxa"/>
              <w:bottom w:w="57" w:type="dxa"/>
              <w:right w:w="57" w:type="dxa"/>
            </w:tcMar>
            <w:vAlign w:val="center"/>
          </w:tcPr>
          <w:p>
            <w:pPr>
              <w:widowControl/>
              <w:adjustRightInd w:val="0"/>
              <w:snapToGrid w:val="0"/>
              <w:jc w:val="center"/>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一般</w:t>
            </w:r>
          </w:p>
        </w:tc>
        <w:tc>
          <w:tcPr>
            <w:tcW w:w="3949" w:type="dxa"/>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有维修记录和年度维修情况统计表但内容不完整，经警告限期改正后拒不改正的</w:t>
            </w:r>
          </w:p>
        </w:tc>
        <w:tc>
          <w:tcPr>
            <w:tcW w:w="2397" w:type="dxa"/>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处六十元以下罚款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421" w:type="dxa"/>
            <w:vMerge w:val="continue"/>
            <w:tcMar>
              <w:top w:w="57" w:type="dxa"/>
              <w:left w:w="57" w:type="dxa"/>
              <w:bottom w:w="57" w:type="dxa"/>
              <w:right w:w="57" w:type="dxa"/>
            </w:tcMar>
            <w:vAlign w:val="center"/>
          </w:tcPr>
          <w:p>
            <w:pPr>
              <w:adjustRightInd w:val="0"/>
              <w:snapToGrid w:val="0"/>
              <w:jc w:val="center"/>
              <w:rPr>
                <w:rFonts w:ascii="仿宋_GB2312" w:hAnsi="仿宋_GB2312" w:eastAsia="仿宋_GB2312" w:cs="仿宋_GB2312"/>
                <w:color w:val="000000"/>
                <w:sz w:val="21"/>
                <w:szCs w:val="21"/>
              </w:rPr>
            </w:pPr>
          </w:p>
        </w:tc>
        <w:tc>
          <w:tcPr>
            <w:tcW w:w="2130" w:type="dxa"/>
            <w:vMerge w:val="continue"/>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4433" w:type="dxa"/>
            <w:vMerge w:val="continue"/>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670" w:type="dxa"/>
            <w:tcMar>
              <w:top w:w="57" w:type="dxa"/>
              <w:left w:w="57" w:type="dxa"/>
              <w:bottom w:w="57" w:type="dxa"/>
              <w:right w:w="57" w:type="dxa"/>
            </w:tcMar>
            <w:vAlign w:val="center"/>
          </w:tcPr>
          <w:p>
            <w:pPr>
              <w:widowControl/>
              <w:adjustRightInd w:val="0"/>
              <w:snapToGrid w:val="0"/>
              <w:jc w:val="center"/>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严重</w:t>
            </w:r>
          </w:p>
        </w:tc>
        <w:tc>
          <w:tcPr>
            <w:tcW w:w="3949" w:type="dxa"/>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维修记录和年度维修情况统计表存在严重缺项，经警告限期改正后拒不改正的</w:t>
            </w:r>
          </w:p>
        </w:tc>
        <w:tc>
          <w:tcPr>
            <w:tcW w:w="2397" w:type="dxa"/>
            <w:tcMar>
              <w:top w:w="57" w:type="dxa"/>
              <w:left w:w="57" w:type="dxa"/>
              <w:bottom w:w="57" w:type="dxa"/>
              <w:right w:w="57" w:type="dxa"/>
            </w:tcMar>
            <w:vAlign w:val="center"/>
          </w:tcPr>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处六十元以上一百元以下罚款</w:t>
            </w:r>
          </w:p>
        </w:tc>
      </w:tr>
    </w:tbl>
    <w:p>
      <w:pPr>
        <w:adjustRightInd w:val="0"/>
        <w:snapToGrid w:val="0"/>
        <w:spacing w:line="20" w:lineRule="exact"/>
      </w:pPr>
    </w:p>
    <w:p>
      <w:pPr>
        <w:pStyle w:val="2"/>
      </w:pPr>
    </w:p>
    <w:p>
      <w:pPr>
        <w:pStyle w:val="2"/>
      </w:pPr>
    </w:p>
    <w:p>
      <w:pPr>
        <w:ind w:firstLine="640" w:firstLineChars="200"/>
        <w:rPr>
          <w:rFonts w:hint="eastAsia" w:eastAsia="黑体"/>
          <w:lang w:eastAsia="zh-CN"/>
        </w:rPr>
      </w:pPr>
      <w:r>
        <w:rPr>
          <w:rFonts w:hint="eastAsia" w:ascii="黑体" w:hAnsi="黑体" w:eastAsia="黑体" w:cs="黑体"/>
          <w:color w:val="000000"/>
          <w:kern w:val="0"/>
          <w:sz w:val="32"/>
          <w:szCs w:val="32"/>
        </w:rPr>
        <w:t>十</w:t>
      </w:r>
      <w:r>
        <w:rPr>
          <w:rFonts w:hint="eastAsia" w:ascii="黑体" w:hAnsi="黑体" w:eastAsia="黑体" w:cs="黑体"/>
          <w:color w:val="000000"/>
          <w:kern w:val="0"/>
          <w:sz w:val="32"/>
          <w:szCs w:val="32"/>
          <w:lang w:eastAsia="zh-CN"/>
        </w:rPr>
        <w:t>一</w:t>
      </w:r>
      <w:r>
        <w:rPr>
          <w:rFonts w:hint="eastAsia" w:ascii="黑体" w:hAnsi="黑体" w:eastAsia="黑体" w:cs="黑体"/>
          <w:color w:val="000000"/>
          <w:kern w:val="0"/>
          <w:sz w:val="32"/>
          <w:szCs w:val="32"/>
        </w:rPr>
        <w:t>、</w:t>
      </w:r>
      <w:r>
        <w:rPr>
          <w:rFonts w:hint="eastAsia" w:ascii="黑体" w:hAnsi="黑体" w:eastAsia="黑体" w:cs="黑体"/>
          <w:color w:val="000000"/>
          <w:kern w:val="0"/>
          <w:sz w:val="32"/>
          <w:szCs w:val="32"/>
          <w:lang w:eastAsia="zh-CN"/>
        </w:rPr>
        <w:t>渔业</w:t>
      </w:r>
    </w:p>
    <w:tbl>
      <w:tblPr>
        <w:tblStyle w:val="7"/>
        <w:tblW w:w="140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21"/>
        <w:gridCol w:w="1098"/>
        <w:gridCol w:w="3531"/>
        <w:gridCol w:w="730"/>
        <w:gridCol w:w="2748"/>
        <w:gridCol w:w="2747"/>
        <w:gridCol w:w="27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tblHeader/>
          <w:jc w:val="center"/>
        </w:trPr>
        <w:tc>
          <w:tcPr>
            <w:tcW w:w="421"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黑体" w:hAnsi="黑体" w:eastAsia="黑体" w:cs="黑体"/>
                <w:color w:val="000000"/>
                <w:sz w:val="24"/>
                <w:szCs w:val="24"/>
              </w:rPr>
            </w:pPr>
            <w:r>
              <w:rPr>
                <w:rFonts w:hint="eastAsia" w:ascii="黑体" w:hAnsi="黑体" w:eastAsia="黑体" w:cs="黑体"/>
                <w:color w:val="000000"/>
                <w:kern w:val="0"/>
                <w:sz w:val="24"/>
                <w:szCs w:val="24"/>
              </w:rPr>
              <w:t>序号</w:t>
            </w:r>
          </w:p>
        </w:tc>
        <w:tc>
          <w:tcPr>
            <w:tcW w:w="1098"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黑体" w:hAnsi="黑体" w:eastAsia="黑体" w:cs="黑体"/>
                <w:color w:val="000000"/>
                <w:sz w:val="24"/>
                <w:szCs w:val="24"/>
              </w:rPr>
            </w:pPr>
            <w:r>
              <w:rPr>
                <w:rFonts w:hint="eastAsia" w:ascii="黑体" w:hAnsi="黑体" w:eastAsia="黑体" w:cs="黑体"/>
                <w:color w:val="000000"/>
                <w:kern w:val="0"/>
                <w:sz w:val="24"/>
                <w:szCs w:val="24"/>
              </w:rPr>
              <w:t>违法行为</w:t>
            </w:r>
          </w:p>
        </w:tc>
        <w:tc>
          <w:tcPr>
            <w:tcW w:w="3531"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黑体" w:hAnsi="黑体" w:eastAsia="黑体" w:cs="黑体"/>
                <w:color w:val="000000"/>
                <w:sz w:val="24"/>
                <w:szCs w:val="24"/>
              </w:rPr>
            </w:pPr>
            <w:r>
              <w:rPr>
                <w:rFonts w:hint="eastAsia" w:ascii="黑体" w:hAnsi="黑体" w:eastAsia="黑体" w:cs="黑体"/>
                <w:color w:val="000000"/>
                <w:kern w:val="0"/>
                <w:sz w:val="24"/>
                <w:szCs w:val="24"/>
              </w:rPr>
              <w:t>处罚依据</w:t>
            </w:r>
          </w:p>
        </w:tc>
        <w:tc>
          <w:tcPr>
            <w:tcW w:w="730"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黑体" w:hAnsi="黑体" w:eastAsia="黑体" w:cs="黑体"/>
                <w:color w:val="000000"/>
                <w:sz w:val="24"/>
                <w:szCs w:val="24"/>
              </w:rPr>
            </w:pPr>
            <w:r>
              <w:rPr>
                <w:rFonts w:hint="eastAsia" w:ascii="黑体" w:hAnsi="黑体" w:eastAsia="黑体" w:cs="黑体"/>
                <w:color w:val="000000"/>
                <w:kern w:val="0"/>
                <w:sz w:val="24"/>
                <w:szCs w:val="24"/>
              </w:rPr>
              <w:t>违法程度</w:t>
            </w:r>
          </w:p>
        </w:tc>
        <w:tc>
          <w:tcPr>
            <w:tcW w:w="2748"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黑体" w:hAnsi="黑体" w:eastAsia="黑体" w:cs="黑体"/>
                <w:color w:val="000000"/>
                <w:sz w:val="24"/>
                <w:szCs w:val="24"/>
              </w:rPr>
            </w:pPr>
            <w:r>
              <w:rPr>
                <w:rFonts w:hint="eastAsia" w:ascii="黑体" w:hAnsi="黑体" w:eastAsia="黑体" w:cs="黑体"/>
                <w:color w:val="000000"/>
                <w:kern w:val="0"/>
                <w:sz w:val="24"/>
                <w:szCs w:val="24"/>
              </w:rPr>
              <w:t>违法情节</w:t>
            </w:r>
          </w:p>
        </w:tc>
        <w:tc>
          <w:tcPr>
            <w:tcW w:w="5472" w:type="dxa"/>
            <w:gridSpan w:val="2"/>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黑体" w:hAnsi="黑体" w:eastAsia="黑体" w:cs="黑体"/>
                <w:color w:val="000000"/>
                <w:sz w:val="24"/>
                <w:szCs w:val="24"/>
              </w:rPr>
            </w:pPr>
            <w:r>
              <w:rPr>
                <w:rFonts w:hint="eastAsia" w:ascii="黑体" w:hAnsi="黑体" w:eastAsia="黑体" w:cs="黑体"/>
                <w:color w:val="000000"/>
                <w:kern w:val="0"/>
                <w:sz w:val="24"/>
                <w:szCs w:val="24"/>
              </w:rPr>
              <w:t>裁量标准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4" w:hRule="atLeast"/>
          <w:jc w:val="center"/>
        </w:trPr>
        <w:tc>
          <w:tcPr>
            <w:tcW w:w="421" w:type="dxa"/>
            <w:vMerge w:val="restart"/>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1</w:t>
            </w:r>
          </w:p>
        </w:tc>
        <w:tc>
          <w:tcPr>
            <w:tcW w:w="1098" w:type="dxa"/>
            <w:vMerge w:val="restart"/>
            <w:tcBorders>
              <w:tl2br w:val="nil"/>
              <w:tr2bl w:val="nil"/>
            </w:tcBorders>
            <w:tcMar>
              <w:top w:w="57" w:type="dxa"/>
              <w:left w:w="57" w:type="dxa"/>
              <w:bottom w:w="57" w:type="dxa"/>
              <w:right w:w="57" w:type="dxa"/>
            </w:tcMar>
            <w:vAlign w:val="center"/>
          </w:tcPr>
          <w:p>
            <w:pPr>
              <w:widowControl/>
              <w:adjustRightInd w:val="0"/>
              <w:snapToGrid w:val="0"/>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使用炸鱼、毒鱼、</w:t>
            </w:r>
          </w:p>
          <w:p>
            <w:pPr>
              <w:widowControl/>
              <w:adjustRightInd w:val="0"/>
              <w:snapToGrid w:val="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电鱼等破坏渔业资源方法进行捕捞</w:t>
            </w:r>
          </w:p>
        </w:tc>
        <w:tc>
          <w:tcPr>
            <w:tcW w:w="3531" w:type="dxa"/>
            <w:vMerge w:val="restart"/>
            <w:tcBorders>
              <w:tl2br w:val="nil"/>
              <w:tr2bl w:val="nil"/>
            </w:tcBorders>
            <w:tcMar>
              <w:top w:w="57" w:type="dxa"/>
              <w:left w:w="57" w:type="dxa"/>
              <w:bottom w:w="57" w:type="dxa"/>
              <w:right w:w="57" w:type="dxa"/>
            </w:tcMar>
            <w:vAlign w:val="center"/>
          </w:tcPr>
          <w:p>
            <w:pPr>
              <w:widowControl/>
              <w:adjustRightInd w:val="0"/>
              <w:snapToGrid w:val="0"/>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中华人民共和国渔业法》第三十八条第一款，使用炸鱼、毒鱼、电鱼等破坏渔业资源方法进行捕捞的，违反关于禁渔区、禁渔期的规定进行捕捞的，或者使用禁用的渔具、捕捞方法和小于最小网目尺寸的网具进行捕捞或者渔获物中幼鱼超过规定比例的，没收渔获物和违法所得，处五万元以下的罚款；情节严重的，没收渔具，吊销捕捞许可证；情节特别严重的，可以没收渔船；构成犯罪的，依法追究刑事责任。</w:t>
            </w:r>
          </w:p>
        </w:tc>
        <w:tc>
          <w:tcPr>
            <w:tcW w:w="730" w:type="dxa"/>
            <w:vMerge w:val="restart"/>
            <w:tcBorders>
              <w:tl2br w:val="nil"/>
              <w:tr2bl w:val="nil"/>
            </w:tcBorders>
            <w:tcMar>
              <w:top w:w="57" w:type="dxa"/>
              <w:left w:w="57" w:type="dxa"/>
              <w:bottom w:w="57" w:type="dxa"/>
              <w:right w:w="57" w:type="dxa"/>
            </w:tcMar>
            <w:vAlign w:val="center"/>
          </w:tcPr>
          <w:p>
            <w:pPr>
              <w:widowControl/>
              <w:adjustRightInd w:val="0"/>
              <w:snapToGrid w:val="0"/>
              <w:textAlignment w:val="center"/>
              <w:rPr>
                <w:rFonts w:hint="eastAsia" w:ascii="仿宋_GB2312" w:hAnsi="仿宋_GB2312" w:eastAsia="仿宋_GB2312" w:cs="仿宋_GB2312"/>
                <w:color w:val="000000"/>
                <w:kern w:val="0"/>
                <w:sz w:val="21"/>
                <w:szCs w:val="21"/>
              </w:rPr>
            </w:pPr>
            <w:r>
              <w:rPr>
                <w:rFonts w:hint="default" w:ascii="仿宋_GB2312" w:hAnsi="仿宋_GB2312" w:eastAsia="仿宋_GB2312" w:cs="仿宋_GB2312"/>
                <w:color w:val="000000"/>
                <w:kern w:val="0"/>
                <w:sz w:val="21"/>
                <w:szCs w:val="21"/>
                <w:lang w:val="en-US" w:eastAsia="zh-CN"/>
              </w:rPr>
              <w:t>严重</w:t>
            </w:r>
          </w:p>
        </w:tc>
        <w:tc>
          <w:tcPr>
            <w:tcW w:w="2748" w:type="dxa"/>
            <w:vMerge w:val="restart"/>
            <w:tcBorders>
              <w:tl2br w:val="nil"/>
              <w:tr2bl w:val="nil"/>
            </w:tcBorders>
            <w:tcMar>
              <w:top w:w="57" w:type="dxa"/>
              <w:left w:w="57" w:type="dxa"/>
              <w:bottom w:w="57" w:type="dxa"/>
              <w:right w:w="57" w:type="dxa"/>
            </w:tcMar>
            <w:vAlign w:val="center"/>
          </w:tcPr>
          <w:p>
            <w:pPr>
              <w:widowControl/>
              <w:adjustRightInd w:val="0"/>
              <w:snapToGrid w:val="0"/>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内陆非法捕捞渔获物一百公斤以下或价值一千元以下</w:t>
            </w:r>
          </w:p>
        </w:tc>
        <w:tc>
          <w:tcPr>
            <w:tcW w:w="2747" w:type="dxa"/>
            <w:tcBorders>
              <w:bottom w:val="single" w:color="auto" w:sz="4" w:space="0"/>
              <w:tl2br w:val="nil"/>
              <w:tr2bl w:val="nil"/>
            </w:tcBorders>
            <w:tcMar>
              <w:top w:w="57" w:type="dxa"/>
              <w:left w:w="57" w:type="dxa"/>
              <w:bottom w:w="57" w:type="dxa"/>
              <w:right w:w="57" w:type="dxa"/>
            </w:tcMar>
            <w:vAlign w:val="center"/>
          </w:tcPr>
          <w:p>
            <w:pPr>
              <w:widowControl/>
              <w:adjustRightInd w:val="0"/>
              <w:snapToGrid w:val="0"/>
              <w:textAlignment w:val="center"/>
              <w:rPr>
                <w:rFonts w:hint="eastAsia" w:ascii="仿宋_GB2312" w:hAnsi="仿宋_GB2312" w:eastAsia="仿宋_GB2312" w:cs="仿宋_GB2312"/>
                <w:color w:val="000000"/>
                <w:kern w:val="0"/>
                <w:sz w:val="21"/>
                <w:szCs w:val="21"/>
              </w:rPr>
            </w:pPr>
            <w:r>
              <w:rPr>
                <w:rFonts w:hint="default" w:ascii="仿宋_GB2312" w:hAnsi="仿宋_GB2312" w:eastAsia="仿宋_GB2312" w:cs="仿宋_GB2312"/>
                <w:color w:val="000000"/>
                <w:kern w:val="0"/>
                <w:sz w:val="21"/>
                <w:szCs w:val="21"/>
                <w:lang w:val="en-US" w:eastAsia="zh-CN"/>
              </w:rPr>
              <w:br w:type="textWrapping"/>
            </w:r>
            <w:r>
              <w:rPr>
                <w:rFonts w:hint="default" w:ascii="仿宋_GB2312" w:hAnsi="仿宋_GB2312" w:eastAsia="仿宋_GB2312" w:cs="仿宋_GB2312"/>
                <w:color w:val="000000"/>
                <w:kern w:val="0"/>
                <w:sz w:val="21"/>
                <w:szCs w:val="21"/>
                <w:lang w:val="en-US" w:eastAsia="zh-CN"/>
              </w:rPr>
              <w:t>非法捕捞渔获物二十公斤以下或价值二百元以下</w:t>
            </w:r>
          </w:p>
        </w:tc>
        <w:tc>
          <w:tcPr>
            <w:tcW w:w="2725"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hint="eastAsia" w:ascii="仿宋_GB2312" w:hAnsi="仿宋_GB2312" w:eastAsia="仿宋_GB2312" w:cs="仿宋_GB2312"/>
                <w:color w:val="000000"/>
                <w:kern w:val="0"/>
                <w:sz w:val="21"/>
                <w:szCs w:val="21"/>
              </w:rPr>
            </w:pPr>
            <w:r>
              <w:rPr>
                <w:rFonts w:hint="default" w:ascii="仿宋_GB2312" w:hAnsi="仿宋_GB2312" w:eastAsia="仿宋_GB2312" w:cs="仿宋_GB2312"/>
                <w:color w:val="000000"/>
                <w:kern w:val="0"/>
                <w:sz w:val="21"/>
                <w:szCs w:val="21"/>
                <w:lang w:val="en-US" w:eastAsia="zh-CN"/>
              </w:rPr>
              <w:br w:type="textWrapping"/>
            </w:r>
            <w:r>
              <w:rPr>
                <w:rFonts w:hint="default" w:ascii="仿宋_GB2312" w:hAnsi="仿宋_GB2312" w:eastAsia="仿宋_GB2312" w:cs="仿宋_GB2312"/>
                <w:color w:val="000000"/>
                <w:kern w:val="0"/>
                <w:sz w:val="21"/>
                <w:szCs w:val="21"/>
                <w:lang w:val="en-US" w:eastAsia="zh-CN"/>
              </w:rPr>
              <w:t>没收渔获物和违法所得，处一万元以下罚款，没收渔具，吊销捕捞许可证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421" w:type="dxa"/>
            <w:vMerge w:val="continue"/>
            <w:tcBorders>
              <w:tl2br w:val="nil"/>
              <w:tr2bl w:val="nil"/>
            </w:tcBorders>
            <w:tcMar>
              <w:top w:w="57" w:type="dxa"/>
              <w:left w:w="57" w:type="dxa"/>
              <w:bottom w:w="57" w:type="dxa"/>
              <w:right w:w="57" w:type="dxa"/>
            </w:tcMar>
            <w:vAlign w:val="center"/>
          </w:tcPr>
          <w:p>
            <w:pPr>
              <w:adjustRightInd w:val="0"/>
              <w:snapToGrid w:val="0"/>
              <w:jc w:val="center"/>
              <w:rPr>
                <w:rFonts w:ascii="仿宋_GB2312" w:hAnsi="仿宋_GB2312" w:eastAsia="仿宋_GB2312" w:cs="仿宋_GB2312"/>
                <w:color w:val="000000"/>
                <w:sz w:val="21"/>
                <w:szCs w:val="21"/>
              </w:rPr>
            </w:pPr>
          </w:p>
        </w:tc>
        <w:tc>
          <w:tcPr>
            <w:tcW w:w="1098"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3531" w:type="dxa"/>
            <w:vMerge w:val="continue"/>
            <w:tcBorders>
              <w:tl2br w:val="nil"/>
              <w:tr2bl w:val="nil"/>
            </w:tcBorders>
            <w:tcMar>
              <w:top w:w="57" w:type="dxa"/>
              <w:left w:w="57" w:type="dxa"/>
              <w:bottom w:w="57" w:type="dxa"/>
              <w:right w:w="57" w:type="dxa"/>
            </w:tcMar>
            <w:vAlign w:val="center"/>
          </w:tcPr>
          <w:p>
            <w:pPr>
              <w:widowControl/>
              <w:adjustRightInd w:val="0"/>
              <w:snapToGrid w:val="0"/>
              <w:textAlignment w:val="center"/>
              <w:rPr>
                <w:rFonts w:hint="eastAsia" w:ascii="仿宋_GB2312" w:hAnsi="仿宋_GB2312" w:eastAsia="仿宋_GB2312" w:cs="仿宋_GB2312"/>
                <w:color w:val="000000"/>
                <w:kern w:val="0"/>
                <w:sz w:val="21"/>
                <w:szCs w:val="21"/>
              </w:rPr>
            </w:pPr>
          </w:p>
        </w:tc>
        <w:tc>
          <w:tcPr>
            <w:tcW w:w="730" w:type="dxa"/>
            <w:vMerge w:val="continue"/>
            <w:tcBorders>
              <w:tl2br w:val="nil"/>
              <w:tr2bl w:val="nil"/>
            </w:tcBorders>
            <w:tcMar>
              <w:top w:w="57" w:type="dxa"/>
              <w:left w:w="57" w:type="dxa"/>
              <w:bottom w:w="57" w:type="dxa"/>
              <w:right w:w="57" w:type="dxa"/>
            </w:tcMar>
            <w:vAlign w:val="center"/>
          </w:tcPr>
          <w:p>
            <w:pPr>
              <w:widowControl/>
              <w:adjustRightInd w:val="0"/>
              <w:snapToGrid w:val="0"/>
              <w:textAlignment w:val="center"/>
              <w:rPr>
                <w:rFonts w:hint="eastAsia" w:ascii="仿宋_GB2312" w:hAnsi="仿宋_GB2312" w:eastAsia="仿宋_GB2312" w:cs="仿宋_GB2312"/>
                <w:color w:val="000000"/>
                <w:kern w:val="0"/>
                <w:sz w:val="21"/>
                <w:szCs w:val="21"/>
              </w:rPr>
            </w:pPr>
          </w:p>
        </w:tc>
        <w:tc>
          <w:tcPr>
            <w:tcW w:w="2748" w:type="dxa"/>
            <w:vMerge w:val="continue"/>
            <w:tcBorders>
              <w:tl2br w:val="nil"/>
              <w:tr2bl w:val="nil"/>
            </w:tcBorders>
            <w:tcMar>
              <w:top w:w="57" w:type="dxa"/>
              <w:left w:w="57" w:type="dxa"/>
              <w:bottom w:w="57" w:type="dxa"/>
              <w:right w:w="57" w:type="dxa"/>
            </w:tcMar>
            <w:vAlign w:val="center"/>
          </w:tcPr>
          <w:p>
            <w:pPr>
              <w:widowControl/>
              <w:adjustRightInd w:val="0"/>
              <w:snapToGrid w:val="0"/>
              <w:textAlignment w:val="center"/>
              <w:rPr>
                <w:rFonts w:hint="eastAsia" w:ascii="仿宋_GB2312" w:hAnsi="仿宋_GB2312" w:eastAsia="仿宋_GB2312" w:cs="仿宋_GB2312"/>
                <w:color w:val="000000"/>
                <w:kern w:val="0"/>
                <w:sz w:val="21"/>
                <w:szCs w:val="21"/>
              </w:rPr>
            </w:pPr>
          </w:p>
        </w:tc>
        <w:tc>
          <w:tcPr>
            <w:tcW w:w="2747" w:type="dxa"/>
            <w:tcBorders>
              <w:top w:val="single" w:color="auto" w:sz="4" w:space="0"/>
              <w:bottom w:val="single" w:color="auto" w:sz="4" w:space="0"/>
              <w:tl2br w:val="nil"/>
              <w:tr2bl w:val="nil"/>
            </w:tcBorders>
            <w:tcMar>
              <w:top w:w="57" w:type="dxa"/>
              <w:left w:w="57" w:type="dxa"/>
              <w:bottom w:w="57" w:type="dxa"/>
              <w:right w:w="57" w:type="dxa"/>
            </w:tcMar>
            <w:vAlign w:val="center"/>
          </w:tcPr>
          <w:p>
            <w:pPr>
              <w:widowControl/>
              <w:adjustRightInd w:val="0"/>
              <w:snapToGrid w:val="0"/>
              <w:textAlignment w:val="center"/>
              <w:rPr>
                <w:rFonts w:hint="eastAsia" w:ascii="仿宋_GB2312" w:hAnsi="仿宋_GB2312" w:eastAsia="仿宋_GB2312" w:cs="仿宋_GB2312"/>
                <w:color w:val="000000"/>
                <w:kern w:val="0"/>
                <w:sz w:val="21"/>
                <w:szCs w:val="21"/>
              </w:rPr>
            </w:pPr>
            <w:r>
              <w:rPr>
                <w:rFonts w:hint="default" w:ascii="仿宋_GB2312" w:hAnsi="仿宋_GB2312" w:eastAsia="仿宋_GB2312" w:cs="仿宋_GB2312"/>
                <w:color w:val="000000"/>
                <w:kern w:val="0"/>
                <w:sz w:val="21"/>
                <w:szCs w:val="21"/>
                <w:lang w:val="en-US" w:eastAsia="zh-CN"/>
              </w:rPr>
              <w:br w:type="textWrapping"/>
            </w:r>
            <w:r>
              <w:rPr>
                <w:rFonts w:hint="default" w:ascii="仿宋_GB2312" w:hAnsi="仿宋_GB2312" w:eastAsia="仿宋_GB2312" w:cs="仿宋_GB2312"/>
                <w:color w:val="000000"/>
                <w:kern w:val="0"/>
                <w:sz w:val="21"/>
                <w:szCs w:val="21"/>
                <w:lang w:val="en-US" w:eastAsia="zh-CN"/>
              </w:rPr>
              <w:t>非法捕捞渔获物二十公斤以上五十公斤以下或价值二百元以上五百元以下</w:t>
            </w:r>
          </w:p>
        </w:tc>
        <w:tc>
          <w:tcPr>
            <w:tcW w:w="2725"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hint="eastAsia" w:ascii="仿宋_GB2312" w:hAnsi="仿宋_GB2312" w:eastAsia="仿宋_GB2312" w:cs="仿宋_GB2312"/>
                <w:color w:val="000000"/>
                <w:kern w:val="0"/>
                <w:sz w:val="21"/>
                <w:szCs w:val="21"/>
              </w:rPr>
            </w:pPr>
            <w:r>
              <w:rPr>
                <w:rFonts w:hint="default" w:ascii="仿宋_GB2312" w:hAnsi="仿宋_GB2312" w:eastAsia="仿宋_GB2312" w:cs="仿宋_GB2312"/>
                <w:color w:val="000000"/>
                <w:kern w:val="0"/>
                <w:sz w:val="21"/>
                <w:szCs w:val="21"/>
                <w:lang w:val="en-US" w:eastAsia="zh-CN"/>
              </w:rPr>
              <w:br w:type="textWrapping"/>
            </w:r>
            <w:r>
              <w:rPr>
                <w:rFonts w:hint="default" w:ascii="仿宋_GB2312" w:hAnsi="仿宋_GB2312" w:eastAsia="仿宋_GB2312" w:cs="仿宋_GB2312"/>
                <w:color w:val="000000"/>
                <w:kern w:val="0"/>
                <w:sz w:val="21"/>
                <w:szCs w:val="21"/>
                <w:lang w:val="en-US" w:eastAsia="zh-CN"/>
              </w:rPr>
              <w:t>没收渔获物和违法所得，处一万元以上一万五千元以下罚款，没收渔具，吊销捕捞许可证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3" w:hRule="atLeast"/>
          <w:jc w:val="center"/>
        </w:trPr>
        <w:tc>
          <w:tcPr>
            <w:tcW w:w="421" w:type="dxa"/>
            <w:vMerge w:val="continue"/>
            <w:tcBorders>
              <w:tl2br w:val="nil"/>
              <w:tr2bl w:val="nil"/>
            </w:tcBorders>
            <w:tcMar>
              <w:top w:w="57" w:type="dxa"/>
              <w:left w:w="57" w:type="dxa"/>
              <w:bottom w:w="57" w:type="dxa"/>
              <w:right w:w="57" w:type="dxa"/>
            </w:tcMar>
            <w:vAlign w:val="center"/>
          </w:tcPr>
          <w:p>
            <w:pPr>
              <w:adjustRightInd w:val="0"/>
              <w:snapToGrid w:val="0"/>
              <w:jc w:val="center"/>
              <w:rPr>
                <w:rFonts w:ascii="仿宋_GB2312" w:hAnsi="仿宋_GB2312" w:eastAsia="仿宋_GB2312" w:cs="仿宋_GB2312"/>
                <w:color w:val="000000"/>
                <w:sz w:val="21"/>
                <w:szCs w:val="21"/>
              </w:rPr>
            </w:pPr>
          </w:p>
        </w:tc>
        <w:tc>
          <w:tcPr>
            <w:tcW w:w="1098"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3531" w:type="dxa"/>
            <w:vMerge w:val="continue"/>
            <w:tcBorders>
              <w:tl2br w:val="nil"/>
              <w:tr2bl w:val="nil"/>
            </w:tcBorders>
            <w:tcMar>
              <w:top w:w="57" w:type="dxa"/>
              <w:left w:w="57" w:type="dxa"/>
              <w:bottom w:w="57" w:type="dxa"/>
              <w:right w:w="57" w:type="dxa"/>
            </w:tcMar>
            <w:vAlign w:val="center"/>
          </w:tcPr>
          <w:p>
            <w:pPr>
              <w:widowControl/>
              <w:adjustRightInd w:val="0"/>
              <w:snapToGrid w:val="0"/>
              <w:textAlignment w:val="center"/>
              <w:rPr>
                <w:rFonts w:hint="eastAsia" w:ascii="仿宋_GB2312" w:hAnsi="仿宋_GB2312" w:eastAsia="仿宋_GB2312" w:cs="仿宋_GB2312"/>
                <w:color w:val="000000"/>
                <w:kern w:val="0"/>
                <w:sz w:val="21"/>
                <w:szCs w:val="21"/>
              </w:rPr>
            </w:pPr>
          </w:p>
        </w:tc>
        <w:tc>
          <w:tcPr>
            <w:tcW w:w="730" w:type="dxa"/>
            <w:vMerge w:val="continue"/>
            <w:tcBorders>
              <w:tl2br w:val="nil"/>
              <w:tr2bl w:val="nil"/>
            </w:tcBorders>
            <w:tcMar>
              <w:top w:w="57" w:type="dxa"/>
              <w:left w:w="57" w:type="dxa"/>
              <w:bottom w:w="57" w:type="dxa"/>
              <w:right w:w="57" w:type="dxa"/>
            </w:tcMar>
            <w:vAlign w:val="center"/>
          </w:tcPr>
          <w:p>
            <w:pPr>
              <w:widowControl/>
              <w:adjustRightInd w:val="0"/>
              <w:snapToGrid w:val="0"/>
              <w:textAlignment w:val="center"/>
              <w:rPr>
                <w:rFonts w:hint="eastAsia" w:ascii="仿宋_GB2312" w:hAnsi="仿宋_GB2312" w:eastAsia="仿宋_GB2312" w:cs="仿宋_GB2312"/>
                <w:color w:val="000000"/>
                <w:kern w:val="0"/>
                <w:sz w:val="21"/>
                <w:szCs w:val="21"/>
              </w:rPr>
            </w:pPr>
          </w:p>
        </w:tc>
        <w:tc>
          <w:tcPr>
            <w:tcW w:w="2748" w:type="dxa"/>
            <w:vMerge w:val="continue"/>
            <w:tcBorders>
              <w:tl2br w:val="nil"/>
              <w:tr2bl w:val="nil"/>
            </w:tcBorders>
            <w:tcMar>
              <w:top w:w="57" w:type="dxa"/>
              <w:left w:w="57" w:type="dxa"/>
              <w:bottom w:w="57" w:type="dxa"/>
              <w:right w:w="57" w:type="dxa"/>
            </w:tcMar>
            <w:vAlign w:val="center"/>
          </w:tcPr>
          <w:p>
            <w:pPr>
              <w:widowControl/>
              <w:adjustRightInd w:val="0"/>
              <w:snapToGrid w:val="0"/>
              <w:textAlignment w:val="center"/>
              <w:rPr>
                <w:rFonts w:hint="eastAsia" w:ascii="仿宋_GB2312" w:hAnsi="仿宋_GB2312" w:eastAsia="仿宋_GB2312" w:cs="仿宋_GB2312"/>
                <w:color w:val="000000"/>
                <w:kern w:val="0"/>
                <w:sz w:val="21"/>
                <w:szCs w:val="21"/>
              </w:rPr>
            </w:pPr>
          </w:p>
        </w:tc>
        <w:tc>
          <w:tcPr>
            <w:tcW w:w="2747" w:type="dxa"/>
            <w:tcBorders>
              <w:top w:val="single" w:color="auto" w:sz="4" w:space="0"/>
              <w:tl2br w:val="nil"/>
              <w:tr2bl w:val="nil"/>
            </w:tcBorders>
            <w:tcMar>
              <w:top w:w="57" w:type="dxa"/>
              <w:left w:w="57" w:type="dxa"/>
              <w:bottom w:w="57" w:type="dxa"/>
              <w:right w:w="57" w:type="dxa"/>
            </w:tcMar>
            <w:vAlign w:val="center"/>
          </w:tcPr>
          <w:p>
            <w:pPr>
              <w:widowControl/>
              <w:adjustRightInd w:val="0"/>
              <w:snapToGrid w:val="0"/>
              <w:textAlignment w:val="center"/>
              <w:rPr>
                <w:rFonts w:hint="eastAsia" w:ascii="仿宋_GB2312" w:hAnsi="仿宋_GB2312" w:eastAsia="仿宋_GB2312" w:cs="仿宋_GB2312"/>
                <w:color w:val="000000"/>
                <w:kern w:val="0"/>
                <w:sz w:val="21"/>
                <w:szCs w:val="21"/>
              </w:rPr>
            </w:pPr>
            <w:r>
              <w:rPr>
                <w:rFonts w:hint="default" w:ascii="仿宋_GB2312" w:hAnsi="仿宋_GB2312" w:eastAsia="仿宋_GB2312" w:cs="仿宋_GB2312"/>
                <w:color w:val="000000"/>
                <w:kern w:val="0"/>
                <w:sz w:val="21"/>
                <w:szCs w:val="21"/>
                <w:lang w:val="en-US" w:eastAsia="zh-CN"/>
              </w:rPr>
              <w:br w:type="textWrapping"/>
            </w:r>
            <w:r>
              <w:rPr>
                <w:rFonts w:hint="default" w:ascii="仿宋_GB2312" w:hAnsi="仿宋_GB2312" w:eastAsia="仿宋_GB2312" w:cs="仿宋_GB2312"/>
                <w:color w:val="000000"/>
                <w:kern w:val="0"/>
                <w:sz w:val="21"/>
                <w:szCs w:val="21"/>
                <w:lang w:val="en-US" w:eastAsia="zh-CN"/>
              </w:rPr>
              <w:t>非法捕捞渔获物五十公斤以上一百公斤以下或价值五百元以上一千元以下</w:t>
            </w:r>
          </w:p>
        </w:tc>
        <w:tc>
          <w:tcPr>
            <w:tcW w:w="2725"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hint="eastAsia" w:ascii="仿宋_GB2312" w:hAnsi="仿宋_GB2312" w:eastAsia="仿宋_GB2312" w:cs="仿宋_GB2312"/>
                <w:color w:val="000000"/>
                <w:kern w:val="0"/>
                <w:sz w:val="21"/>
                <w:szCs w:val="21"/>
              </w:rPr>
            </w:pPr>
            <w:r>
              <w:rPr>
                <w:rFonts w:hint="default" w:ascii="仿宋_GB2312" w:hAnsi="仿宋_GB2312" w:eastAsia="仿宋_GB2312" w:cs="仿宋_GB2312"/>
                <w:color w:val="000000"/>
                <w:kern w:val="0"/>
                <w:sz w:val="21"/>
                <w:szCs w:val="21"/>
                <w:lang w:val="en-US" w:eastAsia="zh-CN"/>
              </w:rPr>
              <w:br w:type="textWrapping"/>
            </w:r>
            <w:r>
              <w:rPr>
                <w:rFonts w:hint="default" w:ascii="仿宋_GB2312" w:hAnsi="仿宋_GB2312" w:eastAsia="仿宋_GB2312" w:cs="仿宋_GB2312"/>
                <w:color w:val="000000"/>
                <w:kern w:val="0"/>
                <w:sz w:val="21"/>
                <w:szCs w:val="21"/>
                <w:lang w:val="en-US" w:eastAsia="zh-CN"/>
              </w:rPr>
              <w:t>没收渔获物和违法所得，处一万五千元以上二万元以下罚款，没收渔具，吊销捕捞许可证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54" w:hRule="atLeast"/>
          <w:jc w:val="center"/>
        </w:trPr>
        <w:tc>
          <w:tcPr>
            <w:tcW w:w="421" w:type="dxa"/>
            <w:vMerge w:val="continue"/>
            <w:tcBorders>
              <w:tl2br w:val="nil"/>
              <w:tr2bl w:val="nil"/>
            </w:tcBorders>
            <w:tcMar>
              <w:top w:w="57" w:type="dxa"/>
              <w:left w:w="57" w:type="dxa"/>
              <w:bottom w:w="57" w:type="dxa"/>
              <w:right w:w="57" w:type="dxa"/>
            </w:tcMar>
            <w:vAlign w:val="center"/>
          </w:tcPr>
          <w:p>
            <w:pPr>
              <w:adjustRightInd w:val="0"/>
              <w:snapToGrid w:val="0"/>
              <w:jc w:val="center"/>
              <w:rPr>
                <w:rFonts w:ascii="仿宋_GB2312" w:hAnsi="仿宋_GB2312" w:eastAsia="仿宋_GB2312" w:cs="仿宋_GB2312"/>
                <w:color w:val="000000"/>
                <w:sz w:val="21"/>
                <w:szCs w:val="21"/>
              </w:rPr>
            </w:pPr>
          </w:p>
        </w:tc>
        <w:tc>
          <w:tcPr>
            <w:tcW w:w="1098" w:type="dxa"/>
            <w:vMerge w:val="continue"/>
            <w:tcBorders>
              <w:tl2br w:val="nil"/>
              <w:tr2bl w:val="nil"/>
            </w:tcBorders>
            <w:tcMar>
              <w:top w:w="57" w:type="dxa"/>
              <w:left w:w="57" w:type="dxa"/>
              <w:bottom w:w="57" w:type="dxa"/>
              <w:right w:w="57" w:type="dxa"/>
            </w:tcMar>
            <w:vAlign w:val="center"/>
          </w:tcPr>
          <w:p>
            <w:pPr>
              <w:adjustRightInd w:val="0"/>
              <w:snapToGrid w:val="0"/>
              <w:rPr>
                <w:rFonts w:ascii="仿宋_GB2312" w:hAnsi="仿宋_GB2312" w:eastAsia="仿宋_GB2312" w:cs="仿宋_GB2312"/>
                <w:color w:val="000000"/>
                <w:sz w:val="21"/>
                <w:szCs w:val="21"/>
              </w:rPr>
            </w:pPr>
          </w:p>
        </w:tc>
        <w:tc>
          <w:tcPr>
            <w:tcW w:w="3531" w:type="dxa"/>
            <w:vMerge w:val="continue"/>
            <w:tcBorders>
              <w:tl2br w:val="nil"/>
              <w:tr2bl w:val="nil"/>
            </w:tcBorders>
            <w:tcMar>
              <w:top w:w="57" w:type="dxa"/>
              <w:left w:w="57" w:type="dxa"/>
              <w:bottom w:w="57" w:type="dxa"/>
              <w:right w:w="57" w:type="dxa"/>
            </w:tcMar>
            <w:vAlign w:val="center"/>
          </w:tcPr>
          <w:p>
            <w:pPr>
              <w:widowControl/>
              <w:adjustRightInd w:val="0"/>
              <w:snapToGrid w:val="0"/>
              <w:textAlignment w:val="center"/>
              <w:rPr>
                <w:rFonts w:hint="eastAsia" w:ascii="仿宋_GB2312" w:hAnsi="仿宋_GB2312" w:eastAsia="仿宋_GB2312" w:cs="仿宋_GB2312"/>
                <w:color w:val="000000"/>
                <w:kern w:val="0"/>
                <w:sz w:val="21"/>
                <w:szCs w:val="21"/>
              </w:rPr>
            </w:pPr>
          </w:p>
        </w:tc>
        <w:tc>
          <w:tcPr>
            <w:tcW w:w="730"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hint="eastAsia" w:ascii="仿宋_GB2312" w:hAnsi="仿宋_GB2312" w:eastAsia="仿宋_GB2312" w:cs="仿宋_GB2312"/>
                <w:color w:val="000000"/>
                <w:kern w:val="0"/>
                <w:sz w:val="21"/>
                <w:szCs w:val="21"/>
              </w:rPr>
            </w:pPr>
            <w:r>
              <w:rPr>
                <w:rFonts w:hint="default" w:ascii="仿宋_GB2312" w:hAnsi="仿宋_GB2312" w:eastAsia="仿宋_GB2312" w:cs="仿宋_GB2312"/>
                <w:color w:val="000000"/>
                <w:kern w:val="0"/>
                <w:sz w:val="21"/>
                <w:szCs w:val="21"/>
                <w:lang w:val="en-US" w:eastAsia="zh-CN"/>
              </w:rPr>
              <w:t>特别</w:t>
            </w:r>
            <w:r>
              <w:rPr>
                <w:rFonts w:hint="default" w:ascii="仿宋_GB2312" w:hAnsi="仿宋_GB2312" w:eastAsia="仿宋_GB2312" w:cs="仿宋_GB2312"/>
                <w:color w:val="000000"/>
                <w:kern w:val="0"/>
                <w:sz w:val="21"/>
                <w:szCs w:val="21"/>
                <w:lang w:val="en-US" w:eastAsia="zh-CN"/>
              </w:rPr>
              <w:br w:type="textWrapping"/>
            </w:r>
            <w:r>
              <w:rPr>
                <w:rFonts w:hint="default" w:ascii="仿宋_GB2312" w:hAnsi="仿宋_GB2312" w:eastAsia="仿宋_GB2312" w:cs="仿宋_GB2312"/>
                <w:color w:val="000000"/>
                <w:kern w:val="0"/>
                <w:sz w:val="21"/>
                <w:szCs w:val="21"/>
                <w:lang w:val="en-US" w:eastAsia="zh-CN"/>
              </w:rPr>
              <w:t>严重</w:t>
            </w:r>
          </w:p>
        </w:tc>
        <w:tc>
          <w:tcPr>
            <w:tcW w:w="2748"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hint="eastAsia"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 xml:space="preserve">内陆非法捕捞渔获物一百公斤以上或价值一千元以上；使用机械化发电机进行捕捞或使用12V及以上电力设备捕捞   </w:t>
            </w:r>
          </w:p>
        </w:tc>
        <w:tc>
          <w:tcPr>
            <w:tcW w:w="5472" w:type="dxa"/>
            <w:gridSpan w:val="2"/>
            <w:tcBorders>
              <w:tl2br w:val="nil"/>
              <w:tr2bl w:val="nil"/>
            </w:tcBorders>
            <w:tcMar>
              <w:top w:w="57" w:type="dxa"/>
              <w:left w:w="57" w:type="dxa"/>
              <w:bottom w:w="57" w:type="dxa"/>
              <w:right w:w="57" w:type="dxa"/>
            </w:tcMar>
            <w:vAlign w:val="center"/>
          </w:tcPr>
          <w:p>
            <w:pPr>
              <w:widowControl/>
              <w:adjustRightInd w:val="0"/>
              <w:snapToGrid w:val="0"/>
              <w:textAlignment w:val="center"/>
              <w:rPr>
                <w:rFonts w:hint="eastAsia"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没收渔获物和违法所得，处二万元以上不超过三万元罚款，没收渔具，吊销捕捞许可证，可以没收渔船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421" w:type="dxa"/>
            <w:vMerge w:val="restart"/>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2</w:t>
            </w:r>
          </w:p>
        </w:tc>
        <w:tc>
          <w:tcPr>
            <w:tcW w:w="1098" w:type="dxa"/>
            <w:vMerge w:val="restart"/>
            <w:tcBorders>
              <w:tl2br w:val="nil"/>
              <w:tr2bl w:val="nil"/>
            </w:tcBorders>
            <w:tcMar>
              <w:top w:w="57" w:type="dxa"/>
              <w:left w:w="57" w:type="dxa"/>
              <w:bottom w:w="57" w:type="dxa"/>
              <w:right w:w="57" w:type="dxa"/>
            </w:tcMar>
            <w:vAlign w:val="center"/>
          </w:tcPr>
          <w:p>
            <w:pPr>
              <w:widowControl/>
              <w:adjustRightInd w:val="0"/>
              <w:snapToGrid w:val="0"/>
              <w:textAlignment w:val="center"/>
              <w:rPr>
                <w:rFonts w:hint="default"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违反禁渔期、禁渔区的规定进行捕捞</w:t>
            </w:r>
          </w:p>
        </w:tc>
        <w:tc>
          <w:tcPr>
            <w:tcW w:w="3531" w:type="dxa"/>
            <w:vMerge w:val="restart"/>
            <w:tcBorders>
              <w:tl2br w:val="nil"/>
              <w:tr2bl w:val="nil"/>
            </w:tcBorders>
            <w:tcMar>
              <w:top w:w="57" w:type="dxa"/>
              <w:left w:w="57" w:type="dxa"/>
              <w:bottom w:w="57" w:type="dxa"/>
              <w:right w:w="57" w:type="dxa"/>
            </w:tcMar>
            <w:vAlign w:val="center"/>
          </w:tcPr>
          <w:p>
            <w:pPr>
              <w:widowControl/>
              <w:adjustRightInd w:val="0"/>
              <w:snapToGrid w:val="0"/>
              <w:textAlignment w:val="center"/>
              <w:rPr>
                <w:rFonts w:hint="eastAsia"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中华人民共和国渔业法》第三十八条第一款，使用炸鱼、毒鱼、电鱼等破坏渔业资源方法进行捕捞的，违反关于禁渔区、禁渔期的规定进行捕捞的，或者使用禁用的渔具、捕捞方法和小于最小网目尺寸的网具进行捕捞或者渔获物中幼鱼超过规定比例的，没收渔获物和违法所得，处五万元以下的罚款；情节严重的，没收渔具，吊销捕捞许可证；情节特别严重的，可以没收渔船；构成犯罪的，依法追究刑事责任。</w:t>
            </w:r>
          </w:p>
        </w:tc>
        <w:tc>
          <w:tcPr>
            <w:tcW w:w="730" w:type="dxa"/>
            <w:tcBorders>
              <w:bottom w:val="single" w:color="auto" w:sz="4" w:space="0"/>
              <w:tl2br w:val="nil"/>
              <w:tr2bl w:val="nil"/>
            </w:tcBorders>
            <w:tcMar>
              <w:top w:w="57" w:type="dxa"/>
              <w:left w:w="57" w:type="dxa"/>
              <w:bottom w:w="57" w:type="dxa"/>
              <w:right w:w="57" w:type="dxa"/>
            </w:tcMar>
            <w:vAlign w:val="center"/>
          </w:tcPr>
          <w:p>
            <w:pPr>
              <w:widowControl/>
              <w:adjustRightInd w:val="0"/>
              <w:snapToGrid w:val="0"/>
              <w:textAlignment w:val="center"/>
              <w:rPr>
                <w:rFonts w:hint="eastAsia"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较轻</w:t>
            </w:r>
          </w:p>
        </w:tc>
        <w:tc>
          <w:tcPr>
            <w:tcW w:w="2748" w:type="dxa"/>
            <w:tcBorders>
              <w:bottom w:val="single" w:color="auto" w:sz="4" w:space="0"/>
              <w:tl2br w:val="nil"/>
              <w:tr2bl w:val="nil"/>
            </w:tcBorders>
            <w:tcMar>
              <w:top w:w="57" w:type="dxa"/>
              <w:left w:w="57" w:type="dxa"/>
              <w:bottom w:w="57" w:type="dxa"/>
              <w:right w:w="57" w:type="dxa"/>
            </w:tcMar>
            <w:vAlign w:val="center"/>
          </w:tcPr>
          <w:p>
            <w:pPr>
              <w:widowControl/>
              <w:adjustRightInd w:val="0"/>
              <w:snapToGrid w:val="0"/>
              <w:textAlignment w:val="center"/>
              <w:rPr>
                <w:rFonts w:hint="eastAsia"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br w:type="textWrapping"/>
            </w:r>
            <w:r>
              <w:rPr>
                <w:rFonts w:hint="default" w:ascii="仿宋_GB2312" w:hAnsi="仿宋_GB2312" w:eastAsia="仿宋_GB2312" w:cs="仿宋_GB2312"/>
                <w:color w:val="000000"/>
                <w:kern w:val="0"/>
                <w:sz w:val="21"/>
                <w:szCs w:val="21"/>
                <w:lang w:val="en-US" w:eastAsia="zh-CN"/>
              </w:rPr>
              <w:t>内陆非法捕捞渔获物二十公斤以下或价值二百元以下；非法捕捞田螺、河蚌等贝类水产品一百五十公斤以下</w:t>
            </w:r>
          </w:p>
        </w:tc>
        <w:tc>
          <w:tcPr>
            <w:tcW w:w="5472" w:type="dxa"/>
            <w:gridSpan w:val="2"/>
            <w:tcBorders>
              <w:bottom w:val="single" w:color="auto" w:sz="4" w:space="0"/>
              <w:tl2br w:val="nil"/>
              <w:tr2bl w:val="nil"/>
            </w:tcBorders>
            <w:tcMar>
              <w:top w:w="57" w:type="dxa"/>
              <w:left w:w="57" w:type="dxa"/>
              <w:bottom w:w="57" w:type="dxa"/>
              <w:right w:w="57" w:type="dxa"/>
            </w:tcMar>
            <w:vAlign w:val="center"/>
          </w:tcPr>
          <w:p>
            <w:pPr>
              <w:widowControl/>
              <w:adjustRightInd w:val="0"/>
              <w:snapToGrid w:val="0"/>
              <w:textAlignment w:val="center"/>
              <w:rPr>
                <w:rFonts w:hint="eastAsia"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没收渔获物和违法所得，处四万元以上不超过五万元罚款，没收渔具，吊销捕捞许可证，可以没收渔船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99" w:hRule="atLeast"/>
          <w:jc w:val="center"/>
        </w:trPr>
        <w:tc>
          <w:tcPr>
            <w:tcW w:w="421" w:type="dxa"/>
            <w:vMerge w:val="continue"/>
            <w:tcBorders>
              <w:tl2br w:val="nil"/>
              <w:tr2bl w:val="nil"/>
            </w:tcBorders>
            <w:tcMar>
              <w:top w:w="57" w:type="dxa"/>
              <w:left w:w="57" w:type="dxa"/>
              <w:bottom w:w="57" w:type="dxa"/>
              <w:right w:w="57" w:type="dxa"/>
            </w:tcMar>
            <w:vAlign w:val="center"/>
          </w:tcPr>
          <w:p>
            <w:pPr>
              <w:adjustRightInd w:val="0"/>
              <w:snapToGrid w:val="0"/>
              <w:jc w:val="center"/>
              <w:rPr>
                <w:rFonts w:ascii="仿宋_GB2312" w:hAnsi="仿宋_GB2312" w:eastAsia="仿宋_GB2312" w:cs="仿宋_GB2312"/>
                <w:color w:val="000000"/>
                <w:sz w:val="21"/>
                <w:szCs w:val="21"/>
              </w:rPr>
            </w:pPr>
          </w:p>
        </w:tc>
        <w:tc>
          <w:tcPr>
            <w:tcW w:w="1098" w:type="dxa"/>
            <w:vMerge w:val="continue"/>
            <w:tcBorders>
              <w:tl2br w:val="nil"/>
              <w:tr2bl w:val="nil"/>
            </w:tcBorders>
            <w:tcMar>
              <w:top w:w="57" w:type="dxa"/>
              <w:left w:w="57" w:type="dxa"/>
              <w:bottom w:w="57" w:type="dxa"/>
              <w:right w:w="57" w:type="dxa"/>
            </w:tcMar>
            <w:vAlign w:val="center"/>
          </w:tcPr>
          <w:p>
            <w:pPr>
              <w:widowControl/>
              <w:adjustRightInd w:val="0"/>
              <w:snapToGrid w:val="0"/>
              <w:textAlignment w:val="center"/>
              <w:rPr>
                <w:rFonts w:hint="default" w:ascii="仿宋_GB2312" w:hAnsi="仿宋_GB2312" w:eastAsia="仿宋_GB2312" w:cs="仿宋_GB2312"/>
                <w:color w:val="000000"/>
                <w:kern w:val="0"/>
                <w:sz w:val="21"/>
                <w:szCs w:val="21"/>
                <w:lang w:val="en-US" w:eastAsia="zh-CN"/>
              </w:rPr>
            </w:pPr>
          </w:p>
        </w:tc>
        <w:tc>
          <w:tcPr>
            <w:tcW w:w="3531" w:type="dxa"/>
            <w:vMerge w:val="continue"/>
            <w:tcBorders>
              <w:tl2br w:val="nil"/>
              <w:tr2bl w:val="nil"/>
            </w:tcBorders>
            <w:tcMar>
              <w:top w:w="57" w:type="dxa"/>
              <w:left w:w="57" w:type="dxa"/>
              <w:bottom w:w="57" w:type="dxa"/>
              <w:right w:w="57" w:type="dxa"/>
            </w:tcMar>
            <w:vAlign w:val="center"/>
          </w:tcPr>
          <w:p>
            <w:pPr>
              <w:widowControl/>
              <w:adjustRightInd w:val="0"/>
              <w:snapToGrid w:val="0"/>
              <w:textAlignment w:val="center"/>
              <w:rPr>
                <w:rFonts w:hint="eastAsia" w:ascii="仿宋_GB2312" w:hAnsi="仿宋_GB2312" w:eastAsia="仿宋_GB2312" w:cs="仿宋_GB2312"/>
                <w:color w:val="000000"/>
                <w:kern w:val="0"/>
                <w:sz w:val="21"/>
                <w:szCs w:val="21"/>
                <w:lang w:val="en-US" w:eastAsia="zh-CN"/>
              </w:rPr>
            </w:pPr>
          </w:p>
        </w:tc>
        <w:tc>
          <w:tcPr>
            <w:tcW w:w="730" w:type="dxa"/>
            <w:tcBorders>
              <w:top w:val="single" w:color="auto" w:sz="4" w:space="0"/>
              <w:bottom w:val="single" w:color="auto" w:sz="4" w:space="0"/>
              <w:tl2br w:val="nil"/>
              <w:tr2bl w:val="nil"/>
            </w:tcBorders>
            <w:tcMar>
              <w:top w:w="57" w:type="dxa"/>
              <w:left w:w="57" w:type="dxa"/>
              <w:bottom w:w="57" w:type="dxa"/>
              <w:right w:w="57" w:type="dxa"/>
            </w:tcMar>
            <w:vAlign w:val="center"/>
          </w:tcPr>
          <w:p>
            <w:pPr>
              <w:widowControl/>
              <w:adjustRightInd w:val="0"/>
              <w:snapToGrid w:val="0"/>
              <w:textAlignment w:val="center"/>
              <w:rPr>
                <w:rFonts w:hint="eastAsia"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一般</w:t>
            </w:r>
          </w:p>
        </w:tc>
        <w:tc>
          <w:tcPr>
            <w:tcW w:w="2748" w:type="dxa"/>
            <w:tcBorders>
              <w:top w:val="single" w:color="auto" w:sz="4" w:space="0"/>
              <w:bottom w:val="single" w:color="auto" w:sz="4" w:space="0"/>
              <w:tl2br w:val="nil"/>
              <w:tr2bl w:val="nil"/>
            </w:tcBorders>
            <w:tcMar>
              <w:top w:w="57" w:type="dxa"/>
              <w:left w:w="57" w:type="dxa"/>
              <w:bottom w:w="57" w:type="dxa"/>
              <w:right w:w="57" w:type="dxa"/>
            </w:tcMar>
            <w:vAlign w:val="center"/>
          </w:tcPr>
          <w:p>
            <w:pPr>
              <w:widowControl/>
              <w:adjustRightInd w:val="0"/>
              <w:snapToGrid w:val="0"/>
              <w:textAlignment w:val="center"/>
              <w:rPr>
                <w:rFonts w:hint="eastAsia"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br w:type="textWrapping"/>
            </w:r>
            <w:r>
              <w:rPr>
                <w:rFonts w:hint="default" w:ascii="仿宋_GB2312" w:hAnsi="仿宋_GB2312" w:eastAsia="仿宋_GB2312" w:cs="仿宋_GB2312"/>
                <w:color w:val="000000"/>
                <w:kern w:val="0"/>
                <w:sz w:val="21"/>
                <w:szCs w:val="21"/>
                <w:lang w:val="en-US" w:eastAsia="zh-CN"/>
              </w:rPr>
              <w:t>内陆非法捕捞渔获物二十公斤以上五十公斤以下或价值二百元以上五百元以下；非法捕捞田螺、河蚌等贝类水产品一百五十公斤以上三百公斤以下</w:t>
            </w:r>
          </w:p>
        </w:tc>
        <w:tc>
          <w:tcPr>
            <w:tcW w:w="5472" w:type="dxa"/>
            <w:gridSpan w:val="2"/>
            <w:tcBorders>
              <w:top w:val="single" w:color="auto" w:sz="4" w:space="0"/>
              <w:bottom w:val="single" w:color="auto" w:sz="4" w:space="0"/>
              <w:tl2br w:val="nil"/>
              <w:tr2bl w:val="nil"/>
            </w:tcBorders>
            <w:tcMar>
              <w:top w:w="57" w:type="dxa"/>
              <w:left w:w="57" w:type="dxa"/>
              <w:bottom w:w="57" w:type="dxa"/>
              <w:right w:w="57" w:type="dxa"/>
            </w:tcMar>
            <w:vAlign w:val="center"/>
          </w:tcPr>
          <w:p>
            <w:pPr>
              <w:widowControl/>
              <w:adjustRightInd w:val="0"/>
              <w:snapToGrid w:val="0"/>
              <w:textAlignment w:val="center"/>
              <w:rPr>
                <w:rFonts w:hint="eastAsia"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br w:type="textWrapping"/>
            </w:r>
            <w:r>
              <w:rPr>
                <w:rFonts w:hint="default" w:ascii="仿宋_GB2312" w:hAnsi="仿宋_GB2312" w:eastAsia="仿宋_GB2312" w:cs="仿宋_GB2312"/>
                <w:color w:val="000000"/>
                <w:kern w:val="0"/>
                <w:sz w:val="21"/>
                <w:szCs w:val="21"/>
                <w:lang w:val="en-US" w:eastAsia="zh-CN"/>
              </w:rPr>
              <w:t>没收渔获物和违法所得，处二千元以下罚款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6" w:hRule="atLeast"/>
          <w:jc w:val="center"/>
        </w:trPr>
        <w:tc>
          <w:tcPr>
            <w:tcW w:w="421" w:type="dxa"/>
            <w:vMerge w:val="continue"/>
            <w:tcBorders>
              <w:tl2br w:val="nil"/>
              <w:tr2bl w:val="nil"/>
            </w:tcBorders>
            <w:tcMar>
              <w:top w:w="57" w:type="dxa"/>
              <w:left w:w="57" w:type="dxa"/>
              <w:bottom w:w="57" w:type="dxa"/>
              <w:right w:w="57" w:type="dxa"/>
            </w:tcMar>
            <w:vAlign w:val="center"/>
          </w:tcPr>
          <w:p>
            <w:pPr>
              <w:adjustRightInd w:val="0"/>
              <w:snapToGrid w:val="0"/>
              <w:jc w:val="center"/>
              <w:rPr>
                <w:rFonts w:ascii="仿宋_GB2312" w:hAnsi="仿宋_GB2312" w:eastAsia="仿宋_GB2312" w:cs="仿宋_GB2312"/>
                <w:color w:val="000000"/>
                <w:sz w:val="21"/>
                <w:szCs w:val="21"/>
              </w:rPr>
            </w:pPr>
          </w:p>
        </w:tc>
        <w:tc>
          <w:tcPr>
            <w:tcW w:w="1098" w:type="dxa"/>
            <w:vMerge w:val="continue"/>
            <w:tcBorders>
              <w:tl2br w:val="nil"/>
              <w:tr2bl w:val="nil"/>
            </w:tcBorders>
            <w:tcMar>
              <w:top w:w="57" w:type="dxa"/>
              <w:left w:w="57" w:type="dxa"/>
              <w:bottom w:w="57" w:type="dxa"/>
              <w:right w:w="57" w:type="dxa"/>
            </w:tcMar>
            <w:vAlign w:val="center"/>
          </w:tcPr>
          <w:p>
            <w:pPr>
              <w:widowControl/>
              <w:adjustRightInd w:val="0"/>
              <w:snapToGrid w:val="0"/>
              <w:textAlignment w:val="center"/>
              <w:rPr>
                <w:rFonts w:hint="default" w:ascii="仿宋_GB2312" w:hAnsi="仿宋_GB2312" w:eastAsia="仿宋_GB2312" w:cs="仿宋_GB2312"/>
                <w:color w:val="000000"/>
                <w:kern w:val="0"/>
                <w:sz w:val="21"/>
                <w:szCs w:val="21"/>
                <w:lang w:val="en-US" w:eastAsia="zh-CN"/>
              </w:rPr>
            </w:pPr>
          </w:p>
        </w:tc>
        <w:tc>
          <w:tcPr>
            <w:tcW w:w="3531" w:type="dxa"/>
            <w:vMerge w:val="continue"/>
            <w:tcBorders>
              <w:tl2br w:val="nil"/>
              <w:tr2bl w:val="nil"/>
            </w:tcBorders>
            <w:tcMar>
              <w:top w:w="57" w:type="dxa"/>
              <w:left w:w="57" w:type="dxa"/>
              <w:bottom w:w="57" w:type="dxa"/>
              <w:right w:w="57" w:type="dxa"/>
            </w:tcMar>
            <w:vAlign w:val="center"/>
          </w:tcPr>
          <w:p>
            <w:pPr>
              <w:widowControl/>
              <w:adjustRightInd w:val="0"/>
              <w:snapToGrid w:val="0"/>
              <w:textAlignment w:val="center"/>
              <w:rPr>
                <w:rFonts w:hint="eastAsia" w:ascii="仿宋_GB2312" w:hAnsi="仿宋_GB2312" w:eastAsia="仿宋_GB2312" w:cs="仿宋_GB2312"/>
                <w:color w:val="000000"/>
                <w:kern w:val="0"/>
                <w:sz w:val="21"/>
                <w:szCs w:val="21"/>
                <w:lang w:val="en-US" w:eastAsia="zh-CN"/>
              </w:rPr>
            </w:pPr>
          </w:p>
        </w:tc>
        <w:tc>
          <w:tcPr>
            <w:tcW w:w="730" w:type="dxa"/>
            <w:tcBorders>
              <w:top w:val="single" w:color="auto" w:sz="4" w:space="0"/>
              <w:tl2br w:val="nil"/>
              <w:tr2bl w:val="nil"/>
            </w:tcBorders>
            <w:tcMar>
              <w:top w:w="57" w:type="dxa"/>
              <w:left w:w="57" w:type="dxa"/>
              <w:bottom w:w="57" w:type="dxa"/>
              <w:right w:w="57" w:type="dxa"/>
            </w:tcMar>
            <w:vAlign w:val="center"/>
          </w:tcPr>
          <w:p>
            <w:pPr>
              <w:widowControl/>
              <w:adjustRightInd w:val="0"/>
              <w:snapToGrid w:val="0"/>
              <w:textAlignment w:val="center"/>
              <w:rPr>
                <w:rFonts w:hint="eastAsia"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严重</w:t>
            </w:r>
          </w:p>
        </w:tc>
        <w:tc>
          <w:tcPr>
            <w:tcW w:w="2748" w:type="dxa"/>
            <w:tcBorders>
              <w:top w:val="single" w:color="auto" w:sz="4" w:space="0"/>
              <w:tl2br w:val="nil"/>
              <w:tr2bl w:val="nil"/>
            </w:tcBorders>
            <w:tcMar>
              <w:top w:w="57" w:type="dxa"/>
              <w:left w:w="57" w:type="dxa"/>
              <w:bottom w:w="57" w:type="dxa"/>
              <w:right w:w="57" w:type="dxa"/>
            </w:tcMar>
            <w:vAlign w:val="center"/>
          </w:tcPr>
          <w:p>
            <w:pPr>
              <w:widowControl/>
              <w:adjustRightInd w:val="0"/>
              <w:snapToGrid w:val="0"/>
              <w:textAlignment w:val="center"/>
              <w:rPr>
                <w:rFonts w:hint="eastAsia"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br w:type="textWrapping"/>
            </w:r>
            <w:r>
              <w:rPr>
                <w:rFonts w:hint="default" w:ascii="仿宋_GB2312" w:hAnsi="仿宋_GB2312" w:eastAsia="仿宋_GB2312" w:cs="仿宋_GB2312"/>
                <w:color w:val="000000"/>
                <w:kern w:val="0"/>
                <w:sz w:val="21"/>
                <w:szCs w:val="21"/>
                <w:lang w:val="en-US" w:eastAsia="zh-CN"/>
              </w:rPr>
              <w:t>内陆非法捕捞渔获物五十公斤以上一百公斤以下或价值五百元以上一千元以下；非法捕捞田螺、河蚌等贝类水产品三百公斤以上五百公斤以下</w:t>
            </w:r>
          </w:p>
        </w:tc>
        <w:tc>
          <w:tcPr>
            <w:tcW w:w="5472" w:type="dxa"/>
            <w:gridSpan w:val="2"/>
            <w:tcBorders>
              <w:top w:val="single" w:color="auto" w:sz="4" w:space="0"/>
              <w:tl2br w:val="nil"/>
              <w:tr2bl w:val="nil"/>
            </w:tcBorders>
            <w:tcMar>
              <w:top w:w="57" w:type="dxa"/>
              <w:left w:w="57" w:type="dxa"/>
              <w:bottom w:w="57" w:type="dxa"/>
              <w:right w:w="57" w:type="dxa"/>
            </w:tcMar>
            <w:vAlign w:val="center"/>
          </w:tcPr>
          <w:p>
            <w:pPr>
              <w:widowControl/>
              <w:adjustRightInd w:val="0"/>
              <w:snapToGrid w:val="0"/>
              <w:textAlignment w:val="center"/>
              <w:rPr>
                <w:rFonts w:hint="eastAsia"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br w:type="textWrapping"/>
            </w:r>
            <w:r>
              <w:rPr>
                <w:rFonts w:hint="default" w:ascii="仿宋_GB2312" w:hAnsi="仿宋_GB2312" w:eastAsia="仿宋_GB2312" w:cs="仿宋_GB2312"/>
                <w:color w:val="000000"/>
                <w:kern w:val="0"/>
                <w:sz w:val="21"/>
                <w:szCs w:val="21"/>
                <w:lang w:val="en-US" w:eastAsia="zh-CN"/>
              </w:rPr>
              <w:t>没收渔获物和违法所得，处二千元以上五千元以下罚款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jc w:val="center"/>
        </w:trPr>
        <w:tc>
          <w:tcPr>
            <w:tcW w:w="421" w:type="dxa"/>
            <w:vMerge w:val="continue"/>
            <w:tcBorders>
              <w:tl2br w:val="nil"/>
              <w:tr2bl w:val="nil"/>
            </w:tcBorders>
            <w:tcMar>
              <w:top w:w="57" w:type="dxa"/>
              <w:left w:w="57" w:type="dxa"/>
              <w:bottom w:w="57" w:type="dxa"/>
              <w:right w:w="57" w:type="dxa"/>
            </w:tcMar>
            <w:vAlign w:val="center"/>
          </w:tcPr>
          <w:p>
            <w:pPr>
              <w:adjustRightInd w:val="0"/>
              <w:snapToGrid w:val="0"/>
              <w:jc w:val="center"/>
              <w:rPr>
                <w:rFonts w:ascii="仿宋_GB2312" w:hAnsi="仿宋_GB2312" w:eastAsia="仿宋_GB2312" w:cs="仿宋_GB2312"/>
                <w:color w:val="000000"/>
                <w:sz w:val="21"/>
                <w:szCs w:val="21"/>
              </w:rPr>
            </w:pPr>
          </w:p>
        </w:tc>
        <w:tc>
          <w:tcPr>
            <w:tcW w:w="1098" w:type="dxa"/>
            <w:vMerge w:val="continue"/>
            <w:tcBorders>
              <w:tl2br w:val="nil"/>
              <w:tr2bl w:val="nil"/>
            </w:tcBorders>
            <w:tcMar>
              <w:top w:w="57" w:type="dxa"/>
              <w:left w:w="57" w:type="dxa"/>
              <w:bottom w:w="57" w:type="dxa"/>
              <w:right w:w="57" w:type="dxa"/>
            </w:tcMar>
            <w:vAlign w:val="center"/>
          </w:tcPr>
          <w:p>
            <w:pPr>
              <w:widowControl/>
              <w:adjustRightInd w:val="0"/>
              <w:snapToGrid w:val="0"/>
              <w:textAlignment w:val="center"/>
              <w:rPr>
                <w:rFonts w:hint="default" w:ascii="仿宋_GB2312" w:hAnsi="仿宋_GB2312" w:eastAsia="仿宋_GB2312" w:cs="仿宋_GB2312"/>
                <w:color w:val="000000"/>
                <w:kern w:val="0"/>
                <w:sz w:val="21"/>
                <w:szCs w:val="21"/>
                <w:lang w:val="en-US" w:eastAsia="zh-CN"/>
              </w:rPr>
            </w:pPr>
          </w:p>
        </w:tc>
        <w:tc>
          <w:tcPr>
            <w:tcW w:w="3531" w:type="dxa"/>
            <w:vMerge w:val="continue"/>
            <w:tcBorders>
              <w:tl2br w:val="nil"/>
              <w:tr2bl w:val="nil"/>
            </w:tcBorders>
            <w:tcMar>
              <w:top w:w="57" w:type="dxa"/>
              <w:left w:w="57" w:type="dxa"/>
              <w:bottom w:w="57" w:type="dxa"/>
              <w:right w:w="57" w:type="dxa"/>
            </w:tcMar>
            <w:vAlign w:val="center"/>
          </w:tcPr>
          <w:p>
            <w:pPr>
              <w:widowControl/>
              <w:adjustRightInd w:val="0"/>
              <w:snapToGrid w:val="0"/>
              <w:textAlignment w:val="center"/>
              <w:rPr>
                <w:rFonts w:hint="eastAsia" w:ascii="仿宋_GB2312" w:hAnsi="仿宋_GB2312" w:eastAsia="仿宋_GB2312" w:cs="仿宋_GB2312"/>
                <w:color w:val="000000"/>
                <w:kern w:val="0"/>
                <w:sz w:val="21"/>
                <w:szCs w:val="21"/>
                <w:lang w:val="en-US" w:eastAsia="zh-CN"/>
              </w:rPr>
            </w:pPr>
          </w:p>
        </w:tc>
        <w:tc>
          <w:tcPr>
            <w:tcW w:w="730"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hint="eastAsia"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特别</w:t>
            </w:r>
            <w:r>
              <w:rPr>
                <w:rFonts w:hint="default" w:ascii="仿宋_GB2312" w:hAnsi="仿宋_GB2312" w:eastAsia="仿宋_GB2312" w:cs="仿宋_GB2312"/>
                <w:color w:val="000000"/>
                <w:kern w:val="0"/>
                <w:sz w:val="21"/>
                <w:szCs w:val="21"/>
                <w:lang w:val="en-US" w:eastAsia="zh-CN"/>
              </w:rPr>
              <w:br w:type="textWrapping"/>
            </w:r>
            <w:r>
              <w:rPr>
                <w:rFonts w:hint="default" w:ascii="仿宋_GB2312" w:hAnsi="仿宋_GB2312" w:eastAsia="仿宋_GB2312" w:cs="仿宋_GB2312"/>
                <w:color w:val="000000"/>
                <w:kern w:val="0"/>
                <w:sz w:val="21"/>
                <w:szCs w:val="21"/>
                <w:lang w:val="en-US" w:eastAsia="zh-CN"/>
              </w:rPr>
              <w:t>严重</w:t>
            </w:r>
          </w:p>
        </w:tc>
        <w:tc>
          <w:tcPr>
            <w:tcW w:w="2748"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hint="eastAsia"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内陆非法捕捞渔获物一百公斤以上或价值一千元以上；非法捕捞田螺、河蚌等贝类水产品五百公斤以上</w:t>
            </w:r>
          </w:p>
        </w:tc>
        <w:tc>
          <w:tcPr>
            <w:tcW w:w="5472" w:type="dxa"/>
            <w:gridSpan w:val="2"/>
            <w:tcBorders>
              <w:tl2br w:val="nil"/>
              <w:tr2bl w:val="nil"/>
            </w:tcBorders>
            <w:tcMar>
              <w:top w:w="57" w:type="dxa"/>
              <w:left w:w="57" w:type="dxa"/>
              <w:bottom w:w="57" w:type="dxa"/>
              <w:right w:w="57" w:type="dxa"/>
            </w:tcMar>
            <w:vAlign w:val="center"/>
          </w:tcPr>
          <w:p>
            <w:pPr>
              <w:widowControl/>
              <w:adjustRightInd w:val="0"/>
              <w:snapToGrid w:val="0"/>
              <w:textAlignment w:val="center"/>
              <w:rPr>
                <w:rFonts w:hint="eastAsia"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没收渔获物和违法所得，处五千元以上一万元以下罚款，没收渔具，吊销捕捞许可证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77" w:hRule="atLeast"/>
          <w:jc w:val="center"/>
        </w:trPr>
        <w:tc>
          <w:tcPr>
            <w:tcW w:w="421" w:type="dxa"/>
            <w:vMerge w:val="restart"/>
            <w:tcBorders>
              <w:tl2br w:val="nil"/>
              <w:tr2bl w:val="nil"/>
            </w:tcBorders>
            <w:tcMar>
              <w:top w:w="57" w:type="dxa"/>
              <w:left w:w="57" w:type="dxa"/>
              <w:bottom w:w="57" w:type="dxa"/>
              <w:right w:w="57" w:type="dxa"/>
            </w:tcMar>
            <w:vAlign w:val="center"/>
          </w:tcPr>
          <w:p>
            <w:pPr>
              <w:widowControl/>
              <w:adjustRightInd w:val="0"/>
              <w:snapToGrid w:val="0"/>
              <w:textAlignment w:val="center"/>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3</w:t>
            </w:r>
          </w:p>
        </w:tc>
        <w:tc>
          <w:tcPr>
            <w:tcW w:w="1098" w:type="dxa"/>
            <w:vMerge w:val="restart"/>
            <w:tcBorders>
              <w:tl2br w:val="nil"/>
              <w:tr2bl w:val="nil"/>
            </w:tcBorders>
            <w:tcMar>
              <w:top w:w="57" w:type="dxa"/>
              <w:left w:w="57" w:type="dxa"/>
              <w:bottom w:w="57" w:type="dxa"/>
              <w:right w:w="57" w:type="dxa"/>
            </w:tcMar>
            <w:vAlign w:val="center"/>
          </w:tcPr>
          <w:p>
            <w:pPr>
              <w:widowControl/>
              <w:adjustRightInd w:val="0"/>
              <w:snapToGrid w:val="0"/>
              <w:textAlignment w:val="center"/>
              <w:rPr>
                <w:rFonts w:hint="default"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使用禁用的渔具、</w:t>
            </w:r>
            <w:r>
              <w:rPr>
                <w:rFonts w:hint="default" w:ascii="仿宋_GB2312" w:hAnsi="仿宋_GB2312" w:eastAsia="仿宋_GB2312" w:cs="仿宋_GB2312"/>
                <w:color w:val="000000"/>
                <w:kern w:val="0"/>
                <w:sz w:val="21"/>
                <w:szCs w:val="21"/>
                <w:lang w:val="en-US" w:eastAsia="zh-CN"/>
              </w:rPr>
              <w:br w:type="textWrapping"/>
            </w:r>
            <w:r>
              <w:rPr>
                <w:rFonts w:hint="default" w:ascii="仿宋_GB2312" w:hAnsi="仿宋_GB2312" w:eastAsia="仿宋_GB2312" w:cs="仿宋_GB2312"/>
                <w:color w:val="000000"/>
                <w:kern w:val="0"/>
                <w:sz w:val="21"/>
                <w:szCs w:val="21"/>
                <w:lang w:val="en-US" w:eastAsia="zh-CN"/>
              </w:rPr>
              <w:t>捕捞方法进行捕捞</w:t>
            </w:r>
          </w:p>
        </w:tc>
        <w:tc>
          <w:tcPr>
            <w:tcW w:w="3531" w:type="dxa"/>
            <w:vMerge w:val="restart"/>
            <w:tcBorders>
              <w:tl2br w:val="nil"/>
              <w:tr2bl w:val="nil"/>
            </w:tcBorders>
            <w:tcMar>
              <w:top w:w="57" w:type="dxa"/>
              <w:left w:w="57" w:type="dxa"/>
              <w:bottom w:w="57" w:type="dxa"/>
              <w:right w:w="57" w:type="dxa"/>
            </w:tcMar>
            <w:vAlign w:val="center"/>
          </w:tcPr>
          <w:p>
            <w:pPr>
              <w:widowControl/>
              <w:adjustRightInd w:val="0"/>
              <w:snapToGrid w:val="0"/>
              <w:textAlignment w:val="center"/>
              <w:rPr>
                <w:rFonts w:hint="eastAsia"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中华人民共和国渔业法》第三十八条第一款，使用炸鱼、毒鱼、电鱼等破坏渔业资源方法进行捕捞的，违反关于禁渔区、禁渔期的规定进行捕捞的，或者使用禁用的渔具、捕捞方法和小于最小网目尺寸的网具进行捕捞或者渔获物中幼鱼超过规定比例的，没收渔获物和违法所得，处五万元以下的罚款；情节严重的，没收渔具，吊销捕捞许可证；情节特别严重的，可以没收渔船；构成犯罪的，依法追究刑事责任。</w:t>
            </w:r>
          </w:p>
        </w:tc>
        <w:tc>
          <w:tcPr>
            <w:tcW w:w="730" w:type="dxa"/>
            <w:vMerge w:val="restart"/>
            <w:tcBorders>
              <w:tl2br w:val="nil"/>
              <w:tr2bl w:val="nil"/>
            </w:tcBorders>
            <w:tcMar>
              <w:top w:w="57" w:type="dxa"/>
              <w:left w:w="57" w:type="dxa"/>
              <w:bottom w:w="57" w:type="dxa"/>
              <w:right w:w="57" w:type="dxa"/>
            </w:tcMar>
            <w:vAlign w:val="center"/>
          </w:tcPr>
          <w:p>
            <w:pPr>
              <w:widowControl/>
              <w:adjustRightInd w:val="0"/>
              <w:snapToGrid w:val="0"/>
              <w:textAlignment w:val="center"/>
              <w:rPr>
                <w:rFonts w:hint="eastAsia"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严重</w:t>
            </w:r>
          </w:p>
        </w:tc>
        <w:tc>
          <w:tcPr>
            <w:tcW w:w="2748"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hint="eastAsia"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br w:type="textWrapping"/>
            </w:r>
            <w:r>
              <w:rPr>
                <w:rFonts w:hint="default" w:ascii="仿宋_GB2312" w:hAnsi="仿宋_GB2312" w:eastAsia="仿宋_GB2312" w:cs="仿宋_GB2312"/>
                <w:color w:val="000000"/>
                <w:kern w:val="0"/>
                <w:sz w:val="21"/>
                <w:szCs w:val="21"/>
                <w:lang w:val="en-US" w:eastAsia="zh-CN"/>
              </w:rPr>
              <w:t>内陆非法捕捞渔获物一百公斤以下或价值一千元以下；非法捕捞田螺、河蚌等贝类水产品五百公斤以下</w:t>
            </w:r>
          </w:p>
        </w:tc>
        <w:tc>
          <w:tcPr>
            <w:tcW w:w="2747" w:type="dxa"/>
            <w:tcBorders>
              <w:bottom w:val="single" w:color="auto" w:sz="4" w:space="0"/>
              <w:tl2br w:val="nil"/>
              <w:tr2bl w:val="nil"/>
            </w:tcBorders>
            <w:tcMar>
              <w:top w:w="57" w:type="dxa"/>
              <w:left w:w="57" w:type="dxa"/>
              <w:bottom w:w="57" w:type="dxa"/>
              <w:right w:w="57" w:type="dxa"/>
            </w:tcMar>
            <w:vAlign w:val="center"/>
          </w:tcPr>
          <w:p>
            <w:pPr>
              <w:widowControl/>
              <w:adjustRightInd w:val="0"/>
              <w:snapToGrid w:val="0"/>
              <w:textAlignment w:val="center"/>
              <w:rPr>
                <w:rFonts w:hint="eastAsia"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br w:type="textWrapping"/>
            </w:r>
            <w:r>
              <w:rPr>
                <w:rFonts w:hint="default" w:ascii="仿宋_GB2312" w:hAnsi="仿宋_GB2312" w:eastAsia="仿宋_GB2312" w:cs="仿宋_GB2312"/>
                <w:color w:val="000000"/>
                <w:kern w:val="0"/>
                <w:sz w:val="21"/>
                <w:szCs w:val="21"/>
                <w:lang w:val="en-US" w:eastAsia="zh-CN"/>
              </w:rPr>
              <w:t>内陆非法捕捞渔获物二十公斤以下或价值二百元以下；非法捕捞田螺、河蚌等贝类水产品二百公斤以下</w:t>
            </w:r>
          </w:p>
        </w:tc>
        <w:tc>
          <w:tcPr>
            <w:tcW w:w="2725"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hint="eastAsia"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没收渔获物和违法所得，处五千元以下罚款，没收渔具，吊销捕捞许可证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10" w:hRule="atLeast"/>
          <w:jc w:val="center"/>
        </w:trPr>
        <w:tc>
          <w:tcPr>
            <w:tcW w:w="421" w:type="dxa"/>
            <w:vMerge w:val="continue"/>
            <w:tcBorders>
              <w:tl2br w:val="nil"/>
              <w:tr2bl w:val="nil"/>
            </w:tcBorders>
            <w:tcMar>
              <w:top w:w="57" w:type="dxa"/>
              <w:left w:w="57" w:type="dxa"/>
              <w:bottom w:w="57" w:type="dxa"/>
              <w:right w:w="57" w:type="dxa"/>
            </w:tcMar>
            <w:vAlign w:val="center"/>
          </w:tcPr>
          <w:p>
            <w:pPr>
              <w:widowControl/>
              <w:adjustRightInd w:val="0"/>
              <w:snapToGrid w:val="0"/>
              <w:textAlignment w:val="center"/>
              <w:rPr>
                <w:rFonts w:hint="default" w:ascii="仿宋_GB2312" w:hAnsi="仿宋_GB2312" w:eastAsia="仿宋_GB2312" w:cs="仿宋_GB2312"/>
                <w:color w:val="000000"/>
                <w:kern w:val="0"/>
                <w:sz w:val="24"/>
                <w:szCs w:val="24"/>
                <w:lang w:val="en-US" w:eastAsia="zh-CN"/>
              </w:rPr>
            </w:pPr>
          </w:p>
        </w:tc>
        <w:tc>
          <w:tcPr>
            <w:tcW w:w="1098" w:type="dxa"/>
            <w:vMerge w:val="continue"/>
            <w:tcBorders>
              <w:tl2br w:val="nil"/>
              <w:tr2bl w:val="nil"/>
            </w:tcBorders>
            <w:tcMar>
              <w:top w:w="57" w:type="dxa"/>
              <w:left w:w="57" w:type="dxa"/>
              <w:bottom w:w="57" w:type="dxa"/>
              <w:right w:w="57" w:type="dxa"/>
            </w:tcMar>
            <w:vAlign w:val="center"/>
          </w:tcPr>
          <w:p>
            <w:pPr>
              <w:widowControl/>
              <w:adjustRightInd w:val="0"/>
              <w:snapToGrid w:val="0"/>
              <w:textAlignment w:val="center"/>
              <w:rPr>
                <w:rFonts w:hint="default" w:ascii="仿宋_GB2312" w:hAnsi="仿宋_GB2312" w:eastAsia="仿宋_GB2312" w:cs="仿宋_GB2312"/>
                <w:color w:val="000000"/>
                <w:kern w:val="0"/>
                <w:sz w:val="21"/>
                <w:szCs w:val="21"/>
                <w:lang w:val="en-US" w:eastAsia="zh-CN"/>
              </w:rPr>
            </w:pPr>
          </w:p>
        </w:tc>
        <w:tc>
          <w:tcPr>
            <w:tcW w:w="3531" w:type="dxa"/>
            <w:vMerge w:val="continue"/>
            <w:tcBorders>
              <w:tl2br w:val="nil"/>
              <w:tr2bl w:val="nil"/>
            </w:tcBorders>
            <w:tcMar>
              <w:top w:w="57" w:type="dxa"/>
              <w:left w:w="57" w:type="dxa"/>
              <w:bottom w:w="57" w:type="dxa"/>
              <w:right w:w="57" w:type="dxa"/>
            </w:tcMar>
            <w:vAlign w:val="center"/>
          </w:tcPr>
          <w:p>
            <w:pPr>
              <w:widowControl/>
              <w:adjustRightInd w:val="0"/>
              <w:snapToGrid w:val="0"/>
              <w:textAlignment w:val="center"/>
              <w:rPr>
                <w:rFonts w:hint="eastAsia" w:ascii="仿宋_GB2312" w:hAnsi="仿宋_GB2312" w:eastAsia="仿宋_GB2312" w:cs="仿宋_GB2312"/>
                <w:color w:val="000000"/>
                <w:kern w:val="0"/>
                <w:sz w:val="21"/>
                <w:szCs w:val="21"/>
                <w:lang w:val="en-US" w:eastAsia="zh-CN"/>
              </w:rPr>
            </w:pPr>
          </w:p>
        </w:tc>
        <w:tc>
          <w:tcPr>
            <w:tcW w:w="730" w:type="dxa"/>
            <w:vMerge w:val="continue"/>
            <w:tcBorders>
              <w:tl2br w:val="nil"/>
              <w:tr2bl w:val="nil"/>
            </w:tcBorders>
            <w:tcMar>
              <w:top w:w="57" w:type="dxa"/>
              <w:left w:w="57" w:type="dxa"/>
              <w:bottom w:w="57" w:type="dxa"/>
              <w:right w:w="57" w:type="dxa"/>
            </w:tcMar>
            <w:vAlign w:val="center"/>
          </w:tcPr>
          <w:p>
            <w:pPr>
              <w:widowControl/>
              <w:adjustRightInd w:val="0"/>
              <w:snapToGrid w:val="0"/>
              <w:textAlignment w:val="center"/>
              <w:rPr>
                <w:rFonts w:hint="eastAsia" w:ascii="仿宋_GB2312" w:hAnsi="仿宋_GB2312" w:eastAsia="仿宋_GB2312" w:cs="仿宋_GB2312"/>
                <w:color w:val="000000"/>
                <w:kern w:val="0"/>
                <w:sz w:val="21"/>
                <w:szCs w:val="21"/>
                <w:lang w:val="en-US" w:eastAsia="zh-CN"/>
              </w:rPr>
            </w:pPr>
          </w:p>
        </w:tc>
        <w:tc>
          <w:tcPr>
            <w:tcW w:w="2748" w:type="dxa"/>
            <w:vMerge w:val="restart"/>
            <w:tcBorders>
              <w:tl2br w:val="nil"/>
              <w:tr2bl w:val="nil"/>
            </w:tcBorders>
            <w:tcMar>
              <w:top w:w="57" w:type="dxa"/>
              <w:left w:w="57" w:type="dxa"/>
              <w:bottom w:w="57" w:type="dxa"/>
              <w:right w:w="57" w:type="dxa"/>
            </w:tcMar>
            <w:vAlign w:val="center"/>
          </w:tcPr>
          <w:p>
            <w:pPr>
              <w:widowControl/>
              <w:adjustRightInd w:val="0"/>
              <w:snapToGrid w:val="0"/>
              <w:textAlignment w:val="center"/>
              <w:rPr>
                <w:rFonts w:hint="eastAsia" w:ascii="仿宋_GB2312" w:hAnsi="仿宋_GB2312" w:eastAsia="仿宋_GB2312" w:cs="仿宋_GB2312"/>
                <w:color w:val="000000"/>
                <w:kern w:val="0"/>
                <w:sz w:val="21"/>
                <w:szCs w:val="21"/>
                <w:lang w:val="en-US" w:eastAsia="zh-CN"/>
              </w:rPr>
            </w:pPr>
          </w:p>
        </w:tc>
        <w:tc>
          <w:tcPr>
            <w:tcW w:w="2747" w:type="dxa"/>
            <w:tcBorders>
              <w:top w:val="single" w:color="auto" w:sz="4" w:space="0"/>
              <w:bottom w:val="single" w:color="auto" w:sz="4" w:space="0"/>
              <w:tl2br w:val="nil"/>
              <w:tr2bl w:val="nil"/>
            </w:tcBorders>
            <w:tcMar>
              <w:top w:w="57" w:type="dxa"/>
              <w:left w:w="57" w:type="dxa"/>
              <w:bottom w:w="57" w:type="dxa"/>
              <w:right w:w="57" w:type="dxa"/>
            </w:tcMar>
            <w:vAlign w:val="center"/>
          </w:tcPr>
          <w:p>
            <w:pPr>
              <w:widowControl/>
              <w:adjustRightInd w:val="0"/>
              <w:snapToGrid w:val="0"/>
              <w:textAlignment w:val="center"/>
              <w:rPr>
                <w:rFonts w:hint="eastAsia"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内陆非法捕捞渔获物二十公斤以上五十公斤以下或价值二百元以上五百元以下；非法捕捞田螺、河蚌等贝类水产品二百公斤以上三百公斤以下</w:t>
            </w:r>
          </w:p>
        </w:tc>
        <w:tc>
          <w:tcPr>
            <w:tcW w:w="2725"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hint="eastAsia"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 xml:space="preserve"> 没收渔获物和违法所得，处五千元以上一万元以下罚款，没收渔具，吊销捕捞许可证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16" w:hRule="atLeast"/>
          <w:jc w:val="center"/>
        </w:trPr>
        <w:tc>
          <w:tcPr>
            <w:tcW w:w="421" w:type="dxa"/>
            <w:vMerge w:val="continue"/>
            <w:tcBorders>
              <w:tl2br w:val="nil"/>
              <w:tr2bl w:val="nil"/>
            </w:tcBorders>
            <w:tcMar>
              <w:top w:w="57" w:type="dxa"/>
              <w:left w:w="57" w:type="dxa"/>
              <w:bottom w:w="57" w:type="dxa"/>
              <w:right w:w="57" w:type="dxa"/>
            </w:tcMar>
            <w:vAlign w:val="center"/>
          </w:tcPr>
          <w:p>
            <w:pPr>
              <w:widowControl/>
              <w:adjustRightInd w:val="0"/>
              <w:snapToGrid w:val="0"/>
              <w:textAlignment w:val="center"/>
              <w:rPr>
                <w:rFonts w:hint="default" w:ascii="仿宋_GB2312" w:hAnsi="仿宋_GB2312" w:eastAsia="仿宋_GB2312" w:cs="仿宋_GB2312"/>
                <w:color w:val="000000"/>
                <w:kern w:val="0"/>
                <w:sz w:val="24"/>
                <w:szCs w:val="24"/>
                <w:lang w:val="en-US" w:eastAsia="zh-CN"/>
              </w:rPr>
            </w:pPr>
          </w:p>
        </w:tc>
        <w:tc>
          <w:tcPr>
            <w:tcW w:w="1098" w:type="dxa"/>
            <w:vMerge w:val="continue"/>
            <w:tcBorders>
              <w:tl2br w:val="nil"/>
              <w:tr2bl w:val="nil"/>
            </w:tcBorders>
            <w:tcMar>
              <w:top w:w="57" w:type="dxa"/>
              <w:left w:w="57" w:type="dxa"/>
              <w:bottom w:w="57" w:type="dxa"/>
              <w:right w:w="57" w:type="dxa"/>
            </w:tcMar>
            <w:vAlign w:val="center"/>
          </w:tcPr>
          <w:p>
            <w:pPr>
              <w:widowControl/>
              <w:adjustRightInd w:val="0"/>
              <w:snapToGrid w:val="0"/>
              <w:textAlignment w:val="center"/>
              <w:rPr>
                <w:rFonts w:hint="default" w:ascii="仿宋_GB2312" w:hAnsi="仿宋_GB2312" w:eastAsia="仿宋_GB2312" w:cs="仿宋_GB2312"/>
                <w:color w:val="000000"/>
                <w:kern w:val="0"/>
                <w:sz w:val="21"/>
                <w:szCs w:val="21"/>
                <w:lang w:val="en-US" w:eastAsia="zh-CN"/>
              </w:rPr>
            </w:pPr>
          </w:p>
        </w:tc>
        <w:tc>
          <w:tcPr>
            <w:tcW w:w="3531" w:type="dxa"/>
            <w:vMerge w:val="continue"/>
            <w:tcBorders>
              <w:tl2br w:val="nil"/>
              <w:tr2bl w:val="nil"/>
            </w:tcBorders>
            <w:tcMar>
              <w:top w:w="57" w:type="dxa"/>
              <w:left w:w="57" w:type="dxa"/>
              <w:bottom w:w="57" w:type="dxa"/>
              <w:right w:w="57" w:type="dxa"/>
            </w:tcMar>
            <w:vAlign w:val="center"/>
          </w:tcPr>
          <w:p>
            <w:pPr>
              <w:widowControl/>
              <w:adjustRightInd w:val="0"/>
              <w:snapToGrid w:val="0"/>
              <w:textAlignment w:val="center"/>
              <w:rPr>
                <w:rFonts w:hint="eastAsia" w:ascii="仿宋_GB2312" w:hAnsi="仿宋_GB2312" w:eastAsia="仿宋_GB2312" w:cs="仿宋_GB2312"/>
                <w:color w:val="000000"/>
                <w:kern w:val="0"/>
                <w:sz w:val="21"/>
                <w:szCs w:val="21"/>
                <w:lang w:val="en-US" w:eastAsia="zh-CN"/>
              </w:rPr>
            </w:pPr>
          </w:p>
        </w:tc>
        <w:tc>
          <w:tcPr>
            <w:tcW w:w="730" w:type="dxa"/>
            <w:vMerge w:val="continue"/>
            <w:tcBorders>
              <w:tl2br w:val="nil"/>
              <w:tr2bl w:val="nil"/>
            </w:tcBorders>
            <w:tcMar>
              <w:top w:w="57" w:type="dxa"/>
              <w:left w:w="57" w:type="dxa"/>
              <w:bottom w:w="57" w:type="dxa"/>
              <w:right w:w="57" w:type="dxa"/>
            </w:tcMar>
            <w:vAlign w:val="center"/>
          </w:tcPr>
          <w:p>
            <w:pPr>
              <w:widowControl/>
              <w:adjustRightInd w:val="0"/>
              <w:snapToGrid w:val="0"/>
              <w:textAlignment w:val="center"/>
              <w:rPr>
                <w:rFonts w:hint="eastAsia" w:ascii="仿宋_GB2312" w:hAnsi="仿宋_GB2312" w:eastAsia="仿宋_GB2312" w:cs="仿宋_GB2312"/>
                <w:color w:val="000000"/>
                <w:kern w:val="0"/>
                <w:sz w:val="21"/>
                <w:szCs w:val="21"/>
                <w:lang w:val="en-US" w:eastAsia="zh-CN"/>
              </w:rPr>
            </w:pPr>
          </w:p>
        </w:tc>
        <w:tc>
          <w:tcPr>
            <w:tcW w:w="2748" w:type="dxa"/>
            <w:vMerge w:val="continue"/>
            <w:tcBorders>
              <w:tl2br w:val="nil"/>
              <w:tr2bl w:val="nil"/>
            </w:tcBorders>
            <w:tcMar>
              <w:top w:w="57" w:type="dxa"/>
              <w:left w:w="57" w:type="dxa"/>
              <w:bottom w:w="57" w:type="dxa"/>
              <w:right w:w="57" w:type="dxa"/>
            </w:tcMar>
            <w:vAlign w:val="center"/>
          </w:tcPr>
          <w:p>
            <w:pPr>
              <w:widowControl/>
              <w:adjustRightInd w:val="0"/>
              <w:snapToGrid w:val="0"/>
              <w:textAlignment w:val="center"/>
              <w:rPr>
                <w:rFonts w:hint="eastAsia" w:ascii="仿宋_GB2312" w:hAnsi="仿宋_GB2312" w:eastAsia="仿宋_GB2312" w:cs="仿宋_GB2312"/>
                <w:color w:val="000000"/>
                <w:kern w:val="0"/>
                <w:sz w:val="21"/>
                <w:szCs w:val="21"/>
                <w:lang w:val="en-US" w:eastAsia="zh-CN"/>
              </w:rPr>
            </w:pPr>
          </w:p>
        </w:tc>
        <w:tc>
          <w:tcPr>
            <w:tcW w:w="2747" w:type="dxa"/>
            <w:tcBorders>
              <w:top w:val="single" w:color="auto" w:sz="4" w:space="0"/>
              <w:tl2br w:val="nil"/>
              <w:tr2bl w:val="nil"/>
            </w:tcBorders>
            <w:tcMar>
              <w:top w:w="57" w:type="dxa"/>
              <w:left w:w="57" w:type="dxa"/>
              <w:bottom w:w="57" w:type="dxa"/>
              <w:right w:w="57" w:type="dxa"/>
            </w:tcMar>
            <w:vAlign w:val="center"/>
          </w:tcPr>
          <w:p>
            <w:pPr>
              <w:widowControl/>
              <w:adjustRightInd w:val="0"/>
              <w:snapToGrid w:val="0"/>
              <w:textAlignment w:val="center"/>
              <w:rPr>
                <w:rFonts w:hint="eastAsia"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内陆非法捕捞渔获物五十公斤以上一百公斤以下或价值五百元以上一千元以下；非法捕捞田螺、河蚌等贝类水产品三百公斤以上五百公斤以下</w:t>
            </w:r>
          </w:p>
        </w:tc>
        <w:tc>
          <w:tcPr>
            <w:tcW w:w="2725"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hint="eastAsia"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没收渔获物和违法所得，处一万元以上二万元以下罚款，没收渔具，吊销捕捞许可证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98" w:hRule="atLeast"/>
          <w:jc w:val="center"/>
        </w:trPr>
        <w:tc>
          <w:tcPr>
            <w:tcW w:w="421" w:type="dxa"/>
            <w:vMerge w:val="continue"/>
            <w:tcBorders>
              <w:tl2br w:val="nil"/>
              <w:tr2bl w:val="nil"/>
            </w:tcBorders>
            <w:tcMar>
              <w:top w:w="57" w:type="dxa"/>
              <w:left w:w="57" w:type="dxa"/>
              <w:bottom w:w="57" w:type="dxa"/>
              <w:right w:w="57" w:type="dxa"/>
            </w:tcMar>
            <w:vAlign w:val="center"/>
          </w:tcPr>
          <w:p>
            <w:pPr>
              <w:widowControl/>
              <w:adjustRightInd w:val="0"/>
              <w:snapToGrid w:val="0"/>
              <w:textAlignment w:val="center"/>
              <w:rPr>
                <w:rFonts w:hint="default" w:ascii="仿宋_GB2312" w:hAnsi="仿宋_GB2312" w:eastAsia="仿宋_GB2312" w:cs="仿宋_GB2312"/>
                <w:color w:val="000000"/>
                <w:kern w:val="0"/>
                <w:sz w:val="24"/>
                <w:szCs w:val="24"/>
                <w:lang w:val="en-US" w:eastAsia="zh-CN"/>
              </w:rPr>
            </w:pPr>
          </w:p>
        </w:tc>
        <w:tc>
          <w:tcPr>
            <w:tcW w:w="1098" w:type="dxa"/>
            <w:vMerge w:val="continue"/>
            <w:tcBorders>
              <w:tl2br w:val="nil"/>
              <w:tr2bl w:val="nil"/>
            </w:tcBorders>
            <w:tcMar>
              <w:top w:w="57" w:type="dxa"/>
              <w:left w:w="57" w:type="dxa"/>
              <w:bottom w:w="57" w:type="dxa"/>
              <w:right w:w="57" w:type="dxa"/>
            </w:tcMar>
            <w:vAlign w:val="center"/>
          </w:tcPr>
          <w:p>
            <w:pPr>
              <w:widowControl/>
              <w:adjustRightInd w:val="0"/>
              <w:snapToGrid w:val="0"/>
              <w:textAlignment w:val="center"/>
              <w:rPr>
                <w:rFonts w:hint="default" w:ascii="仿宋_GB2312" w:hAnsi="仿宋_GB2312" w:eastAsia="仿宋_GB2312" w:cs="仿宋_GB2312"/>
                <w:color w:val="000000"/>
                <w:kern w:val="0"/>
                <w:sz w:val="21"/>
                <w:szCs w:val="21"/>
                <w:lang w:val="en-US" w:eastAsia="zh-CN"/>
              </w:rPr>
            </w:pPr>
          </w:p>
        </w:tc>
        <w:tc>
          <w:tcPr>
            <w:tcW w:w="3531" w:type="dxa"/>
            <w:vMerge w:val="continue"/>
            <w:tcBorders>
              <w:tl2br w:val="nil"/>
              <w:tr2bl w:val="nil"/>
            </w:tcBorders>
            <w:tcMar>
              <w:top w:w="57" w:type="dxa"/>
              <w:left w:w="57" w:type="dxa"/>
              <w:bottom w:w="57" w:type="dxa"/>
              <w:right w:w="57" w:type="dxa"/>
            </w:tcMar>
            <w:vAlign w:val="center"/>
          </w:tcPr>
          <w:p>
            <w:pPr>
              <w:widowControl/>
              <w:adjustRightInd w:val="0"/>
              <w:snapToGrid w:val="0"/>
              <w:textAlignment w:val="center"/>
              <w:rPr>
                <w:rFonts w:hint="eastAsia" w:ascii="仿宋_GB2312" w:hAnsi="仿宋_GB2312" w:eastAsia="仿宋_GB2312" w:cs="仿宋_GB2312"/>
                <w:color w:val="000000"/>
                <w:kern w:val="0"/>
                <w:sz w:val="21"/>
                <w:szCs w:val="21"/>
                <w:lang w:val="en-US" w:eastAsia="zh-CN"/>
              </w:rPr>
            </w:pPr>
          </w:p>
        </w:tc>
        <w:tc>
          <w:tcPr>
            <w:tcW w:w="730"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hint="eastAsia"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特别</w:t>
            </w:r>
            <w:r>
              <w:rPr>
                <w:rFonts w:hint="default" w:ascii="仿宋_GB2312" w:hAnsi="仿宋_GB2312" w:eastAsia="仿宋_GB2312" w:cs="仿宋_GB2312"/>
                <w:color w:val="000000"/>
                <w:kern w:val="0"/>
                <w:sz w:val="21"/>
                <w:szCs w:val="21"/>
                <w:lang w:val="en-US" w:eastAsia="zh-CN"/>
              </w:rPr>
              <w:br w:type="textWrapping"/>
            </w:r>
            <w:r>
              <w:rPr>
                <w:rFonts w:hint="default" w:ascii="仿宋_GB2312" w:hAnsi="仿宋_GB2312" w:eastAsia="仿宋_GB2312" w:cs="仿宋_GB2312"/>
                <w:color w:val="000000"/>
                <w:kern w:val="0"/>
                <w:sz w:val="21"/>
                <w:szCs w:val="21"/>
                <w:lang w:val="en-US" w:eastAsia="zh-CN"/>
              </w:rPr>
              <w:t>严重</w:t>
            </w:r>
          </w:p>
        </w:tc>
        <w:tc>
          <w:tcPr>
            <w:tcW w:w="2748"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hint="eastAsia"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内陆非法捕捞渔获物一百公斤以上或价值一千元以上；非法捕捞田螺、河蚌等贝类水产品五百公斤以上</w:t>
            </w:r>
          </w:p>
        </w:tc>
        <w:tc>
          <w:tcPr>
            <w:tcW w:w="5472" w:type="dxa"/>
            <w:gridSpan w:val="2"/>
            <w:tcBorders>
              <w:tl2br w:val="nil"/>
              <w:tr2bl w:val="nil"/>
            </w:tcBorders>
            <w:tcMar>
              <w:top w:w="57" w:type="dxa"/>
              <w:left w:w="57" w:type="dxa"/>
              <w:bottom w:w="57" w:type="dxa"/>
              <w:right w:w="57" w:type="dxa"/>
            </w:tcMar>
            <w:vAlign w:val="center"/>
          </w:tcPr>
          <w:p>
            <w:pPr>
              <w:widowControl/>
              <w:adjustRightInd w:val="0"/>
              <w:snapToGrid w:val="0"/>
              <w:textAlignment w:val="center"/>
              <w:rPr>
                <w:rFonts w:hint="eastAsia" w:ascii="仿宋_GB2312" w:hAnsi="仿宋_GB2312" w:eastAsia="仿宋_GB2312" w:cs="仿宋_GB2312"/>
                <w:color w:val="000000"/>
                <w:kern w:val="0"/>
                <w:sz w:val="21"/>
                <w:szCs w:val="21"/>
                <w:lang w:val="en-US" w:eastAsia="zh-CN"/>
              </w:rPr>
            </w:pPr>
            <w:r>
              <w:rPr>
                <w:rFonts w:hint="eastAsia" w:ascii="仿宋_GB2312" w:hAnsi="仿宋_GB2312" w:eastAsia="仿宋_GB2312" w:cs="仿宋_GB2312"/>
                <w:color w:val="000000"/>
                <w:kern w:val="0"/>
                <w:sz w:val="21"/>
                <w:szCs w:val="21"/>
                <w:lang w:val="en-US" w:eastAsia="zh-CN"/>
              </w:rPr>
              <w:t>没收渔获物和违法所得，处二万元以上不超过三万元罚款，没收渔具，吊销捕捞许可证，可以没收渔船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jc w:val="center"/>
        </w:trPr>
        <w:tc>
          <w:tcPr>
            <w:tcW w:w="421" w:type="dxa"/>
            <w:vMerge w:val="restart"/>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hint="default"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4</w:t>
            </w:r>
          </w:p>
        </w:tc>
        <w:tc>
          <w:tcPr>
            <w:tcW w:w="1098" w:type="dxa"/>
            <w:vMerge w:val="restart"/>
            <w:tcBorders>
              <w:tl2br w:val="nil"/>
              <w:tr2bl w:val="nil"/>
            </w:tcBorders>
            <w:tcMar>
              <w:top w:w="57" w:type="dxa"/>
              <w:left w:w="57" w:type="dxa"/>
              <w:bottom w:w="57" w:type="dxa"/>
              <w:right w:w="57" w:type="dxa"/>
            </w:tcMar>
            <w:vAlign w:val="center"/>
          </w:tcPr>
          <w:p>
            <w:pPr>
              <w:widowControl/>
              <w:adjustRightInd w:val="0"/>
              <w:snapToGrid w:val="0"/>
              <w:textAlignment w:val="center"/>
              <w:rPr>
                <w:rFonts w:hint="default"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使用小于最小网目尺寸的网具进行捕捞</w:t>
            </w:r>
          </w:p>
        </w:tc>
        <w:tc>
          <w:tcPr>
            <w:tcW w:w="3531" w:type="dxa"/>
            <w:vMerge w:val="restart"/>
            <w:tcBorders>
              <w:tl2br w:val="nil"/>
              <w:tr2bl w:val="nil"/>
            </w:tcBorders>
            <w:tcMar>
              <w:top w:w="57" w:type="dxa"/>
              <w:left w:w="57" w:type="dxa"/>
              <w:bottom w:w="57" w:type="dxa"/>
              <w:right w:w="57" w:type="dxa"/>
            </w:tcMar>
            <w:vAlign w:val="center"/>
          </w:tcPr>
          <w:p>
            <w:pPr>
              <w:widowControl/>
              <w:adjustRightInd w:val="0"/>
              <w:snapToGrid w:val="0"/>
              <w:textAlignment w:val="center"/>
              <w:rPr>
                <w:rFonts w:hint="eastAsia"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中华人民共和国渔业法》第三十八条第一款，使用炸鱼、毒鱼、电鱼等破坏渔业资源方法进行捕捞的，违反关于禁渔区、禁渔期的规定进行捕捞的，或者使用禁用的渔具、捕捞方法和小于最小网目尺寸的网具进行捕捞或者渔获物中幼鱼超过规定比例的，没收渔获物和违法所得，处五万元以下的罚款；情节严重的，没收渔具，吊销捕捞许可证；情节特别严重的，可以没收渔船；构成犯罪的，依法追究刑事责任。</w:t>
            </w:r>
          </w:p>
        </w:tc>
        <w:tc>
          <w:tcPr>
            <w:tcW w:w="730" w:type="dxa"/>
            <w:tcBorders>
              <w:bottom w:val="single" w:color="auto" w:sz="4" w:space="0"/>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hint="eastAsia"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较轻</w:t>
            </w:r>
          </w:p>
        </w:tc>
        <w:tc>
          <w:tcPr>
            <w:tcW w:w="2748" w:type="dxa"/>
            <w:tcBorders>
              <w:bottom w:val="single" w:color="auto" w:sz="4" w:space="0"/>
              <w:tl2br w:val="nil"/>
              <w:tr2bl w:val="nil"/>
            </w:tcBorders>
            <w:tcMar>
              <w:top w:w="57" w:type="dxa"/>
              <w:left w:w="57" w:type="dxa"/>
              <w:bottom w:w="57" w:type="dxa"/>
              <w:right w:w="57" w:type="dxa"/>
            </w:tcMar>
            <w:vAlign w:val="center"/>
          </w:tcPr>
          <w:p>
            <w:pPr>
              <w:widowControl/>
              <w:adjustRightInd w:val="0"/>
              <w:snapToGrid w:val="0"/>
              <w:textAlignment w:val="center"/>
              <w:rPr>
                <w:rFonts w:hint="eastAsia"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内陆非法捕捞渔获物二十公斤以下或价值二百元以下</w:t>
            </w:r>
          </w:p>
        </w:tc>
        <w:tc>
          <w:tcPr>
            <w:tcW w:w="5472" w:type="dxa"/>
            <w:gridSpan w:val="2"/>
            <w:tcBorders>
              <w:bottom w:val="single" w:color="auto" w:sz="4" w:space="0"/>
              <w:tl2br w:val="nil"/>
              <w:tr2bl w:val="nil"/>
            </w:tcBorders>
            <w:tcMar>
              <w:top w:w="57" w:type="dxa"/>
              <w:left w:w="57" w:type="dxa"/>
              <w:bottom w:w="57" w:type="dxa"/>
              <w:right w:w="57" w:type="dxa"/>
            </w:tcMar>
            <w:vAlign w:val="center"/>
          </w:tcPr>
          <w:p>
            <w:pPr>
              <w:widowControl/>
              <w:adjustRightInd w:val="0"/>
              <w:snapToGrid w:val="0"/>
              <w:textAlignment w:val="center"/>
              <w:rPr>
                <w:rFonts w:hint="eastAsia"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没收渔获物和违法所得，处二千元以下罚款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6" w:hRule="atLeast"/>
          <w:jc w:val="center"/>
        </w:trPr>
        <w:tc>
          <w:tcPr>
            <w:tcW w:w="421" w:type="dxa"/>
            <w:vMerge w:val="continue"/>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hint="default" w:ascii="仿宋_GB2312" w:hAnsi="仿宋_GB2312" w:eastAsia="仿宋_GB2312" w:cs="仿宋_GB2312"/>
                <w:color w:val="000000"/>
                <w:kern w:val="0"/>
                <w:sz w:val="24"/>
                <w:szCs w:val="24"/>
                <w:lang w:val="en-US" w:eastAsia="zh-CN"/>
              </w:rPr>
            </w:pPr>
          </w:p>
        </w:tc>
        <w:tc>
          <w:tcPr>
            <w:tcW w:w="1098" w:type="dxa"/>
            <w:vMerge w:val="continue"/>
            <w:tcBorders>
              <w:tl2br w:val="nil"/>
              <w:tr2bl w:val="nil"/>
            </w:tcBorders>
            <w:tcMar>
              <w:top w:w="57" w:type="dxa"/>
              <w:left w:w="57" w:type="dxa"/>
              <w:bottom w:w="57" w:type="dxa"/>
              <w:right w:w="57" w:type="dxa"/>
            </w:tcMar>
            <w:vAlign w:val="center"/>
          </w:tcPr>
          <w:p>
            <w:pPr>
              <w:widowControl/>
              <w:adjustRightInd w:val="0"/>
              <w:snapToGrid w:val="0"/>
              <w:textAlignment w:val="center"/>
              <w:rPr>
                <w:rFonts w:hint="default" w:ascii="仿宋_GB2312" w:hAnsi="仿宋_GB2312" w:eastAsia="仿宋_GB2312" w:cs="仿宋_GB2312"/>
                <w:color w:val="000000"/>
                <w:kern w:val="0"/>
                <w:sz w:val="21"/>
                <w:szCs w:val="21"/>
                <w:lang w:val="en-US" w:eastAsia="zh-CN"/>
              </w:rPr>
            </w:pPr>
          </w:p>
        </w:tc>
        <w:tc>
          <w:tcPr>
            <w:tcW w:w="3531" w:type="dxa"/>
            <w:vMerge w:val="continue"/>
            <w:tcBorders>
              <w:tl2br w:val="nil"/>
              <w:tr2bl w:val="nil"/>
            </w:tcBorders>
            <w:tcMar>
              <w:top w:w="57" w:type="dxa"/>
              <w:left w:w="57" w:type="dxa"/>
              <w:bottom w:w="57" w:type="dxa"/>
              <w:right w:w="57" w:type="dxa"/>
            </w:tcMar>
            <w:vAlign w:val="center"/>
          </w:tcPr>
          <w:p>
            <w:pPr>
              <w:widowControl/>
              <w:adjustRightInd w:val="0"/>
              <w:snapToGrid w:val="0"/>
              <w:textAlignment w:val="center"/>
              <w:rPr>
                <w:rFonts w:hint="eastAsia" w:ascii="仿宋_GB2312" w:hAnsi="仿宋_GB2312" w:eastAsia="仿宋_GB2312" w:cs="仿宋_GB2312"/>
                <w:color w:val="000000"/>
                <w:kern w:val="0"/>
                <w:sz w:val="21"/>
                <w:szCs w:val="21"/>
                <w:lang w:val="en-US" w:eastAsia="zh-CN"/>
              </w:rPr>
            </w:pPr>
          </w:p>
        </w:tc>
        <w:tc>
          <w:tcPr>
            <w:tcW w:w="730" w:type="dxa"/>
            <w:tcBorders>
              <w:top w:val="single" w:color="auto" w:sz="4" w:space="0"/>
              <w:bottom w:val="single" w:color="auto" w:sz="4" w:space="0"/>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hint="eastAsia"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一般</w:t>
            </w:r>
          </w:p>
        </w:tc>
        <w:tc>
          <w:tcPr>
            <w:tcW w:w="2748" w:type="dxa"/>
            <w:tcBorders>
              <w:top w:val="single" w:color="auto" w:sz="4" w:space="0"/>
              <w:bottom w:val="single" w:color="auto" w:sz="4" w:space="0"/>
              <w:tl2br w:val="nil"/>
              <w:tr2bl w:val="nil"/>
            </w:tcBorders>
            <w:tcMar>
              <w:top w:w="57" w:type="dxa"/>
              <w:left w:w="57" w:type="dxa"/>
              <w:bottom w:w="57" w:type="dxa"/>
              <w:right w:w="57" w:type="dxa"/>
            </w:tcMar>
            <w:vAlign w:val="center"/>
          </w:tcPr>
          <w:p>
            <w:pPr>
              <w:widowControl/>
              <w:adjustRightInd w:val="0"/>
              <w:snapToGrid w:val="0"/>
              <w:textAlignment w:val="center"/>
              <w:rPr>
                <w:rFonts w:hint="eastAsia"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内陆非法捕捞渔获物二十公斤以上五十公斤以下或价值二百元以上五百元以下</w:t>
            </w:r>
          </w:p>
        </w:tc>
        <w:tc>
          <w:tcPr>
            <w:tcW w:w="5472" w:type="dxa"/>
            <w:gridSpan w:val="2"/>
            <w:tcBorders>
              <w:top w:val="single" w:color="auto" w:sz="4" w:space="0"/>
              <w:bottom w:val="single" w:color="auto" w:sz="4" w:space="0"/>
              <w:tl2br w:val="nil"/>
              <w:tr2bl w:val="nil"/>
            </w:tcBorders>
            <w:tcMar>
              <w:top w:w="57" w:type="dxa"/>
              <w:left w:w="57" w:type="dxa"/>
              <w:bottom w:w="57" w:type="dxa"/>
              <w:right w:w="57" w:type="dxa"/>
            </w:tcMar>
            <w:vAlign w:val="center"/>
          </w:tcPr>
          <w:p>
            <w:pPr>
              <w:widowControl/>
              <w:adjustRightInd w:val="0"/>
              <w:snapToGrid w:val="0"/>
              <w:textAlignment w:val="center"/>
              <w:rPr>
                <w:rFonts w:hint="eastAsia"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没收渔获物和违法所得，处二千元以上五千元以下罚款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81" w:hRule="atLeast"/>
          <w:jc w:val="center"/>
        </w:trPr>
        <w:tc>
          <w:tcPr>
            <w:tcW w:w="421" w:type="dxa"/>
            <w:vMerge w:val="continue"/>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hint="default" w:ascii="仿宋_GB2312" w:hAnsi="仿宋_GB2312" w:eastAsia="仿宋_GB2312" w:cs="仿宋_GB2312"/>
                <w:color w:val="000000"/>
                <w:kern w:val="0"/>
                <w:sz w:val="24"/>
                <w:szCs w:val="24"/>
                <w:lang w:val="en-US" w:eastAsia="zh-CN"/>
              </w:rPr>
            </w:pPr>
          </w:p>
        </w:tc>
        <w:tc>
          <w:tcPr>
            <w:tcW w:w="1098" w:type="dxa"/>
            <w:vMerge w:val="continue"/>
            <w:tcBorders>
              <w:tl2br w:val="nil"/>
              <w:tr2bl w:val="nil"/>
            </w:tcBorders>
            <w:tcMar>
              <w:top w:w="57" w:type="dxa"/>
              <w:left w:w="57" w:type="dxa"/>
              <w:bottom w:w="57" w:type="dxa"/>
              <w:right w:w="57" w:type="dxa"/>
            </w:tcMar>
            <w:vAlign w:val="center"/>
          </w:tcPr>
          <w:p>
            <w:pPr>
              <w:widowControl/>
              <w:adjustRightInd w:val="0"/>
              <w:snapToGrid w:val="0"/>
              <w:textAlignment w:val="center"/>
              <w:rPr>
                <w:rFonts w:hint="default" w:ascii="仿宋_GB2312" w:hAnsi="仿宋_GB2312" w:eastAsia="仿宋_GB2312" w:cs="仿宋_GB2312"/>
                <w:color w:val="000000"/>
                <w:kern w:val="0"/>
                <w:sz w:val="21"/>
                <w:szCs w:val="21"/>
                <w:lang w:val="en-US" w:eastAsia="zh-CN"/>
              </w:rPr>
            </w:pPr>
          </w:p>
        </w:tc>
        <w:tc>
          <w:tcPr>
            <w:tcW w:w="3531" w:type="dxa"/>
            <w:vMerge w:val="continue"/>
            <w:tcBorders>
              <w:tl2br w:val="nil"/>
              <w:tr2bl w:val="nil"/>
            </w:tcBorders>
            <w:tcMar>
              <w:top w:w="57" w:type="dxa"/>
              <w:left w:w="57" w:type="dxa"/>
              <w:bottom w:w="57" w:type="dxa"/>
              <w:right w:w="57" w:type="dxa"/>
            </w:tcMar>
            <w:vAlign w:val="center"/>
          </w:tcPr>
          <w:p>
            <w:pPr>
              <w:widowControl/>
              <w:adjustRightInd w:val="0"/>
              <w:snapToGrid w:val="0"/>
              <w:textAlignment w:val="center"/>
              <w:rPr>
                <w:rFonts w:hint="eastAsia" w:ascii="仿宋_GB2312" w:hAnsi="仿宋_GB2312" w:eastAsia="仿宋_GB2312" w:cs="仿宋_GB2312"/>
                <w:color w:val="000000"/>
                <w:kern w:val="0"/>
                <w:sz w:val="21"/>
                <w:szCs w:val="21"/>
                <w:lang w:val="en-US" w:eastAsia="zh-CN"/>
              </w:rPr>
            </w:pPr>
          </w:p>
        </w:tc>
        <w:tc>
          <w:tcPr>
            <w:tcW w:w="730" w:type="dxa"/>
            <w:tcBorders>
              <w:top w:val="single" w:color="auto" w:sz="4" w:space="0"/>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hint="eastAsia"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严重</w:t>
            </w:r>
          </w:p>
        </w:tc>
        <w:tc>
          <w:tcPr>
            <w:tcW w:w="2748" w:type="dxa"/>
            <w:tcBorders>
              <w:top w:val="single" w:color="auto" w:sz="4" w:space="0"/>
              <w:tl2br w:val="nil"/>
              <w:tr2bl w:val="nil"/>
            </w:tcBorders>
            <w:tcMar>
              <w:top w:w="57" w:type="dxa"/>
              <w:left w:w="57" w:type="dxa"/>
              <w:bottom w:w="57" w:type="dxa"/>
              <w:right w:w="57" w:type="dxa"/>
            </w:tcMar>
            <w:vAlign w:val="center"/>
          </w:tcPr>
          <w:p>
            <w:pPr>
              <w:widowControl/>
              <w:adjustRightInd w:val="0"/>
              <w:snapToGrid w:val="0"/>
              <w:textAlignment w:val="center"/>
              <w:rPr>
                <w:rFonts w:hint="eastAsia"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br w:type="textWrapping"/>
            </w:r>
            <w:r>
              <w:rPr>
                <w:rFonts w:hint="default" w:ascii="仿宋_GB2312" w:hAnsi="仿宋_GB2312" w:eastAsia="仿宋_GB2312" w:cs="仿宋_GB2312"/>
                <w:color w:val="000000"/>
                <w:kern w:val="0"/>
                <w:sz w:val="21"/>
                <w:szCs w:val="21"/>
                <w:lang w:val="en-US" w:eastAsia="zh-CN"/>
              </w:rPr>
              <w:t>内陆非法捕捞渔获物五十公斤以上一百公斤以下或价值五百元以上一千元以下</w:t>
            </w:r>
          </w:p>
        </w:tc>
        <w:tc>
          <w:tcPr>
            <w:tcW w:w="5472" w:type="dxa"/>
            <w:gridSpan w:val="2"/>
            <w:tcBorders>
              <w:top w:val="single" w:color="auto" w:sz="4" w:space="0"/>
              <w:tl2br w:val="nil"/>
              <w:tr2bl w:val="nil"/>
            </w:tcBorders>
            <w:tcMar>
              <w:top w:w="57" w:type="dxa"/>
              <w:left w:w="57" w:type="dxa"/>
              <w:bottom w:w="57" w:type="dxa"/>
              <w:right w:w="57" w:type="dxa"/>
            </w:tcMar>
            <w:vAlign w:val="center"/>
          </w:tcPr>
          <w:p>
            <w:pPr>
              <w:widowControl/>
              <w:adjustRightInd w:val="0"/>
              <w:snapToGrid w:val="0"/>
              <w:textAlignment w:val="center"/>
              <w:rPr>
                <w:rFonts w:hint="eastAsia"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br w:type="textWrapping"/>
            </w:r>
            <w:r>
              <w:rPr>
                <w:rFonts w:hint="default" w:ascii="仿宋_GB2312" w:hAnsi="仿宋_GB2312" w:eastAsia="仿宋_GB2312" w:cs="仿宋_GB2312"/>
                <w:color w:val="000000"/>
                <w:kern w:val="0"/>
                <w:sz w:val="21"/>
                <w:szCs w:val="21"/>
                <w:lang w:val="en-US" w:eastAsia="zh-CN"/>
              </w:rPr>
              <w:t>没收渔获物和违法所得，处五千元以上一万元以下罚款，没收渔具，吊销捕捞许可证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2" w:hRule="atLeast"/>
          <w:jc w:val="center"/>
        </w:trPr>
        <w:tc>
          <w:tcPr>
            <w:tcW w:w="421" w:type="dxa"/>
            <w:vMerge w:val="continue"/>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hint="default" w:ascii="仿宋_GB2312" w:hAnsi="仿宋_GB2312" w:eastAsia="仿宋_GB2312" w:cs="仿宋_GB2312"/>
                <w:color w:val="000000"/>
                <w:kern w:val="0"/>
                <w:sz w:val="24"/>
                <w:szCs w:val="24"/>
                <w:lang w:val="en-US" w:eastAsia="zh-CN"/>
              </w:rPr>
            </w:pPr>
          </w:p>
        </w:tc>
        <w:tc>
          <w:tcPr>
            <w:tcW w:w="1098" w:type="dxa"/>
            <w:vMerge w:val="continue"/>
            <w:tcBorders>
              <w:tl2br w:val="nil"/>
              <w:tr2bl w:val="nil"/>
            </w:tcBorders>
            <w:tcMar>
              <w:top w:w="57" w:type="dxa"/>
              <w:left w:w="57" w:type="dxa"/>
              <w:bottom w:w="57" w:type="dxa"/>
              <w:right w:w="57" w:type="dxa"/>
            </w:tcMar>
            <w:vAlign w:val="center"/>
          </w:tcPr>
          <w:p>
            <w:pPr>
              <w:widowControl/>
              <w:adjustRightInd w:val="0"/>
              <w:snapToGrid w:val="0"/>
              <w:textAlignment w:val="center"/>
              <w:rPr>
                <w:rFonts w:hint="default" w:ascii="仿宋_GB2312" w:hAnsi="仿宋_GB2312" w:eastAsia="仿宋_GB2312" w:cs="仿宋_GB2312"/>
                <w:color w:val="000000"/>
                <w:kern w:val="0"/>
                <w:sz w:val="21"/>
                <w:szCs w:val="21"/>
                <w:lang w:val="en-US" w:eastAsia="zh-CN"/>
              </w:rPr>
            </w:pPr>
          </w:p>
        </w:tc>
        <w:tc>
          <w:tcPr>
            <w:tcW w:w="3531" w:type="dxa"/>
            <w:vMerge w:val="continue"/>
            <w:tcBorders>
              <w:tl2br w:val="nil"/>
              <w:tr2bl w:val="nil"/>
            </w:tcBorders>
            <w:tcMar>
              <w:top w:w="57" w:type="dxa"/>
              <w:left w:w="57" w:type="dxa"/>
              <w:bottom w:w="57" w:type="dxa"/>
              <w:right w:w="57" w:type="dxa"/>
            </w:tcMar>
            <w:vAlign w:val="center"/>
          </w:tcPr>
          <w:p>
            <w:pPr>
              <w:widowControl/>
              <w:adjustRightInd w:val="0"/>
              <w:snapToGrid w:val="0"/>
              <w:textAlignment w:val="center"/>
              <w:rPr>
                <w:rFonts w:hint="eastAsia" w:ascii="仿宋_GB2312" w:hAnsi="仿宋_GB2312" w:eastAsia="仿宋_GB2312" w:cs="仿宋_GB2312"/>
                <w:color w:val="000000"/>
                <w:kern w:val="0"/>
                <w:sz w:val="21"/>
                <w:szCs w:val="21"/>
                <w:lang w:val="en-US" w:eastAsia="zh-CN"/>
              </w:rPr>
            </w:pPr>
          </w:p>
        </w:tc>
        <w:tc>
          <w:tcPr>
            <w:tcW w:w="730"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hint="eastAsia"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特别</w:t>
            </w:r>
            <w:r>
              <w:rPr>
                <w:rFonts w:hint="default" w:ascii="仿宋_GB2312" w:hAnsi="仿宋_GB2312" w:eastAsia="仿宋_GB2312" w:cs="仿宋_GB2312"/>
                <w:color w:val="000000"/>
                <w:kern w:val="0"/>
                <w:sz w:val="21"/>
                <w:szCs w:val="21"/>
                <w:lang w:val="en-US" w:eastAsia="zh-CN"/>
              </w:rPr>
              <w:br w:type="textWrapping"/>
            </w:r>
            <w:r>
              <w:rPr>
                <w:rFonts w:hint="default" w:ascii="仿宋_GB2312" w:hAnsi="仿宋_GB2312" w:eastAsia="仿宋_GB2312" w:cs="仿宋_GB2312"/>
                <w:color w:val="000000"/>
                <w:kern w:val="0"/>
                <w:sz w:val="21"/>
                <w:szCs w:val="21"/>
                <w:lang w:val="en-US" w:eastAsia="zh-CN"/>
              </w:rPr>
              <w:t>严重</w:t>
            </w:r>
          </w:p>
        </w:tc>
        <w:tc>
          <w:tcPr>
            <w:tcW w:w="2748"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hint="eastAsia"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内陆非法捕捞渔获物一百公斤以上或价值一千元以上</w:t>
            </w:r>
          </w:p>
        </w:tc>
        <w:tc>
          <w:tcPr>
            <w:tcW w:w="5472" w:type="dxa"/>
            <w:gridSpan w:val="2"/>
            <w:tcBorders>
              <w:tl2br w:val="nil"/>
              <w:tr2bl w:val="nil"/>
            </w:tcBorders>
            <w:tcMar>
              <w:top w:w="57" w:type="dxa"/>
              <w:left w:w="57" w:type="dxa"/>
              <w:bottom w:w="57" w:type="dxa"/>
              <w:right w:w="57" w:type="dxa"/>
            </w:tcMar>
            <w:vAlign w:val="center"/>
          </w:tcPr>
          <w:p>
            <w:pPr>
              <w:widowControl/>
              <w:adjustRightInd w:val="0"/>
              <w:snapToGrid w:val="0"/>
              <w:textAlignment w:val="center"/>
              <w:rPr>
                <w:rFonts w:hint="eastAsia"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没收渔获物和违法所得，处一万元以上不超过三万元罚款，没收渔具，吊销捕捞许可证，可以没收渔船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38" w:hRule="atLeast"/>
          <w:jc w:val="center"/>
        </w:trPr>
        <w:tc>
          <w:tcPr>
            <w:tcW w:w="421"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hint="default"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5</w:t>
            </w:r>
          </w:p>
        </w:tc>
        <w:tc>
          <w:tcPr>
            <w:tcW w:w="1098"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hint="default"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在禁渔区或者禁渔期内销售非法捕捞的渔获物</w:t>
            </w:r>
          </w:p>
        </w:tc>
        <w:tc>
          <w:tcPr>
            <w:tcW w:w="3531"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hint="eastAsia"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《中华人民共和国渔业法》</w:t>
            </w:r>
            <w:r>
              <w:rPr>
                <w:rFonts w:hint="default" w:ascii="仿宋_GB2312" w:hAnsi="仿宋_GB2312" w:eastAsia="仿宋_GB2312" w:cs="仿宋_GB2312"/>
                <w:color w:val="000000"/>
                <w:kern w:val="0"/>
                <w:sz w:val="21"/>
                <w:szCs w:val="21"/>
                <w:lang w:val="en-US" w:eastAsia="zh-CN"/>
              </w:rPr>
              <w:br w:type="textWrapping"/>
            </w:r>
            <w:r>
              <w:rPr>
                <w:rFonts w:hint="default" w:ascii="仿宋_GB2312" w:hAnsi="仿宋_GB2312" w:eastAsia="仿宋_GB2312" w:cs="仿宋_GB2312"/>
                <w:color w:val="000000"/>
                <w:kern w:val="0"/>
                <w:sz w:val="21"/>
                <w:szCs w:val="21"/>
                <w:lang w:val="en-US" w:eastAsia="zh-CN"/>
              </w:rPr>
              <w:t>第三十八条第二款在禁渔区或者禁渔期内销售非法捕捞的渔获物的，县级以上地方人民政府渔业行政主管部门应当及时进行调查处理。</w:t>
            </w:r>
          </w:p>
        </w:tc>
        <w:tc>
          <w:tcPr>
            <w:tcW w:w="8950" w:type="dxa"/>
            <w:gridSpan w:val="4"/>
            <w:tcBorders>
              <w:tl2br w:val="nil"/>
              <w:tr2bl w:val="nil"/>
            </w:tcBorders>
            <w:tcMar>
              <w:top w:w="57" w:type="dxa"/>
              <w:left w:w="57" w:type="dxa"/>
              <w:bottom w:w="57" w:type="dxa"/>
              <w:right w:w="57" w:type="dxa"/>
            </w:tcMar>
            <w:vAlign w:val="center"/>
          </w:tcPr>
          <w:p>
            <w:pPr>
              <w:widowControl/>
              <w:adjustRightInd w:val="0"/>
              <w:snapToGrid w:val="0"/>
              <w:textAlignment w:val="center"/>
              <w:rPr>
                <w:rFonts w:hint="default"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经查证确属在禁渔区或禁渔期内非法捕捞的，按第2项（违反禁渔区、禁渔期的规定进行捕捞）处罚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88" w:hRule="atLeast"/>
          <w:jc w:val="center"/>
        </w:trPr>
        <w:tc>
          <w:tcPr>
            <w:tcW w:w="421" w:type="dxa"/>
            <w:vMerge w:val="restart"/>
            <w:tcBorders>
              <w:tl2br w:val="nil"/>
              <w:tr2bl w:val="nil"/>
            </w:tcBorders>
            <w:tcMar>
              <w:top w:w="57" w:type="dxa"/>
              <w:left w:w="57" w:type="dxa"/>
              <w:bottom w:w="57" w:type="dxa"/>
              <w:right w:w="57" w:type="dxa"/>
            </w:tcMar>
            <w:vAlign w:val="center"/>
          </w:tcPr>
          <w:p>
            <w:pPr>
              <w:widowControl/>
              <w:adjustRightInd w:val="0"/>
              <w:snapToGrid w:val="0"/>
              <w:textAlignment w:val="center"/>
              <w:rPr>
                <w:rFonts w:hint="default" w:ascii="仿宋_GB2312" w:hAnsi="仿宋_GB2312" w:eastAsia="仿宋_GB2312" w:cs="仿宋_GB2312"/>
                <w:color w:val="000000"/>
                <w:kern w:val="0"/>
                <w:sz w:val="21"/>
                <w:szCs w:val="21"/>
                <w:lang w:val="en-US" w:eastAsia="zh-CN"/>
              </w:rPr>
            </w:pPr>
            <w:r>
              <w:rPr>
                <w:rFonts w:hint="eastAsia" w:ascii="仿宋_GB2312" w:hAnsi="仿宋_GB2312" w:eastAsia="仿宋_GB2312" w:cs="仿宋_GB2312"/>
                <w:color w:val="000000"/>
                <w:kern w:val="0"/>
                <w:sz w:val="21"/>
                <w:szCs w:val="21"/>
                <w:lang w:val="en-US" w:eastAsia="zh-CN"/>
              </w:rPr>
              <w:t>6</w:t>
            </w:r>
          </w:p>
        </w:tc>
        <w:tc>
          <w:tcPr>
            <w:tcW w:w="1098" w:type="dxa"/>
            <w:vMerge w:val="restart"/>
            <w:tcBorders>
              <w:tl2br w:val="nil"/>
              <w:tr2bl w:val="nil"/>
            </w:tcBorders>
            <w:tcMar>
              <w:top w:w="57" w:type="dxa"/>
              <w:left w:w="57" w:type="dxa"/>
              <w:bottom w:w="57" w:type="dxa"/>
              <w:right w:w="57" w:type="dxa"/>
            </w:tcMar>
            <w:vAlign w:val="center"/>
          </w:tcPr>
          <w:p>
            <w:pPr>
              <w:widowControl/>
              <w:adjustRightInd w:val="0"/>
              <w:snapToGrid w:val="0"/>
              <w:textAlignment w:val="center"/>
              <w:rPr>
                <w:rFonts w:hint="default"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渔获物中幼鱼超过</w:t>
            </w:r>
            <w:r>
              <w:rPr>
                <w:rFonts w:hint="default" w:ascii="仿宋_GB2312" w:hAnsi="仿宋_GB2312" w:eastAsia="仿宋_GB2312" w:cs="仿宋_GB2312"/>
                <w:color w:val="000000"/>
                <w:kern w:val="0"/>
                <w:sz w:val="21"/>
                <w:szCs w:val="21"/>
                <w:lang w:val="en-US" w:eastAsia="zh-CN"/>
              </w:rPr>
              <w:br w:type="textWrapping"/>
            </w:r>
            <w:r>
              <w:rPr>
                <w:rFonts w:hint="default" w:ascii="仿宋_GB2312" w:hAnsi="仿宋_GB2312" w:eastAsia="仿宋_GB2312" w:cs="仿宋_GB2312"/>
                <w:color w:val="000000"/>
                <w:kern w:val="0"/>
                <w:sz w:val="21"/>
                <w:szCs w:val="21"/>
                <w:lang w:val="en-US" w:eastAsia="zh-CN"/>
              </w:rPr>
              <w:t>规定比例</w:t>
            </w:r>
          </w:p>
        </w:tc>
        <w:tc>
          <w:tcPr>
            <w:tcW w:w="3531" w:type="dxa"/>
            <w:vMerge w:val="restart"/>
            <w:tcBorders>
              <w:tl2br w:val="nil"/>
              <w:tr2bl w:val="nil"/>
            </w:tcBorders>
            <w:tcMar>
              <w:top w:w="57" w:type="dxa"/>
              <w:left w:w="57" w:type="dxa"/>
              <w:bottom w:w="57" w:type="dxa"/>
              <w:right w:w="57" w:type="dxa"/>
            </w:tcMar>
            <w:vAlign w:val="center"/>
          </w:tcPr>
          <w:p>
            <w:pPr>
              <w:widowControl/>
              <w:adjustRightInd w:val="0"/>
              <w:snapToGrid w:val="0"/>
              <w:textAlignment w:val="center"/>
              <w:rPr>
                <w:rFonts w:hint="eastAsia"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中华人民共和国渔业法》第三十八条第一款，使用炸鱼、毒鱼、电鱼等破坏渔业资源方法进行捕捞的，违反关于禁渔区、禁渔期的规定进行捕捞的，或者使用禁用的渔具、捕捞方法和小于最小网目尺寸的网具进行捕捞或者渔获物中幼鱼超过规定比例的，没收渔获物和违法所得，处五万元以下的罚款；情节严重的，没收渔具，吊销捕捞许可证；情节特别严重的，可以没收渔船；构成犯罪的，依法追究刑事责任。</w:t>
            </w:r>
          </w:p>
        </w:tc>
        <w:tc>
          <w:tcPr>
            <w:tcW w:w="730" w:type="dxa"/>
            <w:tcBorders>
              <w:bottom w:val="single" w:color="auto" w:sz="4" w:space="0"/>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hint="eastAsia"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较轻</w:t>
            </w:r>
          </w:p>
        </w:tc>
        <w:tc>
          <w:tcPr>
            <w:tcW w:w="2748" w:type="dxa"/>
            <w:tcBorders>
              <w:bottom w:val="single" w:color="auto" w:sz="4" w:space="0"/>
              <w:tl2br w:val="nil"/>
              <w:tr2bl w:val="nil"/>
            </w:tcBorders>
            <w:tcMar>
              <w:top w:w="57" w:type="dxa"/>
              <w:left w:w="57" w:type="dxa"/>
              <w:bottom w:w="57" w:type="dxa"/>
              <w:right w:w="57" w:type="dxa"/>
            </w:tcMar>
            <w:vAlign w:val="center"/>
          </w:tcPr>
          <w:p>
            <w:pPr>
              <w:widowControl/>
              <w:adjustRightInd w:val="0"/>
              <w:snapToGrid w:val="0"/>
              <w:textAlignment w:val="center"/>
              <w:rPr>
                <w:rFonts w:hint="eastAsia"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br w:type="textWrapping"/>
            </w:r>
            <w:r>
              <w:rPr>
                <w:rFonts w:hint="default" w:ascii="仿宋_GB2312" w:hAnsi="仿宋_GB2312" w:eastAsia="仿宋_GB2312" w:cs="仿宋_GB2312"/>
                <w:color w:val="000000"/>
                <w:kern w:val="0"/>
                <w:sz w:val="21"/>
                <w:szCs w:val="21"/>
                <w:lang w:val="en-US" w:eastAsia="zh-CN"/>
              </w:rPr>
              <w:t>内陆未达到可捕标准的幼鱼重量占渔获物中该品种重量比例百分之五以上百分之二十以下</w:t>
            </w:r>
          </w:p>
        </w:tc>
        <w:tc>
          <w:tcPr>
            <w:tcW w:w="2747" w:type="dxa"/>
            <w:tcBorders>
              <w:bottom w:val="single" w:color="auto" w:sz="4" w:space="0"/>
              <w:tl2br w:val="nil"/>
              <w:tr2bl w:val="nil"/>
            </w:tcBorders>
            <w:tcMar>
              <w:top w:w="57" w:type="dxa"/>
              <w:left w:w="57" w:type="dxa"/>
              <w:bottom w:w="57" w:type="dxa"/>
              <w:right w:w="57" w:type="dxa"/>
            </w:tcMar>
            <w:vAlign w:val="center"/>
          </w:tcPr>
          <w:p>
            <w:pPr>
              <w:widowControl/>
              <w:adjustRightInd w:val="0"/>
              <w:snapToGrid w:val="0"/>
              <w:textAlignment w:val="center"/>
              <w:rPr>
                <w:rFonts w:hint="eastAsia"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w:t>
            </w:r>
          </w:p>
        </w:tc>
        <w:tc>
          <w:tcPr>
            <w:tcW w:w="2725"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hint="eastAsia"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br w:type="textWrapping"/>
            </w:r>
            <w:r>
              <w:rPr>
                <w:rFonts w:hint="default" w:ascii="仿宋_GB2312" w:hAnsi="仿宋_GB2312" w:eastAsia="仿宋_GB2312" w:cs="仿宋_GB2312"/>
                <w:color w:val="000000"/>
                <w:kern w:val="0"/>
                <w:sz w:val="21"/>
                <w:szCs w:val="21"/>
                <w:lang w:val="en-US" w:eastAsia="zh-CN"/>
              </w:rPr>
              <w:t>没收渔获物和违法所得，处二千元以下罚款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3" w:hRule="atLeast"/>
          <w:jc w:val="center"/>
        </w:trPr>
        <w:tc>
          <w:tcPr>
            <w:tcW w:w="421" w:type="dxa"/>
            <w:vMerge w:val="continue"/>
            <w:tcBorders>
              <w:tl2br w:val="nil"/>
              <w:tr2bl w:val="nil"/>
            </w:tcBorders>
            <w:tcMar>
              <w:top w:w="57" w:type="dxa"/>
              <w:left w:w="57" w:type="dxa"/>
              <w:bottom w:w="57" w:type="dxa"/>
              <w:right w:w="57" w:type="dxa"/>
            </w:tcMar>
            <w:vAlign w:val="center"/>
          </w:tcPr>
          <w:p>
            <w:pPr>
              <w:widowControl/>
              <w:adjustRightInd w:val="0"/>
              <w:snapToGrid w:val="0"/>
              <w:textAlignment w:val="center"/>
              <w:rPr>
                <w:rFonts w:hint="default" w:ascii="仿宋_GB2312" w:hAnsi="仿宋_GB2312" w:eastAsia="仿宋_GB2312" w:cs="仿宋_GB2312"/>
                <w:color w:val="000000"/>
                <w:kern w:val="0"/>
                <w:sz w:val="21"/>
                <w:szCs w:val="21"/>
                <w:lang w:val="en-US" w:eastAsia="zh-CN"/>
              </w:rPr>
            </w:pPr>
          </w:p>
        </w:tc>
        <w:tc>
          <w:tcPr>
            <w:tcW w:w="1098" w:type="dxa"/>
            <w:vMerge w:val="continue"/>
            <w:tcBorders>
              <w:tl2br w:val="nil"/>
              <w:tr2bl w:val="nil"/>
            </w:tcBorders>
            <w:tcMar>
              <w:top w:w="57" w:type="dxa"/>
              <w:left w:w="57" w:type="dxa"/>
              <w:bottom w:w="57" w:type="dxa"/>
              <w:right w:w="57" w:type="dxa"/>
            </w:tcMar>
            <w:vAlign w:val="center"/>
          </w:tcPr>
          <w:p>
            <w:pPr>
              <w:widowControl/>
              <w:adjustRightInd w:val="0"/>
              <w:snapToGrid w:val="0"/>
              <w:textAlignment w:val="center"/>
              <w:rPr>
                <w:rFonts w:hint="default" w:ascii="仿宋_GB2312" w:hAnsi="仿宋_GB2312" w:eastAsia="仿宋_GB2312" w:cs="仿宋_GB2312"/>
                <w:color w:val="000000"/>
                <w:kern w:val="0"/>
                <w:sz w:val="21"/>
                <w:szCs w:val="21"/>
                <w:lang w:val="en-US" w:eastAsia="zh-CN"/>
              </w:rPr>
            </w:pPr>
          </w:p>
        </w:tc>
        <w:tc>
          <w:tcPr>
            <w:tcW w:w="3531" w:type="dxa"/>
            <w:vMerge w:val="continue"/>
            <w:tcBorders>
              <w:tl2br w:val="nil"/>
              <w:tr2bl w:val="nil"/>
            </w:tcBorders>
            <w:tcMar>
              <w:top w:w="57" w:type="dxa"/>
              <w:left w:w="57" w:type="dxa"/>
              <w:bottom w:w="57" w:type="dxa"/>
              <w:right w:w="57" w:type="dxa"/>
            </w:tcMar>
            <w:vAlign w:val="center"/>
          </w:tcPr>
          <w:p>
            <w:pPr>
              <w:widowControl/>
              <w:adjustRightInd w:val="0"/>
              <w:snapToGrid w:val="0"/>
              <w:textAlignment w:val="center"/>
              <w:rPr>
                <w:rFonts w:hint="eastAsia" w:ascii="仿宋_GB2312" w:hAnsi="仿宋_GB2312" w:eastAsia="仿宋_GB2312" w:cs="仿宋_GB2312"/>
                <w:color w:val="000000"/>
                <w:kern w:val="0"/>
                <w:sz w:val="21"/>
                <w:szCs w:val="21"/>
                <w:lang w:val="en-US" w:eastAsia="zh-CN"/>
              </w:rPr>
            </w:pPr>
          </w:p>
        </w:tc>
        <w:tc>
          <w:tcPr>
            <w:tcW w:w="730" w:type="dxa"/>
            <w:tcBorders>
              <w:top w:val="single" w:color="auto" w:sz="4" w:space="0"/>
              <w:bottom w:val="single" w:color="auto" w:sz="4" w:space="0"/>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hint="eastAsia"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一般</w:t>
            </w:r>
          </w:p>
        </w:tc>
        <w:tc>
          <w:tcPr>
            <w:tcW w:w="2748" w:type="dxa"/>
            <w:tcBorders>
              <w:top w:val="single" w:color="auto" w:sz="4" w:space="0"/>
              <w:bottom w:val="single" w:color="auto" w:sz="4" w:space="0"/>
              <w:tl2br w:val="nil"/>
              <w:tr2bl w:val="nil"/>
            </w:tcBorders>
            <w:tcMar>
              <w:top w:w="57" w:type="dxa"/>
              <w:left w:w="57" w:type="dxa"/>
              <w:bottom w:w="57" w:type="dxa"/>
              <w:right w:w="57" w:type="dxa"/>
            </w:tcMar>
            <w:vAlign w:val="center"/>
          </w:tcPr>
          <w:p>
            <w:pPr>
              <w:widowControl/>
              <w:adjustRightInd w:val="0"/>
              <w:snapToGrid w:val="0"/>
              <w:textAlignment w:val="center"/>
              <w:rPr>
                <w:rFonts w:hint="eastAsia"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 xml:space="preserve">内陆未达到可捕标准的幼鱼重量占渔获物中该品种重量比例百分之二十以上百分之四十以下 </w:t>
            </w:r>
          </w:p>
        </w:tc>
        <w:tc>
          <w:tcPr>
            <w:tcW w:w="2747" w:type="dxa"/>
            <w:tcBorders>
              <w:top w:val="single" w:color="auto" w:sz="4" w:space="0"/>
              <w:bottom w:val="single" w:color="auto" w:sz="4" w:space="0"/>
              <w:tl2br w:val="nil"/>
              <w:tr2bl w:val="nil"/>
            </w:tcBorders>
            <w:tcMar>
              <w:top w:w="57" w:type="dxa"/>
              <w:left w:w="57" w:type="dxa"/>
              <w:bottom w:w="57" w:type="dxa"/>
              <w:right w:w="57" w:type="dxa"/>
            </w:tcMar>
            <w:vAlign w:val="center"/>
          </w:tcPr>
          <w:p>
            <w:pPr>
              <w:widowControl/>
              <w:adjustRightInd w:val="0"/>
              <w:snapToGrid w:val="0"/>
              <w:textAlignment w:val="center"/>
              <w:rPr>
                <w:rFonts w:hint="eastAsia"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捕捞渔获物总量不超20千克参照较轻情节</w:t>
            </w:r>
          </w:p>
        </w:tc>
        <w:tc>
          <w:tcPr>
            <w:tcW w:w="2725"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hint="eastAsia"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br w:type="textWrapping"/>
            </w:r>
            <w:r>
              <w:rPr>
                <w:rFonts w:hint="default" w:ascii="仿宋_GB2312" w:hAnsi="仿宋_GB2312" w:eastAsia="仿宋_GB2312" w:cs="仿宋_GB2312"/>
                <w:color w:val="000000"/>
                <w:kern w:val="0"/>
                <w:sz w:val="21"/>
                <w:szCs w:val="21"/>
                <w:lang w:val="en-US" w:eastAsia="zh-CN"/>
              </w:rPr>
              <w:t>没收渔获物和违法所得，处二千元以上五千元以下罚款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jc w:val="center"/>
        </w:trPr>
        <w:tc>
          <w:tcPr>
            <w:tcW w:w="421" w:type="dxa"/>
            <w:vMerge w:val="continue"/>
            <w:tcBorders>
              <w:tl2br w:val="nil"/>
              <w:tr2bl w:val="nil"/>
            </w:tcBorders>
            <w:tcMar>
              <w:top w:w="57" w:type="dxa"/>
              <w:left w:w="57" w:type="dxa"/>
              <w:bottom w:w="57" w:type="dxa"/>
              <w:right w:w="57" w:type="dxa"/>
            </w:tcMar>
            <w:vAlign w:val="center"/>
          </w:tcPr>
          <w:p>
            <w:pPr>
              <w:widowControl/>
              <w:adjustRightInd w:val="0"/>
              <w:snapToGrid w:val="0"/>
              <w:textAlignment w:val="center"/>
              <w:rPr>
                <w:rFonts w:hint="default" w:ascii="仿宋_GB2312" w:hAnsi="仿宋_GB2312" w:eastAsia="仿宋_GB2312" w:cs="仿宋_GB2312"/>
                <w:color w:val="000000"/>
                <w:kern w:val="0"/>
                <w:sz w:val="21"/>
                <w:szCs w:val="21"/>
                <w:lang w:val="en-US" w:eastAsia="zh-CN"/>
              </w:rPr>
            </w:pPr>
          </w:p>
        </w:tc>
        <w:tc>
          <w:tcPr>
            <w:tcW w:w="1098" w:type="dxa"/>
            <w:vMerge w:val="continue"/>
            <w:tcBorders>
              <w:tl2br w:val="nil"/>
              <w:tr2bl w:val="nil"/>
            </w:tcBorders>
            <w:tcMar>
              <w:top w:w="57" w:type="dxa"/>
              <w:left w:w="57" w:type="dxa"/>
              <w:bottom w:w="57" w:type="dxa"/>
              <w:right w:w="57" w:type="dxa"/>
            </w:tcMar>
            <w:vAlign w:val="center"/>
          </w:tcPr>
          <w:p>
            <w:pPr>
              <w:widowControl/>
              <w:adjustRightInd w:val="0"/>
              <w:snapToGrid w:val="0"/>
              <w:textAlignment w:val="center"/>
              <w:rPr>
                <w:rFonts w:hint="default" w:ascii="仿宋_GB2312" w:hAnsi="仿宋_GB2312" w:eastAsia="仿宋_GB2312" w:cs="仿宋_GB2312"/>
                <w:color w:val="000000"/>
                <w:kern w:val="0"/>
                <w:sz w:val="21"/>
                <w:szCs w:val="21"/>
                <w:lang w:val="en-US" w:eastAsia="zh-CN"/>
              </w:rPr>
            </w:pPr>
          </w:p>
        </w:tc>
        <w:tc>
          <w:tcPr>
            <w:tcW w:w="3531" w:type="dxa"/>
            <w:vMerge w:val="continue"/>
            <w:tcBorders>
              <w:tl2br w:val="nil"/>
              <w:tr2bl w:val="nil"/>
            </w:tcBorders>
            <w:tcMar>
              <w:top w:w="57" w:type="dxa"/>
              <w:left w:w="57" w:type="dxa"/>
              <w:bottom w:w="57" w:type="dxa"/>
              <w:right w:w="57" w:type="dxa"/>
            </w:tcMar>
            <w:vAlign w:val="center"/>
          </w:tcPr>
          <w:p>
            <w:pPr>
              <w:widowControl/>
              <w:adjustRightInd w:val="0"/>
              <w:snapToGrid w:val="0"/>
              <w:textAlignment w:val="center"/>
              <w:rPr>
                <w:rFonts w:hint="eastAsia" w:ascii="仿宋_GB2312" w:hAnsi="仿宋_GB2312" w:eastAsia="仿宋_GB2312" w:cs="仿宋_GB2312"/>
                <w:color w:val="000000"/>
                <w:kern w:val="0"/>
                <w:sz w:val="21"/>
                <w:szCs w:val="21"/>
                <w:lang w:val="en-US" w:eastAsia="zh-CN"/>
              </w:rPr>
            </w:pPr>
          </w:p>
        </w:tc>
        <w:tc>
          <w:tcPr>
            <w:tcW w:w="730" w:type="dxa"/>
            <w:tcBorders>
              <w:top w:val="single" w:color="auto" w:sz="4" w:space="0"/>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hint="eastAsia"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严重</w:t>
            </w:r>
          </w:p>
        </w:tc>
        <w:tc>
          <w:tcPr>
            <w:tcW w:w="2748" w:type="dxa"/>
            <w:tcBorders>
              <w:top w:val="single" w:color="auto" w:sz="4" w:space="0"/>
              <w:tl2br w:val="nil"/>
              <w:tr2bl w:val="nil"/>
            </w:tcBorders>
            <w:tcMar>
              <w:top w:w="57" w:type="dxa"/>
              <w:left w:w="57" w:type="dxa"/>
              <w:bottom w:w="57" w:type="dxa"/>
              <w:right w:w="57" w:type="dxa"/>
            </w:tcMar>
            <w:vAlign w:val="center"/>
          </w:tcPr>
          <w:p>
            <w:pPr>
              <w:widowControl/>
              <w:adjustRightInd w:val="0"/>
              <w:snapToGrid w:val="0"/>
              <w:textAlignment w:val="center"/>
              <w:rPr>
                <w:rFonts w:hint="eastAsia"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 xml:space="preserve"> 内陆未达到可捕标准的幼鱼重量占渔获物中该品种重量比例百分之四十以上百分之六十以下  </w:t>
            </w:r>
          </w:p>
        </w:tc>
        <w:tc>
          <w:tcPr>
            <w:tcW w:w="2747" w:type="dxa"/>
            <w:tcBorders>
              <w:top w:val="single" w:color="auto" w:sz="4" w:space="0"/>
              <w:tl2br w:val="nil"/>
              <w:tr2bl w:val="nil"/>
            </w:tcBorders>
            <w:tcMar>
              <w:top w:w="57" w:type="dxa"/>
              <w:left w:w="57" w:type="dxa"/>
              <w:bottom w:w="57" w:type="dxa"/>
              <w:right w:w="57" w:type="dxa"/>
            </w:tcMar>
            <w:vAlign w:val="center"/>
          </w:tcPr>
          <w:p>
            <w:pPr>
              <w:widowControl/>
              <w:adjustRightInd w:val="0"/>
              <w:snapToGrid w:val="0"/>
              <w:textAlignment w:val="center"/>
              <w:rPr>
                <w:rFonts w:hint="eastAsia"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捕捞渔获物总量超20千克不超50千克参照一般情节</w:t>
            </w:r>
          </w:p>
        </w:tc>
        <w:tc>
          <w:tcPr>
            <w:tcW w:w="2725"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hint="eastAsia"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没收渔获物和违法所得，处五千元以上一万元以下罚款，没收渔具，吊销捕捞许可证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1" w:hRule="atLeast"/>
          <w:jc w:val="center"/>
        </w:trPr>
        <w:tc>
          <w:tcPr>
            <w:tcW w:w="421" w:type="dxa"/>
            <w:vMerge w:val="continue"/>
            <w:tcBorders>
              <w:tl2br w:val="nil"/>
              <w:tr2bl w:val="nil"/>
            </w:tcBorders>
            <w:tcMar>
              <w:top w:w="57" w:type="dxa"/>
              <w:left w:w="57" w:type="dxa"/>
              <w:bottom w:w="57" w:type="dxa"/>
              <w:right w:w="57" w:type="dxa"/>
            </w:tcMar>
            <w:vAlign w:val="center"/>
          </w:tcPr>
          <w:p>
            <w:pPr>
              <w:widowControl/>
              <w:adjustRightInd w:val="0"/>
              <w:snapToGrid w:val="0"/>
              <w:textAlignment w:val="center"/>
              <w:rPr>
                <w:rFonts w:hint="default" w:ascii="仿宋_GB2312" w:hAnsi="仿宋_GB2312" w:eastAsia="仿宋_GB2312" w:cs="仿宋_GB2312"/>
                <w:color w:val="000000"/>
                <w:kern w:val="0"/>
                <w:sz w:val="21"/>
                <w:szCs w:val="21"/>
                <w:lang w:val="en-US" w:eastAsia="zh-CN"/>
              </w:rPr>
            </w:pPr>
          </w:p>
        </w:tc>
        <w:tc>
          <w:tcPr>
            <w:tcW w:w="1098" w:type="dxa"/>
            <w:vMerge w:val="continue"/>
            <w:tcBorders>
              <w:tl2br w:val="nil"/>
              <w:tr2bl w:val="nil"/>
            </w:tcBorders>
            <w:tcMar>
              <w:top w:w="57" w:type="dxa"/>
              <w:left w:w="57" w:type="dxa"/>
              <w:bottom w:w="57" w:type="dxa"/>
              <w:right w:w="57" w:type="dxa"/>
            </w:tcMar>
            <w:vAlign w:val="center"/>
          </w:tcPr>
          <w:p>
            <w:pPr>
              <w:widowControl/>
              <w:adjustRightInd w:val="0"/>
              <w:snapToGrid w:val="0"/>
              <w:textAlignment w:val="center"/>
              <w:rPr>
                <w:rFonts w:hint="default" w:ascii="仿宋_GB2312" w:hAnsi="仿宋_GB2312" w:eastAsia="仿宋_GB2312" w:cs="仿宋_GB2312"/>
                <w:color w:val="000000"/>
                <w:kern w:val="0"/>
                <w:sz w:val="21"/>
                <w:szCs w:val="21"/>
                <w:lang w:val="en-US" w:eastAsia="zh-CN"/>
              </w:rPr>
            </w:pPr>
          </w:p>
        </w:tc>
        <w:tc>
          <w:tcPr>
            <w:tcW w:w="3531" w:type="dxa"/>
            <w:vMerge w:val="continue"/>
            <w:tcBorders>
              <w:tl2br w:val="nil"/>
              <w:tr2bl w:val="nil"/>
            </w:tcBorders>
            <w:tcMar>
              <w:top w:w="57" w:type="dxa"/>
              <w:left w:w="57" w:type="dxa"/>
              <w:bottom w:w="57" w:type="dxa"/>
              <w:right w:w="57" w:type="dxa"/>
            </w:tcMar>
            <w:vAlign w:val="center"/>
          </w:tcPr>
          <w:p>
            <w:pPr>
              <w:widowControl/>
              <w:adjustRightInd w:val="0"/>
              <w:snapToGrid w:val="0"/>
              <w:textAlignment w:val="center"/>
              <w:rPr>
                <w:rFonts w:hint="eastAsia" w:ascii="仿宋_GB2312" w:hAnsi="仿宋_GB2312" w:eastAsia="仿宋_GB2312" w:cs="仿宋_GB2312"/>
                <w:color w:val="000000"/>
                <w:kern w:val="0"/>
                <w:sz w:val="21"/>
                <w:szCs w:val="21"/>
                <w:lang w:val="en-US" w:eastAsia="zh-CN"/>
              </w:rPr>
            </w:pPr>
          </w:p>
        </w:tc>
        <w:tc>
          <w:tcPr>
            <w:tcW w:w="730"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hint="eastAsia"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特别</w:t>
            </w:r>
            <w:r>
              <w:rPr>
                <w:rFonts w:hint="default" w:ascii="仿宋_GB2312" w:hAnsi="仿宋_GB2312" w:eastAsia="仿宋_GB2312" w:cs="仿宋_GB2312"/>
                <w:color w:val="000000"/>
                <w:kern w:val="0"/>
                <w:sz w:val="21"/>
                <w:szCs w:val="21"/>
                <w:lang w:val="en-US" w:eastAsia="zh-CN"/>
              </w:rPr>
              <w:br w:type="textWrapping"/>
            </w:r>
            <w:r>
              <w:rPr>
                <w:rFonts w:hint="default" w:ascii="仿宋_GB2312" w:hAnsi="仿宋_GB2312" w:eastAsia="仿宋_GB2312" w:cs="仿宋_GB2312"/>
                <w:color w:val="000000"/>
                <w:kern w:val="0"/>
                <w:sz w:val="21"/>
                <w:szCs w:val="21"/>
                <w:lang w:val="en-US" w:eastAsia="zh-CN"/>
              </w:rPr>
              <w:t>严重</w:t>
            </w:r>
          </w:p>
        </w:tc>
        <w:tc>
          <w:tcPr>
            <w:tcW w:w="2748"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hint="eastAsia"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内陆未达到可捕标准的幼鱼重量占渔获物中该品种重量比例百分之六十以上</w:t>
            </w:r>
          </w:p>
        </w:tc>
        <w:tc>
          <w:tcPr>
            <w:tcW w:w="5472" w:type="dxa"/>
            <w:gridSpan w:val="2"/>
            <w:tcBorders>
              <w:tl2br w:val="nil"/>
              <w:tr2bl w:val="nil"/>
            </w:tcBorders>
            <w:tcMar>
              <w:top w:w="57" w:type="dxa"/>
              <w:left w:w="57" w:type="dxa"/>
              <w:bottom w:w="57" w:type="dxa"/>
              <w:right w:w="57" w:type="dxa"/>
            </w:tcMar>
            <w:vAlign w:val="center"/>
          </w:tcPr>
          <w:p>
            <w:pPr>
              <w:widowControl/>
              <w:adjustRightInd w:val="0"/>
              <w:snapToGrid w:val="0"/>
              <w:textAlignment w:val="center"/>
              <w:rPr>
                <w:rFonts w:hint="eastAsia" w:ascii="仿宋_GB2312" w:hAnsi="仿宋_GB2312" w:eastAsia="仿宋_GB2312" w:cs="仿宋_GB2312"/>
                <w:color w:val="000000"/>
                <w:kern w:val="0"/>
                <w:sz w:val="21"/>
                <w:szCs w:val="21"/>
                <w:lang w:val="en-US" w:eastAsia="zh-CN"/>
              </w:rPr>
            </w:pPr>
            <w:r>
              <w:rPr>
                <w:rFonts w:hint="eastAsia" w:ascii="仿宋_GB2312" w:hAnsi="仿宋_GB2312" w:eastAsia="仿宋_GB2312" w:cs="仿宋_GB2312"/>
                <w:color w:val="000000"/>
                <w:kern w:val="0"/>
                <w:sz w:val="21"/>
                <w:szCs w:val="21"/>
                <w:lang w:val="en-US" w:eastAsia="zh-CN"/>
              </w:rPr>
              <w:t>没收渔获物和违法所得，处一万元以上不超过三万元罚款，没收渔具，吊销捕捞许可证，可以没收渔船</w:t>
            </w:r>
          </w:p>
        </w:tc>
      </w:tr>
    </w:tbl>
    <w:p>
      <w:pPr>
        <w:pStyle w:val="2"/>
      </w:pPr>
    </w:p>
    <w:tbl>
      <w:tblPr>
        <w:tblStyle w:val="7"/>
        <w:tblW w:w="140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21"/>
        <w:gridCol w:w="1098"/>
        <w:gridCol w:w="3531"/>
        <w:gridCol w:w="730"/>
        <w:gridCol w:w="2612"/>
        <w:gridCol w:w="3058"/>
        <w:gridCol w:w="255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tblHeader/>
          <w:jc w:val="center"/>
        </w:trPr>
        <w:tc>
          <w:tcPr>
            <w:tcW w:w="421"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黑体" w:hAnsi="黑体" w:eastAsia="黑体" w:cs="黑体"/>
                <w:color w:val="000000"/>
                <w:sz w:val="24"/>
                <w:szCs w:val="24"/>
              </w:rPr>
            </w:pPr>
            <w:r>
              <w:rPr>
                <w:rFonts w:hint="eastAsia" w:ascii="黑体" w:hAnsi="黑体" w:eastAsia="黑体" w:cs="黑体"/>
                <w:color w:val="000000"/>
                <w:kern w:val="0"/>
                <w:sz w:val="24"/>
                <w:szCs w:val="24"/>
              </w:rPr>
              <w:t>序号</w:t>
            </w:r>
          </w:p>
        </w:tc>
        <w:tc>
          <w:tcPr>
            <w:tcW w:w="1098"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黑体" w:hAnsi="黑体" w:eastAsia="黑体" w:cs="黑体"/>
                <w:color w:val="000000"/>
                <w:sz w:val="24"/>
                <w:szCs w:val="24"/>
              </w:rPr>
            </w:pPr>
            <w:r>
              <w:rPr>
                <w:rFonts w:hint="eastAsia" w:ascii="黑体" w:hAnsi="黑体" w:eastAsia="黑体" w:cs="黑体"/>
                <w:color w:val="000000"/>
                <w:kern w:val="0"/>
                <w:sz w:val="24"/>
                <w:szCs w:val="24"/>
              </w:rPr>
              <w:t>违法行为</w:t>
            </w:r>
          </w:p>
        </w:tc>
        <w:tc>
          <w:tcPr>
            <w:tcW w:w="3531"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黑体" w:hAnsi="黑体" w:eastAsia="黑体" w:cs="黑体"/>
                <w:color w:val="000000"/>
                <w:sz w:val="24"/>
                <w:szCs w:val="24"/>
              </w:rPr>
            </w:pPr>
            <w:r>
              <w:rPr>
                <w:rFonts w:hint="eastAsia" w:ascii="黑体" w:hAnsi="黑体" w:eastAsia="黑体" w:cs="黑体"/>
                <w:color w:val="000000"/>
                <w:kern w:val="0"/>
                <w:sz w:val="24"/>
                <w:szCs w:val="24"/>
              </w:rPr>
              <w:t>处罚依据</w:t>
            </w:r>
          </w:p>
        </w:tc>
        <w:tc>
          <w:tcPr>
            <w:tcW w:w="730"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黑体" w:hAnsi="黑体" w:eastAsia="黑体" w:cs="黑体"/>
                <w:color w:val="000000"/>
                <w:sz w:val="24"/>
                <w:szCs w:val="24"/>
              </w:rPr>
            </w:pPr>
            <w:r>
              <w:rPr>
                <w:rFonts w:hint="eastAsia" w:ascii="黑体" w:hAnsi="黑体" w:eastAsia="黑体" w:cs="黑体"/>
                <w:color w:val="000000"/>
                <w:kern w:val="0"/>
                <w:sz w:val="24"/>
                <w:szCs w:val="24"/>
              </w:rPr>
              <w:t>违法程度</w:t>
            </w:r>
          </w:p>
        </w:tc>
        <w:tc>
          <w:tcPr>
            <w:tcW w:w="2612"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黑体" w:hAnsi="黑体" w:eastAsia="黑体" w:cs="黑体"/>
                <w:color w:val="000000"/>
                <w:sz w:val="24"/>
                <w:szCs w:val="24"/>
              </w:rPr>
            </w:pPr>
            <w:r>
              <w:rPr>
                <w:rFonts w:hint="eastAsia" w:ascii="黑体" w:hAnsi="黑体" w:eastAsia="黑体" w:cs="黑体"/>
                <w:color w:val="000000"/>
                <w:kern w:val="0"/>
                <w:sz w:val="24"/>
                <w:szCs w:val="24"/>
              </w:rPr>
              <w:t>违法情节</w:t>
            </w:r>
          </w:p>
        </w:tc>
        <w:tc>
          <w:tcPr>
            <w:tcW w:w="5608" w:type="dxa"/>
            <w:gridSpan w:val="2"/>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黑体" w:hAnsi="黑体" w:eastAsia="黑体" w:cs="黑体"/>
                <w:color w:val="000000"/>
                <w:sz w:val="24"/>
                <w:szCs w:val="24"/>
              </w:rPr>
            </w:pPr>
            <w:r>
              <w:rPr>
                <w:rFonts w:hint="eastAsia" w:ascii="黑体" w:hAnsi="黑体" w:eastAsia="黑体" w:cs="黑体"/>
                <w:color w:val="000000"/>
                <w:kern w:val="0"/>
                <w:sz w:val="24"/>
                <w:szCs w:val="24"/>
              </w:rPr>
              <w:t>裁量标准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2" w:hRule="atLeast"/>
          <w:jc w:val="center"/>
        </w:trPr>
        <w:tc>
          <w:tcPr>
            <w:tcW w:w="421" w:type="dxa"/>
            <w:vMerge w:val="restart"/>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hint="default" w:ascii="仿宋_GB2312" w:hAnsi="仿宋_GB2312" w:eastAsia="仿宋_GB2312" w:cs="仿宋_GB2312"/>
                <w:color w:val="000000"/>
                <w:kern w:val="0"/>
                <w:sz w:val="21"/>
                <w:szCs w:val="21"/>
                <w:lang w:val="en-US" w:eastAsia="zh-CN"/>
              </w:rPr>
            </w:pPr>
            <w:r>
              <w:rPr>
                <w:rFonts w:hint="eastAsia" w:ascii="仿宋_GB2312" w:hAnsi="仿宋_GB2312" w:eastAsia="仿宋_GB2312" w:cs="仿宋_GB2312"/>
                <w:color w:val="000000"/>
                <w:kern w:val="0"/>
                <w:sz w:val="21"/>
                <w:szCs w:val="21"/>
                <w:lang w:val="en-US" w:eastAsia="zh-CN"/>
              </w:rPr>
              <w:t>7</w:t>
            </w:r>
          </w:p>
        </w:tc>
        <w:tc>
          <w:tcPr>
            <w:tcW w:w="1098" w:type="dxa"/>
            <w:vMerge w:val="restart"/>
            <w:tcBorders>
              <w:tl2br w:val="nil"/>
              <w:tr2bl w:val="nil"/>
            </w:tcBorders>
            <w:tcMar>
              <w:top w:w="57" w:type="dxa"/>
              <w:left w:w="57" w:type="dxa"/>
              <w:bottom w:w="57" w:type="dxa"/>
              <w:right w:w="57" w:type="dxa"/>
            </w:tcMar>
            <w:vAlign w:val="center"/>
          </w:tcPr>
          <w:p>
            <w:pPr>
              <w:widowControl/>
              <w:adjustRightInd w:val="0"/>
              <w:snapToGrid w:val="0"/>
              <w:textAlignment w:val="center"/>
              <w:rPr>
                <w:rFonts w:hint="default"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制造、销售禁用的渔具</w:t>
            </w:r>
          </w:p>
        </w:tc>
        <w:tc>
          <w:tcPr>
            <w:tcW w:w="3531" w:type="dxa"/>
            <w:vMerge w:val="restart"/>
            <w:tcBorders>
              <w:tl2br w:val="nil"/>
              <w:tr2bl w:val="nil"/>
            </w:tcBorders>
            <w:tcMar>
              <w:top w:w="57" w:type="dxa"/>
              <w:left w:w="57" w:type="dxa"/>
              <w:bottom w:w="57" w:type="dxa"/>
              <w:right w:w="57" w:type="dxa"/>
            </w:tcMar>
            <w:vAlign w:val="center"/>
          </w:tcPr>
          <w:p>
            <w:pPr>
              <w:widowControl/>
              <w:adjustRightInd w:val="0"/>
              <w:snapToGrid w:val="0"/>
              <w:textAlignment w:val="center"/>
              <w:rPr>
                <w:rFonts w:hint="eastAsia"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《中华人民共和国渔业法》第三十八条第三款，制造、销售禁用的渔具的，没收非法制造、销售的渔具和违法所得，并处一万元以下的罚款。</w:t>
            </w:r>
          </w:p>
        </w:tc>
        <w:tc>
          <w:tcPr>
            <w:tcW w:w="730" w:type="dxa"/>
            <w:tcBorders>
              <w:bottom w:val="single" w:color="auto" w:sz="4" w:space="0"/>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hint="eastAsia"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较轻</w:t>
            </w:r>
          </w:p>
        </w:tc>
        <w:tc>
          <w:tcPr>
            <w:tcW w:w="2612" w:type="dxa"/>
            <w:tcBorders>
              <w:bottom w:val="single" w:color="auto" w:sz="4" w:space="0"/>
              <w:tl2br w:val="nil"/>
              <w:tr2bl w:val="nil"/>
            </w:tcBorders>
            <w:tcMar>
              <w:top w:w="57" w:type="dxa"/>
              <w:left w:w="57" w:type="dxa"/>
              <w:bottom w:w="57" w:type="dxa"/>
              <w:right w:w="57" w:type="dxa"/>
            </w:tcMar>
            <w:vAlign w:val="center"/>
          </w:tcPr>
          <w:p>
            <w:pPr>
              <w:widowControl/>
              <w:adjustRightInd w:val="0"/>
              <w:snapToGrid w:val="0"/>
              <w:textAlignment w:val="center"/>
              <w:rPr>
                <w:rFonts w:hint="eastAsia"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制造、销售禁用渔具的数量五十件以下或价值一千元以下</w:t>
            </w:r>
          </w:p>
        </w:tc>
        <w:tc>
          <w:tcPr>
            <w:tcW w:w="5608" w:type="dxa"/>
            <w:gridSpan w:val="2"/>
            <w:tcBorders>
              <w:bottom w:val="single" w:color="auto" w:sz="4" w:space="0"/>
              <w:tl2br w:val="nil"/>
              <w:tr2bl w:val="nil"/>
            </w:tcBorders>
            <w:tcMar>
              <w:top w:w="57" w:type="dxa"/>
              <w:left w:w="57" w:type="dxa"/>
              <w:bottom w:w="57" w:type="dxa"/>
              <w:right w:w="57" w:type="dxa"/>
            </w:tcMar>
            <w:vAlign w:val="center"/>
          </w:tcPr>
          <w:p>
            <w:pPr>
              <w:widowControl/>
              <w:adjustRightInd w:val="0"/>
              <w:snapToGrid w:val="0"/>
              <w:textAlignment w:val="center"/>
              <w:rPr>
                <w:rFonts w:hint="eastAsia"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没收非法制造、销售的渔具和违法所得，并处三千元以下罚款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0" w:hRule="atLeast"/>
          <w:jc w:val="center"/>
        </w:trPr>
        <w:tc>
          <w:tcPr>
            <w:tcW w:w="421" w:type="dxa"/>
            <w:vMerge w:val="continue"/>
            <w:tcBorders>
              <w:tl2br w:val="nil"/>
              <w:tr2bl w:val="nil"/>
            </w:tcBorders>
            <w:tcMar>
              <w:top w:w="57" w:type="dxa"/>
              <w:left w:w="57" w:type="dxa"/>
              <w:bottom w:w="57" w:type="dxa"/>
              <w:right w:w="57" w:type="dxa"/>
            </w:tcMar>
            <w:vAlign w:val="center"/>
          </w:tcPr>
          <w:p>
            <w:pPr>
              <w:widowControl/>
              <w:adjustRightInd w:val="0"/>
              <w:snapToGrid w:val="0"/>
              <w:textAlignment w:val="center"/>
              <w:rPr>
                <w:rFonts w:hint="default" w:ascii="仿宋_GB2312" w:hAnsi="仿宋_GB2312" w:eastAsia="仿宋_GB2312" w:cs="仿宋_GB2312"/>
                <w:color w:val="000000"/>
                <w:kern w:val="0"/>
                <w:sz w:val="21"/>
                <w:szCs w:val="21"/>
                <w:lang w:val="en-US" w:eastAsia="zh-CN"/>
              </w:rPr>
            </w:pPr>
          </w:p>
        </w:tc>
        <w:tc>
          <w:tcPr>
            <w:tcW w:w="1098" w:type="dxa"/>
            <w:vMerge w:val="continue"/>
            <w:tcBorders>
              <w:tl2br w:val="nil"/>
              <w:tr2bl w:val="nil"/>
            </w:tcBorders>
            <w:tcMar>
              <w:top w:w="57" w:type="dxa"/>
              <w:left w:w="57" w:type="dxa"/>
              <w:bottom w:w="57" w:type="dxa"/>
              <w:right w:w="57" w:type="dxa"/>
            </w:tcMar>
            <w:vAlign w:val="center"/>
          </w:tcPr>
          <w:p>
            <w:pPr>
              <w:widowControl/>
              <w:adjustRightInd w:val="0"/>
              <w:snapToGrid w:val="0"/>
              <w:textAlignment w:val="center"/>
              <w:rPr>
                <w:rFonts w:hint="default" w:ascii="仿宋_GB2312" w:hAnsi="仿宋_GB2312" w:eastAsia="仿宋_GB2312" w:cs="仿宋_GB2312"/>
                <w:color w:val="000000"/>
                <w:kern w:val="0"/>
                <w:sz w:val="21"/>
                <w:szCs w:val="21"/>
                <w:lang w:val="en-US" w:eastAsia="zh-CN"/>
              </w:rPr>
            </w:pPr>
          </w:p>
        </w:tc>
        <w:tc>
          <w:tcPr>
            <w:tcW w:w="3531" w:type="dxa"/>
            <w:vMerge w:val="continue"/>
            <w:tcBorders>
              <w:tl2br w:val="nil"/>
              <w:tr2bl w:val="nil"/>
            </w:tcBorders>
            <w:tcMar>
              <w:top w:w="57" w:type="dxa"/>
              <w:left w:w="57" w:type="dxa"/>
              <w:bottom w:w="57" w:type="dxa"/>
              <w:right w:w="57" w:type="dxa"/>
            </w:tcMar>
            <w:vAlign w:val="center"/>
          </w:tcPr>
          <w:p>
            <w:pPr>
              <w:widowControl/>
              <w:adjustRightInd w:val="0"/>
              <w:snapToGrid w:val="0"/>
              <w:textAlignment w:val="center"/>
              <w:rPr>
                <w:rFonts w:hint="eastAsia" w:ascii="仿宋_GB2312" w:hAnsi="仿宋_GB2312" w:eastAsia="仿宋_GB2312" w:cs="仿宋_GB2312"/>
                <w:color w:val="000000"/>
                <w:kern w:val="0"/>
                <w:sz w:val="21"/>
                <w:szCs w:val="21"/>
                <w:lang w:val="en-US" w:eastAsia="zh-CN"/>
              </w:rPr>
            </w:pPr>
          </w:p>
        </w:tc>
        <w:tc>
          <w:tcPr>
            <w:tcW w:w="730" w:type="dxa"/>
            <w:tcBorders>
              <w:top w:val="single" w:color="auto" w:sz="4" w:space="0"/>
              <w:bottom w:val="single" w:color="auto" w:sz="4" w:space="0"/>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hint="eastAsia"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一般</w:t>
            </w:r>
          </w:p>
        </w:tc>
        <w:tc>
          <w:tcPr>
            <w:tcW w:w="2612" w:type="dxa"/>
            <w:tcBorders>
              <w:top w:val="single" w:color="auto" w:sz="4" w:space="0"/>
              <w:bottom w:val="single" w:color="auto" w:sz="4" w:space="0"/>
              <w:tl2br w:val="nil"/>
              <w:tr2bl w:val="nil"/>
            </w:tcBorders>
            <w:tcMar>
              <w:top w:w="57" w:type="dxa"/>
              <w:left w:w="57" w:type="dxa"/>
              <w:bottom w:w="57" w:type="dxa"/>
              <w:right w:w="57" w:type="dxa"/>
            </w:tcMar>
            <w:vAlign w:val="center"/>
          </w:tcPr>
          <w:p>
            <w:pPr>
              <w:widowControl/>
              <w:adjustRightInd w:val="0"/>
              <w:snapToGrid w:val="0"/>
              <w:textAlignment w:val="center"/>
              <w:rPr>
                <w:rFonts w:hint="eastAsia"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制造、销售禁用渔具的数量五十件以上一百件以下或价值一千元以上二千元以下</w:t>
            </w:r>
          </w:p>
        </w:tc>
        <w:tc>
          <w:tcPr>
            <w:tcW w:w="5608" w:type="dxa"/>
            <w:gridSpan w:val="2"/>
            <w:tcBorders>
              <w:top w:val="single" w:color="auto" w:sz="4" w:space="0"/>
              <w:bottom w:val="single" w:color="auto" w:sz="4" w:space="0"/>
              <w:tl2br w:val="nil"/>
              <w:tr2bl w:val="nil"/>
            </w:tcBorders>
            <w:tcMar>
              <w:top w:w="57" w:type="dxa"/>
              <w:left w:w="57" w:type="dxa"/>
              <w:bottom w:w="57" w:type="dxa"/>
              <w:right w:w="57" w:type="dxa"/>
            </w:tcMar>
            <w:vAlign w:val="center"/>
          </w:tcPr>
          <w:p>
            <w:pPr>
              <w:widowControl/>
              <w:adjustRightInd w:val="0"/>
              <w:snapToGrid w:val="0"/>
              <w:textAlignment w:val="center"/>
              <w:rPr>
                <w:rFonts w:hint="eastAsia"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没收非法制造、销售的渔具和违法所得，并处三千元以上六千元以下罚款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0" w:hRule="atLeast"/>
          <w:jc w:val="center"/>
        </w:trPr>
        <w:tc>
          <w:tcPr>
            <w:tcW w:w="421" w:type="dxa"/>
            <w:vMerge w:val="continue"/>
            <w:tcBorders>
              <w:bottom w:val="single" w:color="auto" w:sz="4" w:space="0"/>
              <w:tl2br w:val="nil"/>
              <w:tr2bl w:val="nil"/>
            </w:tcBorders>
            <w:tcMar>
              <w:top w:w="57" w:type="dxa"/>
              <w:left w:w="57" w:type="dxa"/>
              <w:bottom w:w="57" w:type="dxa"/>
              <w:right w:w="57" w:type="dxa"/>
            </w:tcMar>
            <w:vAlign w:val="center"/>
          </w:tcPr>
          <w:p>
            <w:pPr>
              <w:widowControl/>
              <w:adjustRightInd w:val="0"/>
              <w:snapToGrid w:val="0"/>
              <w:textAlignment w:val="center"/>
              <w:rPr>
                <w:rFonts w:hint="default" w:ascii="仿宋_GB2312" w:hAnsi="仿宋_GB2312" w:eastAsia="仿宋_GB2312" w:cs="仿宋_GB2312"/>
                <w:color w:val="000000"/>
                <w:kern w:val="0"/>
                <w:sz w:val="21"/>
                <w:szCs w:val="21"/>
                <w:lang w:val="en-US" w:eastAsia="zh-CN"/>
              </w:rPr>
            </w:pPr>
          </w:p>
        </w:tc>
        <w:tc>
          <w:tcPr>
            <w:tcW w:w="1098" w:type="dxa"/>
            <w:vMerge w:val="continue"/>
            <w:tcBorders>
              <w:bottom w:val="single" w:color="auto" w:sz="4" w:space="0"/>
              <w:tl2br w:val="nil"/>
              <w:tr2bl w:val="nil"/>
            </w:tcBorders>
            <w:tcMar>
              <w:top w:w="57" w:type="dxa"/>
              <w:left w:w="57" w:type="dxa"/>
              <w:bottom w:w="57" w:type="dxa"/>
              <w:right w:w="57" w:type="dxa"/>
            </w:tcMar>
            <w:vAlign w:val="center"/>
          </w:tcPr>
          <w:p>
            <w:pPr>
              <w:widowControl/>
              <w:adjustRightInd w:val="0"/>
              <w:snapToGrid w:val="0"/>
              <w:textAlignment w:val="center"/>
              <w:rPr>
                <w:rFonts w:hint="default" w:ascii="仿宋_GB2312" w:hAnsi="仿宋_GB2312" w:eastAsia="仿宋_GB2312" w:cs="仿宋_GB2312"/>
                <w:color w:val="000000"/>
                <w:kern w:val="0"/>
                <w:sz w:val="21"/>
                <w:szCs w:val="21"/>
                <w:lang w:val="en-US" w:eastAsia="zh-CN"/>
              </w:rPr>
            </w:pPr>
          </w:p>
        </w:tc>
        <w:tc>
          <w:tcPr>
            <w:tcW w:w="3531" w:type="dxa"/>
            <w:vMerge w:val="continue"/>
            <w:tcBorders>
              <w:bottom w:val="single" w:color="auto" w:sz="4" w:space="0"/>
              <w:tl2br w:val="nil"/>
              <w:tr2bl w:val="nil"/>
            </w:tcBorders>
            <w:tcMar>
              <w:top w:w="57" w:type="dxa"/>
              <w:left w:w="57" w:type="dxa"/>
              <w:bottom w:w="57" w:type="dxa"/>
              <w:right w:w="57" w:type="dxa"/>
            </w:tcMar>
            <w:vAlign w:val="center"/>
          </w:tcPr>
          <w:p>
            <w:pPr>
              <w:widowControl/>
              <w:adjustRightInd w:val="0"/>
              <w:snapToGrid w:val="0"/>
              <w:textAlignment w:val="center"/>
              <w:rPr>
                <w:rFonts w:hint="eastAsia" w:ascii="仿宋_GB2312" w:hAnsi="仿宋_GB2312" w:eastAsia="仿宋_GB2312" w:cs="仿宋_GB2312"/>
                <w:color w:val="000000"/>
                <w:kern w:val="0"/>
                <w:sz w:val="21"/>
                <w:szCs w:val="21"/>
                <w:lang w:val="en-US" w:eastAsia="zh-CN"/>
              </w:rPr>
            </w:pPr>
          </w:p>
        </w:tc>
        <w:tc>
          <w:tcPr>
            <w:tcW w:w="730" w:type="dxa"/>
            <w:tcBorders>
              <w:top w:val="single" w:color="auto" w:sz="4" w:space="0"/>
              <w:bottom w:val="single" w:color="auto" w:sz="4" w:space="0"/>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hint="eastAsia"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严重</w:t>
            </w:r>
          </w:p>
        </w:tc>
        <w:tc>
          <w:tcPr>
            <w:tcW w:w="2612" w:type="dxa"/>
            <w:tcBorders>
              <w:top w:val="single" w:color="auto" w:sz="4" w:space="0"/>
              <w:bottom w:val="single" w:color="auto" w:sz="4" w:space="0"/>
              <w:tl2br w:val="nil"/>
              <w:tr2bl w:val="nil"/>
            </w:tcBorders>
            <w:tcMar>
              <w:top w:w="57" w:type="dxa"/>
              <w:left w:w="57" w:type="dxa"/>
              <w:bottom w:w="57" w:type="dxa"/>
              <w:right w:w="57" w:type="dxa"/>
            </w:tcMar>
            <w:vAlign w:val="center"/>
          </w:tcPr>
          <w:p>
            <w:pPr>
              <w:widowControl/>
              <w:adjustRightInd w:val="0"/>
              <w:snapToGrid w:val="0"/>
              <w:textAlignment w:val="center"/>
              <w:rPr>
                <w:rFonts w:hint="eastAsia"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制造、销售禁用渔具的数量一百件以上或价值二千元以上</w:t>
            </w:r>
          </w:p>
        </w:tc>
        <w:tc>
          <w:tcPr>
            <w:tcW w:w="5608" w:type="dxa"/>
            <w:gridSpan w:val="2"/>
            <w:tcBorders>
              <w:top w:val="single" w:color="auto" w:sz="4" w:space="0"/>
              <w:tl2br w:val="nil"/>
              <w:tr2bl w:val="nil"/>
            </w:tcBorders>
            <w:tcMar>
              <w:top w:w="57" w:type="dxa"/>
              <w:left w:w="57" w:type="dxa"/>
              <w:bottom w:w="57" w:type="dxa"/>
              <w:right w:w="57" w:type="dxa"/>
            </w:tcMar>
            <w:vAlign w:val="center"/>
          </w:tcPr>
          <w:p>
            <w:pPr>
              <w:widowControl/>
              <w:adjustRightInd w:val="0"/>
              <w:snapToGrid w:val="0"/>
              <w:textAlignment w:val="center"/>
              <w:rPr>
                <w:rFonts w:hint="eastAsia"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没收非法制造、销售的渔具和违法所得，并处六千元以上不超过一万元罚款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88" w:hRule="atLeast"/>
          <w:jc w:val="center"/>
        </w:trPr>
        <w:tc>
          <w:tcPr>
            <w:tcW w:w="421" w:type="dxa"/>
            <w:vMerge w:val="restart"/>
            <w:tcBorders>
              <w:tl2br w:val="nil"/>
              <w:tr2bl w:val="nil"/>
            </w:tcBorders>
            <w:tcMar>
              <w:top w:w="57" w:type="dxa"/>
              <w:left w:w="57" w:type="dxa"/>
              <w:bottom w:w="57" w:type="dxa"/>
              <w:right w:w="57" w:type="dxa"/>
            </w:tcMar>
            <w:vAlign w:val="center"/>
          </w:tcPr>
          <w:p>
            <w:pPr>
              <w:widowControl/>
              <w:adjustRightInd w:val="0"/>
              <w:snapToGrid w:val="0"/>
              <w:textAlignment w:val="center"/>
              <w:rPr>
                <w:rFonts w:hint="default"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8</w:t>
            </w:r>
          </w:p>
        </w:tc>
        <w:tc>
          <w:tcPr>
            <w:tcW w:w="1098" w:type="dxa"/>
            <w:vMerge w:val="restart"/>
            <w:tcBorders>
              <w:tl2br w:val="nil"/>
              <w:tr2bl w:val="nil"/>
            </w:tcBorders>
            <w:tcMar>
              <w:top w:w="57" w:type="dxa"/>
              <w:left w:w="57" w:type="dxa"/>
              <w:bottom w:w="57" w:type="dxa"/>
              <w:right w:w="57" w:type="dxa"/>
            </w:tcMar>
            <w:vAlign w:val="center"/>
          </w:tcPr>
          <w:p>
            <w:pPr>
              <w:widowControl/>
              <w:adjustRightInd w:val="0"/>
              <w:snapToGrid w:val="0"/>
              <w:textAlignment w:val="center"/>
              <w:rPr>
                <w:rFonts w:hint="default"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未依法取得捕捞许可证擅自进行捕捞</w:t>
            </w:r>
          </w:p>
        </w:tc>
        <w:tc>
          <w:tcPr>
            <w:tcW w:w="3531" w:type="dxa"/>
            <w:vMerge w:val="restart"/>
            <w:tcBorders>
              <w:tl2br w:val="nil"/>
              <w:tr2bl w:val="nil"/>
            </w:tcBorders>
            <w:tcMar>
              <w:top w:w="57" w:type="dxa"/>
              <w:left w:w="57" w:type="dxa"/>
              <w:bottom w:w="57" w:type="dxa"/>
              <w:right w:w="57" w:type="dxa"/>
            </w:tcMar>
            <w:vAlign w:val="center"/>
          </w:tcPr>
          <w:p>
            <w:pPr>
              <w:widowControl/>
              <w:adjustRightInd w:val="0"/>
              <w:snapToGrid w:val="0"/>
              <w:textAlignment w:val="center"/>
              <w:rPr>
                <w:rFonts w:hint="eastAsia"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《中华人民共和国渔业法》第四十一条，未依法取得捕捞许可证擅自进行捕捞的，没收渔获物和违法所得，并处十万元以下的罚款；情节严重的，并可以没收渔具和渔船。</w:t>
            </w:r>
          </w:p>
        </w:tc>
        <w:tc>
          <w:tcPr>
            <w:tcW w:w="730" w:type="dxa"/>
            <w:vMerge w:val="restart"/>
            <w:tcBorders>
              <w:tl2br w:val="nil"/>
              <w:tr2bl w:val="nil"/>
            </w:tcBorders>
            <w:tcMar>
              <w:top w:w="57" w:type="dxa"/>
              <w:left w:w="57" w:type="dxa"/>
              <w:bottom w:w="57" w:type="dxa"/>
              <w:right w:w="57" w:type="dxa"/>
            </w:tcMar>
            <w:vAlign w:val="center"/>
          </w:tcPr>
          <w:p>
            <w:pPr>
              <w:widowControl/>
              <w:adjustRightInd w:val="0"/>
              <w:snapToGrid w:val="0"/>
              <w:textAlignment w:val="center"/>
              <w:rPr>
                <w:rFonts w:hint="eastAsia"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一般</w:t>
            </w:r>
          </w:p>
        </w:tc>
        <w:tc>
          <w:tcPr>
            <w:tcW w:w="2612" w:type="dxa"/>
            <w:vMerge w:val="restart"/>
            <w:tcBorders>
              <w:tl2br w:val="nil"/>
              <w:tr2bl w:val="nil"/>
            </w:tcBorders>
            <w:tcMar>
              <w:top w:w="57" w:type="dxa"/>
              <w:left w:w="57" w:type="dxa"/>
              <w:bottom w:w="57" w:type="dxa"/>
              <w:right w:w="57" w:type="dxa"/>
            </w:tcMar>
            <w:vAlign w:val="center"/>
          </w:tcPr>
          <w:p>
            <w:pPr>
              <w:widowControl/>
              <w:adjustRightInd w:val="0"/>
              <w:snapToGrid w:val="0"/>
              <w:textAlignment w:val="center"/>
              <w:rPr>
                <w:rFonts w:hint="eastAsia"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br w:type="textWrapping"/>
            </w:r>
            <w:r>
              <w:rPr>
                <w:rFonts w:hint="default" w:ascii="仿宋_GB2312" w:hAnsi="仿宋_GB2312" w:eastAsia="仿宋_GB2312" w:cs="仿宋_GB2312"/>
                <w:color w:val="000000"/>
                <w:kern w:val="0"/>
                <w:sz w:val="21"/>
                <w:szCs w:val="21"/>
                <w:lang w:val="en-US" w:eastAsia="zh-CN"/>
              </w:rPr>
              <w:t>内陆非法捕捞渔获物二十公斤以上一百公斤以下或价值二百元以上一千元以下；捕捞田螺、河蚌等贝类水产品一百五十公斤以上三百五十公斤以下</w:t>
            </w:r>
          </w:p>
        </w:tc>
        <w:tc>
          <w:tcPr>
            <w:tcW w:w="3058" w:type="dxa"/>
            <w:tcBorders>
              <w:bottom w:val="single" w:color="auto" w:sz="4" w:space="0"/>
              <w:tl2br w:val="nil"/>
              <w:tr2bl w:val="nil"/>
            </w:tcBorders>
            <w:tcMar>
              <w:top w:w="57" w:type="dxa"/>
              <w:left w:w="57" w:type="dxa"/>
              <w:bottom w:w="57" w:type="dxa"/>
              <w:right w:w="57" w:type="dxa"/>
            </w:tcMar>
            <w:vAlign w:val="center"/>
          </w:tcPr>
          <w:p>
            <w:pPr>
              <w:widowControl/>
              <w:adjustRightInd w:val="0"/>
              <w:snapToGrid w:val="0"/>
              <w:textAlignment w:val="center"/>
              <w:rPr>
                <w:rFonts w:hint="eastAsia"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非法捕捞渔获物二十公斤以上五十公斤以下或二百元以上五百元以下，捕捞田螺、河蚌等贝类水产品一百五十公斤以上二百五十公斤以下</w:t>
            </w:r>
          </w:p>
        </w:tc>
        <w:tc>
          <w:tcPr>
            <w:tcW w:w="2550"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hint="eastAsia"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br w:type="textWrapping"/>
            </w:r>
            <w:r>
              <w:rPr>
                <w:rFonts w:hint="default" w:ascii="仿宋_GB2312" w:hAnsi="仿宋_GB2312" w:eastAsia="仿宋_GB2312" w:cs="仿宋_GB2312"/>
                <w:color w:val="000000"/>
                <w:kern w:val="0"/>
                <w:sz w:val="21"/>
                <w:szCs w:val="21"/>
                <w:lang w:val="en-US" w:eastAsia="zh-CN"/>
              </w:rPr>
              <w:t>没收渔获物和违法所得，处二千元以上五千元以下罚款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8" w:hRule="atLeast"/>
          <w:jc w:val="center"/>
        </w:trPr>
        <w:tc>
          <w:tcPr>
            <w:tcW w:w="421" w:type="dxa"/>
            <w:vMerge w:val="continue"/>
            <w:tcBorders>
              <w:tl2br w:val="nil"/>
              <w:tr2bl w:val="nil"/>
            </w:tcBorders>
            <w:tcMar>
              <w:top w:w="57" w:type="dxa"/>
              <w:left w:w="57" w:type="dxa"/>
              <w:bottom w:w="57" w:type="dxa"/>
              <w:right w:w="57" w:type="dxa"/>
            </w:tcMar>
            <w:vAlign w:val="center"/>
          </w:tcPr>
          <w:p>
            <w:pPr>
              <w:widowControl/>
              <w:adjustRightInd w:val="0"/>
              <w:snapToGrid w:val="0"/>
              <w:textAlignment w:val="center"/>
              <w:rPr>
                <w:rFonts w:hint="default" w:ascii="仿宋_GB2312" w:hAnsi="仿宋_GB2312" w:eastAsia="仿宋_GB2312" w:cs="仿宋_GB2312"/>
                <w:color w:val="000000"/>
                <w:kern w:val="0"/>
                <w:sz w:val="24"/>
                <w:szCs w:val="24"/>
                <w:lang w:val="en-US" w:eastAsia="zh-CN"/>
              </w:rPr>
            </w:pPr>
          </w:p>
        </w:tc>
        <w:tc>
          <w:tcPr>
            <w:tcW w:w="1098" w:type="dxa"/>
            <w:vMerge w:val="continue"/>
            <w:tcBorders>
              <w:tl2br w:val="nil"/>
              <w:tr2bl w:val="nil"/>
            </w:tcBorders>
            <w:tcMar>
              <w:top w:w="57" w:type="dxa"/>
              <w:left w:w="57" w:type="dxa"/>
              <w:bottom w:w="57" w:type="dxa"/>
              <w:right w:w="57" w:type="dxa"/>
            </w:tcMar>
            <w:vAlign w:val="center"/>
          </w:tcPr>
          <w:p>
            <w:pPr>
              <w:widowControl/>
              <w:adjustRightInd w:val="0"/>
              <w:snapToGrid w:val="0"/>
              <w:textAlignment w:val="center"/>
              <w:rPr>
                <w:rFonts w:hint="default" w:ascii="仿宋_GB2312" w:hAnsi="仿宋_GB2312" w:eastAsia="仿宋_GB2312" w:cs="仿宋_GB2312"/>
                <w:color w:val="000000"/>
                <w:kern w:val="0"/>
                <w:sz w:val="21"/>
                <w:szCs w:val="21"/>
                <w:lang w:val="en-US" w:eastAsia="zh-CN"/>
              </w:rPr>
            </w:pPr>
          </w:p>
        </w:tc>
        <w:tc>
          <w:tcPr>
            <w:tcW w:w="3531" w:type="dxa"/>
            <w:vMerge w:val="continue"/>
            <w:tcBorders>
              <w:tl2br w:val="nil"/>
              <w:tr2bl w:val="nil"/>
            </w:tcBorders>
            <w:tcMar>
              <w:top w:w="57" w:type="dxa"/>
              <w:left w:w="57" w:type="dxa"/>
              <w:bottom w:w="57" w:type="dxa"/>
              <w:right w:w="57" w:type="dxa"/>
            </w:tcMar>
            <w:vAlign w:val="center"/>
          </w:tcPr>
          <w:p>
            <w:pPr>
              <w:widowControl/>
              <w:adjustRightInd w:val="0"/>
              <w:snapToGrid w:val="0"/>
              <w:textAlignment w:val="center"/>
              <w:rPr>
                <w:rFonts w:hint="eastAsia" w:ascii="仿宋_GB2312" w:hAnsi="仿宋_GB2312" w:eastAsia="仿宋_GB2312" w:cs="仿宋_GB2312"/>
                <w:color w:val="000000"/>
                <w:kern w:val="0"/>
                <w:sz w:val="21"/>
                <w:szCs w:val="21"/>
                <w:lang w:val="en-US" w:eastAsia="zh-CN"/>
              </w:rPr>
            </w:pPr>
          </w:p>
        </w:tc>
        <w:tc>
          <w:tcPr>
            <w:tcW w:w="730" w:type="dxa"/>
            <w:vMerge w:val="continue"/>
            <w:tcBorders>
              <w:bottom w:val="single" w:color="auto" w:sz="4" w:space="0"/>
              <w:tl2br w:val="nil"/>
              <w:tr2bl w:val="nil"/>
            </w:tcBorders>
            <w:tcMar>
              <w:top w:w="57" w:type="dxa"/>
              <w:left w:w="57" w:type="dxa"/>
              <w:bottom w:w="57" w:type="dxa"/>
              <w:right w:w="57" w:type="dxa"/>
            </w:tcMar>
            <w:vAlign w:val="center"/>
          </w:tcPr>
          <w:p>
            <w:pPr>
              <w:widowControl/>
              <w:adjustRightInd w:val="0"/>
              <w:snapToGrid w:val="0"/>
              <w:textAlignment w:val="center"/>
              <w:rPr>
                <w:rFonts w:hint="eastAsia" w:ascii="仿宋_GB2312" w:hAnsi="仿宋_GB2312" w:eastAsia="仿宋_GB2312" w:cs="仿宋_GB2312"/>
                <w:color w:val="000000"/>
                <w:kern w:val="0"/>
                <w:sz w:val="21"/>
                <w:szCs w:val="21"/>
                <w:lang w:val="en-US" w:eastAsia="zh-CN"/>
              </w:rPr>
            </w:pPr>
          </w:p>
        </w:tc>
        <w:tc>
          <w:tcPr>
            <w:tcW w:w="2612" w:type="dxa"/>
            <w:vMerge w:val="continue"/>
            <w:tcBorders>
              <w:bottom w:val="single" w:color="auto" w:sz="4" w:space="0"/>
              <w:tl2br w:val="nil"/>
              <w:tr2bl w:val="nil"/>
            </w:tcBorders>
            <w:tcMar>
              <w:top w:w="57" w:type="dxa"/>
              <w:left w:w="57" w:type="dxa"/>
              <w:bottom w:w="57" w:type="dxa"/>
              <w:right w:w="57" w:type="dxa"/>
            </w:tcMar>
            <w:vAlign w:val="center"/>
          </w:tcPr>
          <w:p>
            <w:pPr>
              <w:widowControl/>
              <w:adjustRightInd w:val="0"/>
              <w:snapToGrid w:val="0"/>
              <w:textAlignment w:val="center"/>
              <w:rPr>
                <w:rFonts w:hint="eastAsia" w:ascii="仿宋_GB2312" w:hAnsi="仿宋_GB2312" w:eastAsia="仿宋_GB2312" w:cs="仿宋_GB2312"/>
                <w:color w:val="000000"/>
                <w:kern w:val="0"/>
                <w:sz w:val="21"/>
                <w:szCs w:val="21"/>
                <w:lang w:val="en-US" w:eastAsia="zh-CN"/>
              </w:rPr>
            </w:pPr>
          </w:p>
        </w:tc>
        <w:tc>
          <w:tcPr>
            <w:tcW w:w="3058" w:type="dxa"/>
            <w:tcBorders>
              <w:top w:val="single" w:color="auto" w:sz="4" w:space="0"/>
              <w:bottom w:val="single" w:color="auto" w:sz="4" w:space="0"/>
              <w:right w:val="single" w:color="auto" w:sz="4" w:space="0"/>
              <w:tl2br w:val="nil"/>
              <w:tr2bl w:val="nil"/>
            </w:tcBorders>
            <w:tcMar>
              <w:top w:w="57" w:type="dxa"/>
              <w:left w:w="57" w:type="dxa"/>
              <w:bottom w:w="57" w:type="dxa"/>
              <w:right w:w="57" w:type="dxa"/>
            </w:tcMar>
            <w:vAlign w:val="center"/>
          </w:tcPr>
          <w:p>
            <w:pPr>
              <w:widowControl/>
              <w:adjustRightInd w:val="0"/>
              <w:snapToGrid w:val="0"/>
              <w:textAlignment w:val="center"/>
              <w:rPr>
                <w:rFonts w:hint="eastAsia"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非法捕捞渔获物五十公斤以上一百公斤以下或价值五百元以上一千元以下，捕捞田螺、河蚌等贝类水产品二百五十公斤以上三百五十公斤以下</w:t>
            </w:r>
          </w:p>
        </w:tc>
        <w:tc>
          <w:tcPr>
            <w:tcW w:w="2550" w:type="dxa"/>
            <w:tcBorders>
              <w:left w:val="single" w:color="auto" w:sz="4" w:space="0"/>
              <w:tl2br w:val="nil"/>
              <w:tr2bl w:val="nil"/>
            </w:tcBorders>
            <w:tcMar>
              <w:top w:w="57" w:type="dxa"/>
              <w:left w:w="57" w:type="dxa"/>
              <w:bottom w:w="57" w:type="dxa"/>
              <w:right w:w="57" w:type="dxa"/>
            </w:tcMar>
            <w:vAlign w:val="center"/>
          </w:tcPr>
          <w:p>
            <w:pPr>
              <w:widowControl/>
              <w:adjustRightInd w:val="0"/>
              <w:snapToGrid w:val="0"/>
              <w:textAlignment w:val="center"/>
              <w:rPr>
                <w:rFonts w:hint="eastAsia"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br w:type="textWrapping"/>
            </w:r>
            <w:r>
              <w:rPr>
                <w:rFonts w:hint="default" w:ascii="仿宋_GB2312" w:hAnsi="仿宋_GB2312" w:eastAsia="仿宋_GB2312" w:cs="仿宋_GB2312"/>
                <w:color w:val="000000"/>
                <w:kern w:val="0"/>
                <w:sz w:val="21"/>
                <w:szCs w:val="21"/>
                <w:lang w:val="en-US" w:eastAsia="zh-CN"/>
              </w:rPr>
              <w:t>没收渔获物和违法所得，处五千元以上二万以下罚款，没收渔具，吊销捕捞许可证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81" w:hRule="atLeast"/>
          <w:jc w:val="center"/>
        </w:trPr>
        <w:tc>
          <w:tcPr>
            <w:tcW w:w="421" w:type="dxa"/>
            <w:vMerge w:val="continue"/>
            <w:tcBorders>
              <w:tl2br w:val="nil"/>
              <w:tr2bl w:val="nil"/>
            </w:tcBorders>
            <w:tcMar>
              <w:top w:w="57" w:type="dxa"/>
              <w:left w:w="57" w:type="dxa"/>
              <w:bottom w:w="57" w:type="dxa"/>
              <w:right w:w="57" w:type="dxa"/>
            </w:tcMar>
            <w:vAlign w:val="center"/>
          </w:tcPr>
          <w:p>
            <w:pPr>
              <w:widowControl/>
              <w:adjustRightInd w:val="0"/>
              <w:snapToGrid w:val="0"/>
              <w:textAlignment w:val="center"/>
              <w:rPr>
                <w:rFonts w:hint="default" w:ascii="仿宋_GB2312" w:hAnsi="仿宋_GB2312" w:eastAsia="仿宋_GB2312" w:cs="仿宋_GB2312"/>
                <w:color w:val="000000"/>
                <w:kern w:val="0"/>
                <w:sz w:val="24"/>
                <w:szCs w:val="24"/>
                <w:lang w:val="en-US" w:eastAsia="zh-CN"/>
              </w:rPr>
            </w:pPr>
          </w:p>
        </w:tc>
        <w:tc>
          <w:tcPr>
            <w:tcW w:w="1098" w:type="dxa"/>
            <w:vMerge w:val="continue"/>
            <w:tcBorders>
              <w:tl2br w:val="nil"/>
              <w:tr2bl w:val="nil"/>
            </w:tcBorders>
            <w:tcMar>
              <w:top w:w="57" w:type="dxa"/>
              <w:left w:w="57" w:type="dxa"/>
              <w:bottom w:w="57" w:type="dxa"/>
              <w:right w:w="57" w:type="dxa"/>
            </w:tcMar>
            <w:vAlign w:val="center"/>
          </w:tcPr>
          <w:p>
            <w:pPr>
              <w:widowControl/>
              <w:adjustRightInd w:val="0"/>
              <w:snapToGrid w:val="0"/>
              <w:textAlignment w:val="center"/>
              <w:rPr>
                <w:rFonts w:hint="default" w:ascii="仿宋_GB2312" w:hAnsi="仿宋_GB2312" w:eastAsia="仿宋_GB2312" w:cs="仿宋_GB2312"/>
                <w:color w:val="000000"/>
                <w:kern w:val="0"/>
                <w:sz w:val="21"/>
                <w:szCs w:val="21"/>
                <w:lang w:val="en-US" w:eastAsia="zh-CN"/>
              </w:rPr>
            </w:pPr>
          </w:p>
        </w:tc>
        <w:tc>
          <w:tcPr>
            <w:tcW w:w="3531" w:type="dxa"/>
            <w:vMerge w:val="continue"/>
            <w:tcBorders>
              <w:tl2br w:val="nil"/>
              <w:tr2bl w:val="nil"/>
            </w:tcBorders>
            <w:tcMar>
              <w:top w:w="57" w:type="dxa"/>
              <w:left w:w="57" w:type="dxa"/>
              <w:bottom w:w="57" w:type="dxa"/>
              <w:right w:w="57" w:type="dxa"/>
            </w:tcMar>
            <w:vAlign w:val="center"/>
          </w:tcPr>
          <w:p>
            <w:pPr>
              <w:widowControl/>
              <w:adjustRightInd w:val="0"/>
              <w:snapToGrid w:val="0"/>
              <w:textAlignment w:val="center"/>
              <w:rPr>
                <w:rFonts w:hint="eastAsia" w:ascii="仿宋_GB2312" w:hAnsi="仿宋_GB2312" w:eastAsia="仿宋_GB2312" w:cs="仿宋_GB2312"/>
                <w:color w:val="000000"/>
                <w:kern w:val="0"/>
                <w:sz w:val="21"/>
                <w:szCs w:val="21"/>
                <w:lang w:val="en-US" w:eastAsia="zh-CN"/>
              </w:rPr>
            </w:pPr>
          </w:p>
        </w:tc>
        <w:tc>
          <w:tcPr>
            <w:tcW w:w="730" w:type="dxa"/>
            <w:vMerge w:val="restart"/>
            <w:tcBorders>
              <w:top w:val="single" w:color="auto" w:sz="4" w:space="0"/>
              <w:tl2br w:val="nil"/>
              <w:tr2bl w:val="nil"/>
            </w:tcBorders>
            <w:tcMar>
              <w:top w:w="57" w:type="dxa"/>
              <w:left w:w="57" w:type="dxa"/>
              <w:bottom w:w="57" w:type="dxa"/>
              <w:right w:w="57" w:type="dxa"/>
            </w:tcMar>
            <w:vAlign w:val="center"/>
          </w:tcPr>
          <w:p>
            <w:pPr>
              <w:widowControl/>
              <w:adjustRightInd w:val="0"/>
              <w:snapToGrid w:val="0"/>
              <w:textAlignment w:val="center"/>
              <w:rPr>
                <w:rFonts w:hint="eastAsia"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严重</w:t>
            </w:r>
          </w:p>
        </w:tc>
        <w:tc>
          <w:tcPr>
            <w:tcW w:w="2612" w:type="dxa"/>
            <w:vMerge w:val="restart"/>
            <w:tcBorders>
              <w:top w:val="single" w:color="auto" w:sz="4" w:space="0"/>
              <w:tl2br w:val="nil"/>
              <w:tr2bl w:val="nil"/>
            </w:tcBorders>
            <w:tcMar>
              <w:top w:w="57" w:type="dxa"/>
              <w:left w:w="57" w:type="dxa"/>
              <w:bottom w:w="57" w:type="dxa"/>
              <w:right w:w="57" w:type="dxa"/>
            </w:tcMar>
            <w:vAlign w:val="center"/>
          </w:tcPr>
          <w:p>
            <w:pPr>
              <w:widowControl/>
              <w:adjustRightInd w:val="0"/>
              <w:snapToGrid w:val="0"/>
              <w:textAlignment w:val="center"/>
              <w:rPr>
                <w:rFonts w:hint="eastAsia"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br w:type="textWrapping"/>
            </w:r>
            <w:r>
              <w:rPr>
                <w:rFonts w:hint="default" w:ascii="仿宋_GB2312" w:hAnsi="仿宋_GB2312" w:eastAsia="仿宋_GB2312" w:cs="仿宋_GB2312"/>
                <w:color w:val="000000"/>
                <w:kern w:val="0"/>
                <w:sz w:val="21"/>
                <w:szCs w:val="21"/>
                <w:lang w:val="en-US" w:eastAsia="zh-CN"/>
              </w:rPr>
              <w:t>内陆非法捕捞渔获物</w:t>
            </w:r>
            <w:r>
              <w:rPr>
                <w:rFonts w:hint="default" w:ascii="仿宋_GB2312" w:hAnsi="仿宋_GB2312" w:eastAsia="仿宋_GB2312" w:cs="仿宋_GB2312"/>
                <w:color w:val="000000"/>
                <w:kern w:val="0"/>
                <w:sz w:val="21"/>
                <w:szCs w:val="21"/>
                <w:lang w:val="en-US" w:eastAsia="zh-CN"/>
              </w:rPr>
              <w:br w:type="textWrapping"/>
            </w:r>
            <w:r>
              <w:rPr>
                <w:rFonts w:hint="default" w:ascii="仿宋_GB2312" w:hAnsi="仿宋_GB2312" w:eastAsia="仿宋_GB2312" w:cs="仿宋_GB2312"/>
                <w:color w:val="000000"/>
                <w:kern w:val="0"/>
                <w:sz w:val="21"/>
                <w:szCs w:val="21"/>
                <w:lang w:val="en-US" w:eastAsia="zh-CN"/>
              </w:rPr>
              <w:t>一百公斤以上或</w:t>
            </w:r>
            <w:r>
              <w:rPr>
                <w:rFonts w:hint="default" w:ascii="仿宋_GB2312" w:hAnsi="仿宋_GB2312" w:eastAsia="仿宋_GB2312" w:cs="仿宋_GB2312"/>
                <w:color w:val="000000"/>
                <w:kern w:val="0"/>
                <w:sz w:val="21"/>
                <w:szCs w:val="21"/>
                <w:lang w:val="en-US" w:eastAsia="zh-CN"/>
              </w:rPr>
              <w:br w:type="textWrapping"/>
            </w:r>
            <w:r>
              <w:rPr>
                <w:rFonts w:hint="default" w:ascii="仿宋_GB2312" w:hAnsi="仿宋_GB2312" w:eastAsia="仿宋_GB2312" w:cs="仿宋_GB2312"/>
                <w:color w:val="000000"/>
                <w:kern w:val="0"/>
                <w:sz w:val="21"/>
                <w:szCs w:val="21"/>
                <w:lang w:val="en-US" w:eastAsia="zh-CN"/>
              </w:rPr>
              <w:t>价值一千元以上；非法捕捞田螺、河蚌等贝类水产品三百五十公斤以上</w:t>
            </w:r>
          </w:p>
        </w:tc>
        <w:tc>
          <w:tcPr>
            <w:tcW w:w="3058" w:type="dxa"/>
            <w:tcBorders>
              <w:top w:val="single" w:color="auto" w:sz="4" w:space="0"/>
              <w:right w:val="single" w:color="auto" w:sz="4" w:space="0"/>
              <w:tl2br w:val="nil"/>
              <w:tr2bl w:val="nil"/>
            </w:tcBorders>
            <w:tcMar>
              <w:top w:w="57" w:type="dxa"/>
              <w:left w:w="57" w:type="dxa"/>
              <w:bottom w:w="57" w:type="dxa"/>
              <w:right w:w="57" w:type="dxa"/>
            </w:tcMar>
            <w:vAlign w:val="center"/>
          </w:tcPr>
          <w:p>
            <w:pPr>
              <w:widowControl/>
              <w:adjustRightInd w:val="0"/>
              <w:snapToGrid w:val="0"/>
              <w:textAlignment w:val="center"/>
              <w:rPr>
                <w:rFonts w:hint="eastAsia"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非法捕捞渔获物一百公斤以上三百公斤以下或价值一千元以上三千元以下；捕捞田螺、河蚌等贝类水产品三百五十公斤以上五百公斤以下</w:t>
            </w:r>
          </w:p>
        </w:tc>
        <w:tc>
          <w:tcPr>
            <w:tcW w:w="2550" w:type="dxa"/>
            <w:tcBorders>
              <w:left w:val="single" w:color="auto" w:sz="4" w:space="0"/>
              <w:tl2br w:val="nil"/>
              <w:tr2bl w:val="nil"/>
            </w:tcBorders>
            <w:tcMar>
              <w:top w:w="57" w:type="dxa"/>
              <w:left w:w="57" w:type="dxa"/>
              <w:bottom w:w="57" w:type="dxa"/>
              <w:right w:w="57" w:type="dxa"/>
            </w:tcMar>
            <w:vAlign w:val="center"/>
          </w:tcPr>
          <w:p>
            <w:pPr>
              <w:widowControl/>
              <w:adjustRightInd w:val="0"/>
              <w:snapToGrid w:val="0"/>
              <w:textAlignment w:val="center"/>
              <w:rPr>
                <w:rFonts w:hint="eastAsia"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没收渔获物和违法所得，处二万元以上三万以下罚款，没收渔具，吊销捕捞许可证，可以没收渔船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7" w:hRule="atLeast"/>
          <w:jc w:val="center"/>
        </w:trPr>
        <w:tc>
          <w:tcPr>
            <w:tcW w:w="421" w:type="dxa"/>
            <w:vMerge w:val="continue"/>
            <w:tcBorders>
              <w:tl2br w:val="nil"/>
              <w:tr2bl w:val="nil"/>
            </w:tcBorders>
            <w:tcMar>
              <w:top w:w="57" w:type="dxa"/>
              <w:left w:w="57" w:type="dxa"/>
              <w:bottom w:w="57" w:type="dxa"/>
              <w:right w:w="57" w:type="dxa"/>
            </w:tcMar>
            <w:vAlign w:val="center"/>
          </w:tcPr>
          <w:p>
            <w:pPr>
              <w:widowControl/>
              <w:adjustRightInd w:val="0"/>
              <w:snapToGrid w:val="0"/>
              <w:textAlignment w:val="center"/>
              <w:rPr>
                <w:rFonts w:hint="default" w:ascii="仿宋_GB2312" w:hAnsi="仿宋_GB2312" w:eastAsia="仿宋_GB2312" w:cs="仿宋_GB2312"/>
                <w:color w:val="000000"/>
                <w:kern w:val="0"/>
                <w:sz w:val="24"/>
                <w:szCs w:val="24"/>
                <w:lang w:val="en-US" w:eastAsia="zh-CN"/>
              </w:rPr>
            </w:pPr>
          </w:p>
        </w:tc>
        <w:tc>
          <w:tcPr>
            <w:tcW w:w="1098" w:type="dxa"/>
            <w:vMerge w:val="continue"/>
            <w:tcBorders>
              <w:tl2br w:val="nil"/>
              <w:tr2bl w:val="nil"/>
            </w:tcBorders>
            <w:tcMar>
              <w:top w:w="57" w:type="dxa"/>
              <w:left w:w="57" w:type="dxa"/>
              <w:bottom w:w="57" w:type="dxa"/>
              <w:right w:w="57" w:type="dxa"/>
            </w:tcMar>
            <w:vAlign w:val="center"/>
          </w:tcPr>
          <w:p>
            <w:pPr>
              <w:widowControl/>
              <w:adjustRightInd w:val="0"/>
              <w:snapToGrid w:val="0"/>
              <w:textAlignment w:val="center"/>
              <w:rPr>
                <w:rFonts w:hint="default" w:ascii="仿宋_GB2312" w:hAnsi="仿宋_GB2312" w:eastAsia="仿宋_GB2312" w:cs="仿宋_GB2312"/>
                <w:color w:val="000000"/>
                <w:kern w:val="0"/>
                <w:sz w:val="21"/>
                <w:szCs w:val="21"/>
                <w:lang w:val="en-US" w:eastAsia="zh-CN"/>
              </w:rPr>
            </w:pPr>
          </w:p>
        </w:tc>
        <w:tc>
          <w:tcPr>
            <w:tcW w:w="3531" w:type="dxa"/>
            <w:vMerge w:val="continue"/>
            <w:tcBorders>
              <w:tl2br w:val="nil"/>
              <w:tr2bl w:val="nil"/>
            </w:tcBorders>
            <w:tcMar>
              <w:top w:w="57" w:type="dxa"/>
              <w:left w:w="57" w:type="dxa"/>
              <w:bottom w:w="57" w:type="dxa"/>
              <w:right w:w="57" w:type="dxa"/>
            </w:tcMar>
            <w:vAlign w:val="center"/>
          </w:tcPr>
          <w:p>
            <w:pPr>
              <w:widowControl/>
              <w:adjustRightInd w:val="0"/>
              <w:snapToGrid w:val="0"/>
              <w:textAlignment w:val="center"/>
              <w:rPr>
                <w:rFonts w:hint="eastAsia" w:ascii="仿宋_GB2312" w:hAnsi="仿宋_GB2312" w:eastAsia="仿宋_GB2312" w:cs="仿宋_GB2312"/>
                <w:color w:val="000000"/>
                <w:kern w:val="0"/>
                <w:sz w:val="21"/>
                <w:szCs w:val="21"/>
                <w:lang w:val="en-US" w:eastAsia="zh-CN"/>
              </w:rPr>
            </w:pPr>
          </w:p>
        </w:tc>
        <w:tc>
          <w:tcPr>
            <w:tcW w:w="730" w:type="dxa"/>
            <w:vMerge w:val="continue"/>
            <w:tcBorders>
              <w:tl2br w:val="nil"/>
              <w:tr2bl w:val="nil"/>
            </w:tcBorders>
            <w:tcMar>
              <w:top w:w="57" w:type="dxa"/>
              <w:left w:w="57" w:type="dxa"/>
              <w:bottom w:w="57" w:type="dxa"/>
              <w:right w:w="57" w:type="dxa"/>
            </w:tcMar>
            <w:vAlign w:val="center"/>
          </w:tcPr>
          <w:p>
            <w:pPr>
              <w:widowControl/>
              <w:adjustRightInd w:val="0"/>
              <w:snapToGrid w:val="0"/>
              <w:textAlignment w:val="center"/>
              <w:rPr>
                <w:rFonts w:hint="eastAsia" w:ascii="仿宋_GB2312" w:hAnsi="仿宋_GB2312" w:eastAsia="仿宋_GB2312" w:cs="仿宋_GB2312"/>
                <w:color w:val="000000"/>
                <w:kern w:val="0"/>
                <w:sz w:val="21"/>
                <w:szCs w:val="21"/>
                <w:lang w:val="en-US" w:eastAsia="zh-CN"/>
              </w:rPr>
            </w:pPr>
          </w:p>
        </w:tc>
        <w:tc>
          <w:tcPr>
            <w:tcW w:w="2612" w:type="dxa"/>
            <w:vMerge w:val="continue"/>
            <w:tcBorders>
              <w:tl2br w:val="nil"/>
              <w:tr2bl w:val="nil"/>
            </w:tcBorders>
            <w:tcMar>
              <w:top w:w="57" w:type="dxa"/>
              <w:left w:w="57" w:type="dxa"/>
              <w:bottom w:w="57" w:type="dxa"/>
              <w:right w:w="57" w:type="dxa"/>
            </w:tcMar>
            <w:vAlign w:val="center"/>
          </w:tcPr>
          <w:p>
            <w:pPr>
              <w:widowControl/>
              <w:adjustRightInd w:val="0"/>
              <w:snapToGrid w:val="0"/>
              <w:textAlignment w:val="center"/>
              <w:rPr>
                <w:rFonts w:hint="eastAsia" w:ascii="仿宋_GB2312" w:hAnsi="仿宋_GB2312" w:eastAsia="仿宋_GB2312" w:cs="仿宋_GB2312"/>
                <w:color w:val="000000"/>
                <w:kern w:val="0"/>
                <w:sz w:val="21"/>
                <w:szCs w:val="21"/>
                <w:lang w:val="en-US" w:eastAsia="zh-CN"/>
              </w:rPr>
            </w:pPr>
          </w:p>
        </w:tc>
        <w:tc>
          <w:tcPr>
            <w:tcW w:w="3058" w:type="dxa"/>
            <w:tcBorders>
              <w:right w:val="single" w:color="auto" w:sz="4" w:space="0"/>
              <w:tl2br w:val="nil"/>
              <w:tr2bl w:val="nil"/>
            </w:tcBorders>
            <w:tcMar>
              <w:top w:w="57" w:type="dxa"/>
              <w:left w:w="57" w:type="dxa"/>
              <w:bottom w:w="57" w:type="dxa"/>
              <w:right w:w="57" w:type="dxa"/>
            </w:tcMar>
            <w:vAlign w:val="center"/>
          </w:tcPr>
          <w:p>
            <w:pPr>
              <w:widowControl/>
              <w:adjustRightInd w:val="0"/>
              <w:snapToGrid w:val="0"/>
              <w:textAlignment w:val="center"/>
              <w:rPr>
                <w:rFonts w:hint="eastAsia"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非法捕捞渔获物三百公斤以上或价值三千元以上，捕捞田螺、河蚌等贝类水产品五百公斤以上</w:t>
            </w:r>
          </w:p>
        </w:tc>
        <w:tc>
          <w:tcPr>
            <w:tcW w:w="2550" w:type="dxa"/>
            <w:tcBorders>
              <w:left w:val="single" w:color="auto" w:sz="4" w:space="0"/>
              <w:tl2br w:val="nil"/>
              <w:tr2bl w:val="nil"/>
            </w:tcBorders>
            <w:tcMar>
              <w:top w:w="57" w:type="dxa"/>
              <w:left w:w="57" w:type="dxa"/>
              <w:bottom w:w="57" w:type="dxa"/>
              <w:right w:w="57" w:type="dxa"/>
            </w:tcMar>
            <w:vAlign w:val="center"/>
          </w:tcPr>
          <w:p>
            <w:pPr>
              <w:widowControl/>
              <w:adjustRightInd w:val="0"/>
              <w:snapToGrid w:val="0"/>
              <w:textAlignment w:val="center"/>
              <w:rPr>
                <w:rFonts w:hint="eastAsia"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没收渔获物和违法所得，处三万元以上不超过五万元罚款，没收渔具，吊销捕捞许可证，可以没收渔船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2" w:hRule="atLeast"/>
          <w:jc w:val="center"/>
        </w:trPr>
        <w:tc>
          <w:tcPr>
            <w:tcW w:w="421" w:type="dxa"/>
            <w:vMerge w:val="restart"/>
            <w:tcBorders>
              <w:tl2br w:val="nil"/>
              <w:tr2bl w:val="nil"/>
            </w:tcBorders>
            <w:tcMar>
              <w:top w:w="57" w:type="dxa"/>
              <w:left w:w="57" w:type="dxa"/>
              <w:bottom w:w="57" w:type="dxa"/>
              <w:right w:w="57" w:type="dxa"/>
            </w:tcMar>
            <w:vAlign w:val="center"/>
          </w:tcPr>
          <w:p>
            <w:pPr>
              <w:widowControl/>
              <w:adjustRightInd w:val="0"/>
              <w:snapToGrid w:val="0"/>
              <w:textAlignment w:val="center"/>
              <w:rPr>
                <w:rFonts w:hint="default" w:ascii="仿宋_GB2312" w:hAnsi="仿宋_GB2312" w:eastAsia="仿宋_GB2312" w:cs="仿宋_GB2312"/>
                <w:color w:val="000000"/>
                <w:kern w:val="0"/>
                <w:sz w:val="21"/>
                <w:szCs w:val="21"/>
                <w:lang w:val="en-US" w:eastAsia="zh-CN"/>
              </w:rPr>
            </w:pPr>
            <w:r>
              <w:rPr>
                <w:rFonts w:hint="eastAsia" w:ascii="仿宋_GB2312" w:hAnsi="仿宋_GB2312" w:eastAsia="仿宋_GB2312" w:cs="仿宋_GB2312"/>
                <w:color w:val="000000"/>
                <w:kern w:val="0"/>
                <w:sz w:val="21"/>
                <w:szCs w:val="21"/>
                <w:lang w:val="en-US" w:eastAsia="zh-CN"/>
              </w:rPr>
              <w:t>9</w:t>
            </w:r>
          </w:p>
        </w:tc>
        <w:tc>
          <w:tcPr>
            <w:tcW w:w="1098" w:type="dxa"/>
            <w:vMerge w:val="restart"/>
            <w:tcBorders>
              <w:tl2br w:val="nil"/>
              <w:tr2bl w:val="nil"/>
            </w:tcBorders>
            <w:tcMar>
              <w:top w:w="57" w:type="dxa"/>
              <w:left w:w="57" w:type="dxa"/>
              <w:bottom w:w="57" w:type="dxa"/>
              <w:right w:w="57" w:type="dxa"/>
            </w:tcMar>
            <w:vAlign w:val="center"/>
          </w:tcPr>
          <w:p>
            <w:pPr>
              <w:widowControl/>
              <w:adjustRightInd w:val="0"/>
              <w:snapToGrid w:val="0"/>
              <w:textAlignment w:val="center"/>
              <w:rPr>
                <w:rFonts w:hint="default"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违反捕捞许可证关于作业类型、场所、时限和渔具、数量的规定进行捕捞</w:t>
            </w:r>
          </w:p>
        </w:tc>
        <w:tc>
          <w:tcPr>
            <w:tcW w:w="3531" w:type="dxa"/>
            <w:vMerge w:val="restart"/>
            <w:tcBorders>
              <w:tl2br w:val="nil"/>
              <w:tr2bl w:val="nil"/>
            </w:tcBorders>
            <w:tcMar>
              <w:top w:w="57" w:type="dxa"/>
              <w:left w:w="57" w:type="dxa"/>
              <w:bottom w:w="57" w:type="dxa"/>
              <w:right w:w="57" w:type="dxa"/>
            </w:tcMar>
            <w:vAlign w:val="center"/>
          </w:tcPr>
          <w:p>
            <w:pPr>
              <w:widowControl/>
              <w:adjustRightInd w:val="0"/>
              <w:snapToGrid w:val="0"/>
              <w:textAlignment w:val="center"/>
              <w:rPr>
                <w:rFonts w:hint="eastAsia"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 xml:space="preserve">《中华人民共和国渔业法》第四十二条，违反捕捞许可证关于作业类型、场所、时限和渔具数量的规定进行捕捞的，没收渔获物和违法所得，可以并处五万元以下的罚款；情节严重的，并可以没收渔具，吊销捕捞许可证。 </w:t>
            </w:r>
          </w:p>
        </w:tc>
        <w:tc>
          <w:tcPr>
            <w:tcW w:w="730" w:type="dxa"/>
            <w:tcBorders>
              <w:bottom w:val="single" w:color="auto" w:sz="4" w:space="0"/>
              <w:tl2br w:val="nil"/>
              <w:tr2bl w:val="nil"/>
            </w:tcBorders>
            <w:tcMar>
              <w:top w:w="57" w:type="dxa"/>
              <w:left w:w="57" w:type="dxa"/>
              <w:bottom w:w="57" w:type="dxa"/>
              <w:right w:w="57" w:type="dxa"/>
            </w:tcMar>
            <w:vAlign w:val="center"/>
          </w:tcPr>
          <w:p>
            <w:pPr>
              <w:widowControl/>
              <w:adjustRightInd w:val="0"/>
              <w:snapToGrid w:val="0"/>
              <w:textAlignment w:val="center"/>
              <w:rPr>
                <w:rFonts w:hint="eastAsia"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较轻</w:t>
            </w:r>
          </w:p>
        </w:tc>
        <w:tc>
          <w:tcPr>
            <w:tcW w:w="2612" w:type="dxa"/>
            <w:tcBorders>
              <w:bottom w:val="single" w:color="auto" w:sz="4" w:space="0"/>
              <w:tl2br w:val="nil"/>
              <w:tr2bl w:val="nil"/>
            </w:tcBorders>
            <w:tcMar>
              <w:top w:w="57" w:type="dxa"/>
              <w:left w:w="57" w:type="dxa"/>
              <w:bottom w:w="57" w:type="dxa"/>
              <w:right w:w="57" w:type="dxa"/>
            </w:tcMar>
            <w:vAlign w:val="center"/>
          </w:tcPr>
          <w:p>
            <w:pPr>
              <w:widowControl/>
              <w:adjustRightInd w:val="0"/>
              <w:snapToGrid w:val="0"/>
              <w:textAlignment w:val="center"/>
              <w:rPr>
                <w:rFonts w:hint="eastAsia"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内陆非法捕捞渔获物二十公斤以下或价值二百元以下</w:t>
            </w:r>
          </w:p>
        </w:tc>
        <w:tc>
          <w:tcPr>
            <w:tcW w:w="5608" w:type="dxa"/>
            <w:gridSpan w:val="2"/>
            <w:tcBorders>
              <w:bottom w:val="single" w:color="auto" w:sz="4" w:space="0"/>
              <w:tl2br w:val="nil"/>
              <w:tr2bl w:val="nil"/>
            </w:tcBorders>
            <w:tcMar>
              <w:top w:w="57" w:type="dxa"/>
              <w:left w:w="57" w:type="dxa"/>
              <w:bottom w:w="57" w:type="dxa"/>
              <w:right w:w="57" w:type="dxa"/>
            </w:tcMar>
            <w:vAlign w:val="center"/>
          </w:tcPr>
          <w:p>
            <w:pPr>
              <w:widowControl/>
              <w:adjustRightInd w:val="0"/>
              <w:snapToGrid w:val="0"/>
              <w:textAlignment w:val="center"/>
              <w:rPr>
                <w:rFonts w:hint="eastAsia" w:ascii="仿宋_GB2312" w:hAnsi="仿宋_GB2312" w:eastAsia="仿宋_GB2312" w:cs="仿宋_GB2312"/>
                <w:color w:val="000000"/>
                <w:kern w:val="0"/>
                <w:sz w:val="21"/>
                <w:szCs w:val="21"/>
                <w:lang w:val="en-US" w:eastAsia="zh-CN"/>
              </w:rPr>
            </w:pPr>
            <w:r>
              <w:rPr>
                <w:rFonts w:hint="eastAsia" w:ascii="仿宋_GB2312" w:hAnsi="仿宋_GB2312" w:eastAsia="仿宋_GB2312" w:cs="仿宋_GB2312"/>
                <w:color w:val="000000"/>
                <w:kern w:val="0"/>
                <w:sz w:val="21"/>
                <w:szCs w:val="21"/>
                <w:lang w:val="en-US" w:eastAsia="zh-CN"/>
              </w:rPr>
              <w:t>没收渔获物和违法所得，处二千元以下罚款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4" w:hRule="atLeast"/>
          <w:jc w:val="center"/>
        </w:trPr>
        <w:tc>
          <w:tcPr>
            <w:tcW w:w="421" w:type="dxa"/>
            <w:vMerge w:val="continue"/>
            <w:tcBorders>
              <w:tl2br w:val="nil"/>
              <w:tr2bl w:val="nil"/>
            </w:tcBorders>
            <w:tcMar>
              <w:top w:w="57" w:type="dxa"/>
              <w:left w:w="57" w:type="dxa"/>
              <w:bottom w:w="57" w:type="dxa"/>
              <w:right w:w="57" w:type="dxa"/>
            </w:tcMar>
            <w:vAlign w:val="center"/>
          </w:tcPr>
          <w:p>
            <w:pPr>
              <w:widowControl/>
              <w:adjustRightInd w:val="0"/>
              <w:snapToGrid w:val="0"/>
              <w:textAlignment w:val="center"/>
              <w:rPr>
                <w:rFonts w:hint="default" w:ascii="仿宋_GB2312" w:hAnsi="仿宋_GB2312" w:eastAsia="仿宋_GB2312" w:cs="仿宋_GB2312"/>
                <w:color w:val="000000"/>
                <w:kern w:val="0"/>
                <w:sz w:val="21"/>
                <w:szCs w:val="21"/>
                <w:lang w:val="en-US" w:eastAsia="zh-CN"/>
              </w:rPr>
            </w:pPr>
          </w:p>
        </w:tc>
        <w:tc>
          <w:tcPr>
            <w:tcW w:w="1098" w:type="dxa"/>
            <w:vMerge w:val="continue"/>
            <w:tcBorders>
              <w:tl2br w:val="nil"/>
              <w:tr2bl w:val="nil"/>
            </w:tcBorders>
            <w:tcMar>
              <w:top w:w="57" w:type="dxa"/>
              <w:left w:w="57" w:type="dxa"/>
              <w:bottom w:w="57" w:type="dxa"/>
              <w:right w:w="57" w:type="dxa"/>
            </w:tcMar>
            <w:vAlign w:val="center"/>
          </w:tcPr>
          <w:p>
            <w:pPr>
              <w:widowControl/>
              <w:adjustRightInd w:val="0"/>
              <w:snapToGrid w:val="0"/>
              <w:textAlignment w:val="center"/>
              <w:rPr>
                <w:rFonts w:hint="default" w:ascii="仿宋_GB2312" w:hAnsi="仿宋_GB2312" w:eastAsia="仿宋_GB2312" w:cs="仿宋_GB2312"/>
                <w:color w:val="000000"/>
                <w:kern w:val="0"/>
                <w:sz w:val="21"/>
                <w:szCs w:val="21"/>
                <w:lang w:val="en-US" w:eastAsia="zh-CN"/>
              </w:rPr>
            </w:pPr>
          </w:p>
        </w:tc>
        <w:tc>
          <w:tcPr>
            <w:tcW w:w="3531" w:type="dxa"/>
            <w:vMerge w:val="continue"/>
            <w:tcBorders>
              <w:tl2br w:val="nil"/>
              <w:tr2bl w:val="nil"/>
            </w:tcBorders>
            <w:tcMar>
              <w:top w:w="57" w:type="dxa"/>
              <w:left w:w="57" w:type="dxa"/>
              <w:bottom w:w="57" w:type="dxa"/>
              <w:right w:w="57" w:type="dxa"/>
            </w:tcMar>
            <w:vAlign w:val="center"/>
          </w:tcPr>
          <w:p>
            <w:pPr>
              <w:widowControl/>
              <w:adjustRightInd w:val="0"/>
              <w:snapToGrid w:val="0"/>
              <w:textAlignment w:val="center"/>
              <w:rPr>
                <w:rFonts w:hint="eastAsia" w:ascii="仿宋_GB2312" w:hAnsi="仿宋_GB2312" w:eastAsia="仿宋_GB2312" w:cs="仿宋_GB2312"/>
                <w:color w:val="000000"/>
                <w:kern w:val="0"/>
                <w:sz w:val="21"/>
                <w:szCs w:val="21"/>
                <w:lang w:val="en-US" w:eastAsia="zh-CN"/>
              </w:rPr>
            </w:pPr>
          </w:p>
        </w:tc>
        <w:tc>
          <w:tcPr>
            <w:tcW w:w="730" w:type="dxa"/>
            <w:vMerge w:val="restart"/>
            <w:tcBorders>
              <w:top w:val="single" w:color="auto" w:sz="4" w:space="0"/>
              <w:tl2br w:val="nil"/>
              <w:tr2bl w:val="nil"/>
            </w:tcBorders>
            <w:tcMar>
              <w:top w:w="57" w:type="dxa"/>
              <w:left w:w="57" w:type="dxa"/>
              <w:bottom w:w="57" w:type="dxa"/>
              <w:right w:w="57" w:type="dxa"/>
            </w:tcMar>
            <w:vAlign w:val="center"/>
          </w:tcPr>
          <w:p>
            <w:pPr>
              <w:widowControl/>
              <w:adjustRightInd w:val="0"/>
              <w:snapToGrid w:val="0"/>
              <w:textAlignment w:val="center"/>
              <w:rPr>
                <w:rFonts w:hint="eastAsia"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一般</w:t>
            </w:r>
          </w:p>
        </w:tc>
        <w:tc>
          <w:tcPr>
            <w:tcW w:w="2612" w:type="dxa"/>
            <w:vMerge w:val="restart"/>
            <w:tcBorders>
              <w:top w:val="single" w:color="auto" w:sz="4" w:space="0"/>
              <w:tl2br w:val="nil"/>
              <w:tr2bl w:val="nil"/>
            </w:tcBorders>
            <w:tcMar>
              <w:top w:w="57" w:type="dxa"/>
              <w:left w:w="57" w:type="dxa"/>
              <w:bottom w:w="57" w:type="dxa"/>
              <w:right w:w="57" w:type="dxa"/>
            </w:tcMar>
            <w:vAlign w:val="center"/>
          </w:tcPr>
          <w:p>
            <w:pPr>
              <w:widowControl/>
              <w:adjustRightInd w:val="0"/>
              <w:snapToGrid w:val="0"/>
              <w:textAlignment w:val="center"/>
              <w:rPr>
                <w:rFonts w:hint="eastAsia"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br w:type="textWrapping"/>
            </w:r>
            <w:r>
              <w:rPr>
                <w:rFonts w:hint="default" w:ascii="仿宋_GB2312" w:hAnsi="仿宋_GB2312" w:eastAsia="仿宋_GB2312" w:cs="仿宋_GB2312"/>
                <w:color w:val="000000"/>
                <w:kern w:val="0"/>
                <w:sz w:val="21"/>
                <w:szCs w:val="21"/>
                <w:lang w:val="en-US" w:eastAsia="zh-CN"/>
              </w:rPr>
              <w:t>内陆非法捕捞渔获物二十公斤以上一百公斤以下或价值二百元以上一千元以下</w:t>
            </w:r>
          </w:p>
        </w:tc>
        <w:tc>
          <w:tcPr>
            <w:tcW w:w="3058" w:type="dxa"/>
            <w:tcBorders>
              <w:top w:val="single" w:color="auto" w:sz="4" w:space="0"/>
              <w:bottom w:val="single" w:color="auto" w:sz="4" w:space="0"/>
              <w:right w:val="single" w:color="auto" w:sz="4" w:space="0"/>
              <w:tl2br w:val="nil"/>
              <w:tr2bl w:val="nil"/>
            </w:tcBorders>
            <w:tcMar>
              <w:top w:w="57" w:type="dxa"/>
              <w:left w:w="57" w:type="dxa"/>
              <w:bottom w:w="57" w:type="dxa"/>
              <w:right w:w="57" w:type="dxa"/>
            </w:tcMar>
            <w:vAlign w:val="center"/>
          </w:tcPr>
          <w:p>
            <w:pPr>
              <w:widowControl/>
              <w:adjustRightInd w:val="0"/>
              <w:snapToGrid w:val="0"/>
              <w:textAlignment w:val="center"/>
              <w:rPr>
                <w:rFonts w:hint="eastAsia"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非法捕捞渔获物二十公斤以上五十公斤以下或价值二百元以上五百元以下</w:t>
            </w:r>
          </w:p>
        </w:tc>
        <w:tc>
          <w:tcPr>
            <w:tcW w:w="2550" w:type="dxa"/>
            <w:tcBorders>
              <w:left w:val="single" w:color="auto" w:sz="4" w:space="0"/>
              <w:bottom w:val="single" w:color="auto" w:sz="4" w:space="0"/>
              <w:tl2br w:val="nil"/>
              <w:tr2bl w:val="nil"/>
            </w:tcBorders>
            <w:tcMar>
              <w:top w:w="57" w:type="dxa"/>
              <w:left w:w="57" w:type="dxa"/>
              <w:bottom w:w="57" w:type="dxa"/>
              <w:right w:w="57" w:type="dxa"/>
            </w:tcMar>
            <w:vAlign w:val="center"/>
          </w:tcPr>
          <w:p>
            <w:pPr>
              <w:widowControl/>
              <w:adjustRightInd w:val="0"/>
              <w:snapToGrid w:val="0"/>
              <w:textAlignment w:val="center"/>
              <w:rPr>
                <w:rFonts w:hint="eastAsia"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没收渔获物和违法所得，处二千元以上五千元以下罚款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94" w:hRule="atLeast"/>
          <w:jc w:val="center"/>
        </w:trPr>
        <w:tc>
          <w:tcPr>
            <w:tcW w:w="421" w:type="dxa"/>
            <w:vMerge w:val="continue"/>
            <w:tcBorders>
              <w:tl2br w:val="nil"/>
              <w:tr2bl w:val="nil"/>
            </w:tcBorders>
            <w:tcMar>
              <w:top w:w="57" w:type="dxa"/>
              <w:left w:w="57" w:type="dxa"/>
              <w:bottom w:w="57" w:type="dxa"/>
              <w:right w:w="57" w:type="dxa"/>
            </w:tcMar>
            <w:vAlign w:val="center"/>
          </w:tcPr>
          <w:p>
            <w:pPr>
              <w:widowControl/>
              <w:adjustRightInd w:val="0"/>
              <w:snapToGrid w:val="0"/>
              <w:textAlignment w:val="center"/>
              <w:rPr>
                <w:rFonts w:hint="default" w:ascii="仿宋_GB2312" w:hAnsi="仿宋_GB2312" w:eastAsia="仿宋_GB2312" w:cs="仿宋_GB2312"/>
                <w:color w:val="000000"/>
                <w:kern w:val="0"/>
                <w:sz w:val="21"/>
                <w:szCs w:val="21"/>
                <w:lang w:val="en-US" w:eastAsia="zh-CN"/>
              </w:rPr>
            </w:pPr>
          </w:p>
        </w:tc>
        <w:tc>
          <w:tcPr>
            <w:tcW w:w="1098" w:type="dxa"/>
            <w:vMerge w:val="continue"/>
            <w:tcBorders>
              <w:tl2br w:val="nil"/>
              <w:tr2bl w:val="nil"/>
            </w:tcBorders>
            <w:tcMar>
              <w:top w:w="57" w:type="dxa"/>
              <w:left w:w="57" w:type="dxa"/>
              <w:bottom w:w="57" w:type="dxa"/>
              <w:right w:w="57" w:type="dxa"/>
            </w:tcMar>
            <w:vAlign w:val="center"/>
          </w:tcPr>
          <w:p>
            <w:pPr>
              <w:widowControl/>
              <w:adjustRightInd w:val="0"/>
              <w:snapToGrid w:val="0"/>
              <w:textAlignment w:val="center"/>
              <w:rPr>
                <w:rFonts w:hint="default" w:ascii="仿宋_GB2312" w:hAnsi="仿宋_GB2312" w:eastAsia="仿宋_GB2312" w:cs="仿宋_GB2312"/>
                <w:color w:val="000000"/>
                <w:kern w:val="0"/>
                <w:sz w:val="21"/>
                <w:szCs w:val="21"/>
                <w:lang w:val="en-US" w:eastAsia="zh-CN"/>
              </w:rPr>
            </w:pPr>
          </w:p>
        </w:tc>
        <w:tc>
          <w:tcPr>
            <w:tcW w:w="3531" w:type="dxa"/>
            <w:vMerge w:val="continue"/>
            <w:tcBorders>
              <w:tl2br w:val="nil"/>
              <w:tr2bl w:val="nil"/>
            </w:tcBorders>
            <w:tcMar>
              <w:top w:w="57" w:type="dxa"/>
              <w:left w:w="57" w:type="dxa"/>
              <w:bottom w:w="57" w:type="dxa"/>
              <w:right w:w="57" w:type="dxa"/>
            </w:tcMar>
            <w:vAlign w:val="center"/>
          </w:tcPr>
          <w:p>
            <w:pPr>
              <w:widowControl/>
              <w:adjustRightInd w:val="0"/>
              <w:snapToGrid w:val="0"/>
              <w:textAlignment w:val="center"/>
              <w:rPr>
                <w:rFonts w:hint="eastAsia" w:ascii="仿宋_GB2312" w:hAnsi="仿宋_GB2312" w:eastAsia="仿宋_GB2312" w:cs="仿宋_GB2312"/>
                <w:color w:val="000000"/>
                <w:kern w:val="0"/>
                <w:sz w:val="21"/>
                <w:szCs w:val="21"/>
                <w:lang w:val="en-US" w:eastAsia="zh-CN"/>
              </w:rPr>
            </w:pPr>
          </w:p>
        </w:tc>
        <w:tc>
          <w:tcPr>
            <w:tcW w:w="730" w:type="dxa"/>
            <w:vMerge w:val="continue"/>
            <w:tcBorders>
              <w:bottom w:val="single" w:color="auto" w:sz="4" w:space="0"/>
              <w:tl2br w:val="nil"/>
              <w:tr2bl w:val="nil"/>
            </w:tcBorders>
            <w:tcMar>
              <w:top w:w="57" w:type="dxa"/>
              <w:left w:w="57" w:type="dxa"/>
              <w:bottom w:w="57" w:type="dxa"/>
              <w:right w:w="57" w:type="dxa"/>
            </w:tcMar>
            <w:vAlign w:val="center"/>
          </w:tcPr>
          <w:p>
            <w:pPr>
              <w:widowControl/>
              <w:adjustRightInd w:val="0"/>
              <w:snapToGrid w:val="0"/>
              <w:textAlignment w:val="center"/>
              <w:rPr>
                <w:rFonts w:hint="default" w:ascii="仿宋_GB2312" w:hAnsi="仿宋_GB2312" w:eastAsia="仿宋_GB2312" w:cs="仿宋_GB2312"/>
                <w:color w:val="000000"/>
                <w:kern w:val="0"/>
                <w:sz w:val="21"/>
                <w:szCs w:val="21"/>
                <w:lang w:val="en-US" w:eastAsia="zh-CN"/>
              </w:rPr>
            </w:pPr>
          </w:p>
        </w:tc>
        <w:tc>
          <w:tcPr>
            <w:tcW w:w="2612" w:type="dxa"/>
            <w:vMerge w:val="continue"/>
            <w:tcBorders>
              <w:bottom w:val="single" w:color="auto" w:sz="4" w:space="0"/>
              <w:tl2br w:val="nil"/>
              <w:tr2bl w:val="nil"/>
            </w:tcBorders>
            <w:tcMar>
              <w:top w:w="57" w:type="dxa"/>
              <w:left w:w="57" w:type="dxa"/>
              <w:bottom w:w="57" w:type="dxa"/>
              <w:right w:w="57" w:type="dxa"/>
            </w:tcMar>
            <w:vAlign w:val="center"/>
          </w:tcPr>
          <w:p>
            <w:pPr>
              <w:widowControl/>
              <w:adjustRightInd w:val="0"/>
              <w:snapToGrid w:val="0"/>
              <w:textAlignment w:val="center"/>
              <w:rPr>
                <w:rFonts w:hint="default" w:ascii="仿宋_GB2312" w:hAnsi="仿宋_GB2312" w:eastAsia="仿宋_GB2312" w:cs="仿宋_GB2312"/>
                <w:color w:val="000000"/>
                <w:kern w:val="0"/>
                <w:sz w:val="21"/>
                <w:szCs w:val="21"/>
                <w:lang w:val="en-US" w:eastAsia="zh-CN"/>
              </w:rPr>
            </w:pPr>
          </w:p>
        </w:tc>
        <w:tc>
          <w:tcPr>
            <w:tcW w:w="3058" w:type="dxa"/>
            <w:tcBorders>
              <w:top w:val="single" w:color="auto" w:sz="4" w:space="0"/>
              <w:bottom w:val="single" w:color="auto" w:sz="4" w:space="0"/>
              <w:right w:val="single" w:color="auto" w:sz="4" w:space="0"/>
              <w:tl2br w:val="nil"/>
              <w:tr2bl w:val="nil"/>
            </w:tcBorders>
            <w:tcMar>
              <w:top w:w="57" w:type="dxa"/>
              <w:left w:w="57" w:type="dxa"/>
              <w:bottom w:w="57" w:type="dxa"/>
              <w:right w:w="57" w:type="dxa"/>
            </w:tcMar>
            <w:vAlign w:val="center"/>
          </w:tcPr>
          <w:p>
            <w:pPr>
              <w:widowControl/>
              <w:adjustRightInd w:val="0"/>
              <w:snapToGrid w:val="0"/>
              <w:textAlignment w:val="center"/>
              <w:rPr>
                <w:rFonts w:hint="eastAsia"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非法捕捞渔获物五十公斤以上一百公斤以下或价值五百元以上一千元以下</w:t>
            </w:r>
          </w:p>
        </w:tc>
        <w:tc>
          <w:tcPr>
            <w:tcW w:w="2550" w:type="dxa"/>
            <w:tcBorders>
              <w:top w:val="single" w:color="auto" w:sz="4" w:space="0"/>
              <w:left w:val="single" w:color="auto" w:sz="4" w:space="0"/>
              <w:tl2br w:val="nil"/>
              <w:tr2bl w:val="nil"/>
            </w:tcBorders>
            <w:tcMar>
              <w:top w:w="57" w:type="dxa"/>
              <w:left w:w="57" w:type="dxa"/>
              <w:bottom w:w="57" w:type="dxa"/>
              <w:right w:w="57" w:type="dxa"/>
            </w:tcMar>
            <w:vAlign w:val="center"/>
          </w:tcPr>
          <w:p>
            <w:pPr>
              <w:widowControl/>
              <w:adjustRightInd w:val="0"/>
              <w:snapToGrid w:val="0"/>
              <w:textAlignment w:val="center"/>
              <w:rPr>
                <w:rFonts w:hint="eastAsia"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没收渔获物和违法所得，处五千元以上一万元以下罚款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81" w:hRule="atLeast"/>
          <w:jc w:val="center"/>
        </w:trPr>
        <w:tc>
          <w:tcPr>
            <w:tcW w:w="421" w:type="dxa"/>
            <w:vMerge w:val="continue"/>
            <w:tcBorders>
              <w:tl2br w:val="nil"/>
              <w:tr2bl w:val="nil"/>
            </w:tcBorders>
            <w:tcMar>
              <w:top w:w="57" w:type="dxa"/>
              <w:left w:w="57" w:type="dxa"/>
              <w:bottom w:w="57" w:type="dxa"/>
              <w:right w:w="57" w:type="dxa"/>
            </w:tcMar>
            <w:vAlign w:val="center"/>
          </w:tcPr>
          <w:p>
            <w:pPr>
              <w:widowControl/>
              <w:adjustRightInd w:val="0"/>
              <w:snapToGrid w:val="0"/>
              <w:textAlignment w:val="center"/>
              <w:rPr>
                <w:rFonts w:hint="default" w:ascii="仿宋_GB2312" w:hAnsi="仿宋_GB2312" w:eastAsia="仿宋_GB2312" w:cs="仿宋_GB2312"/>
                <w:color w:val="000000"/>
                <w:kern w:val="0"/>
                <w:sz w:val="21"/>
                <w:szCs w:val="21"/>
                <w:lang w:val="en-US" w:eastAsia="zh-CN"/>
              </w:rPr>
            </w:pPr>
          </w:p>
        </w:tc>
        <w:tc>
          <w:tcPr>
            <w:tcW w:w="1098" w:type="dxa"/>
            <w:vMerge w:val="continue"/>
            <w:tcBorders>
              <w:tl2br w:val="nil"/>
              <w:tr2bl w:val="nil"/>
            </w:tcBorders>
            <w:tcMar>
              <w:top w:w="57" w:type="dxa"/>
              <w:left w:w="57" w:type="dxa"/>
              <w:bottom w:w="57" w:type="dxa"/>
              <w:right w:w="57" w:type="dxa"/>
            </w:tcMar>
            <w:vAlign w:val="center"/>
          </w:tcPr>
          <w:p>
            <w:pPr>
              <w:widowControl/>
              <w:adjustRightInd w:val="0"/>
              <w:snapToGrid w:val="0"/>
              <w:textAlignment w:val="center"/>
              <w:rPr>
                <w:rFonts w:hint="default" w:ascii="仿宋_GB2312" w:hAnsi="仿宋_GB2312" w:eastAsia="仿宋_GB2312" w:cs="仿宋_GB2312"/>
                <w:color w:val="000000"/>
                <w:kern w:val="0"/>
                <w:sz w:val="21"/>
                <w:szCs w:val="21"/>
                <w:lang w:val="en-US" w:eastAsia="zh-CN"/>
              </w:rPr>
            </w:pPr>
          </w:p>
        </w:tc>
        <w:tc>
          <w:tcPr>
            <w:tcW w:w="3531" w:type="dxa"/>
            <w:vMerge w:val="continue"/>
            <w:tcBorders>
              <w:tl2br w:val="nil"/>
              <w:tr2bl w:val="nil"/>
            </w:tcBorders>
            <w:tcMar>
              <w:top w:w="57" w:type="dxa"/>
              <w:left w:w="57" w:type="dxa"/>
              <w:bottom w:w="57" w:type="dxa"/>
              <w:right w:w="57" w:type="dxa"/>
            </w:tcMar>
            <w:vAlign w:val="center"/>
          </w:tcPr>
          <w:p>
            <w:pPr>
              <w:widowControl/>
              <w:adjustRightInd w:val="0"/>
              <w:snapToGrid w:val="0"/>
              <w:textAlignment w:val="center"/>
              <w:rPr>
                <w:rFonts w:hint="eastAsia" w:ascii="仿宋_GB2312" w:hAnsi="仿宋_GB2312" w:eastAsia="仿宋_GB2312" w:cs="仿宋_GB2312"/>
                <w:color w:val="000000"/>
                <w:kern w:val="0"/>
                <w:sz w:val="21"/>
                <w:szCs w:val="21"/>
                <w:lang w:val="en-US" w:eastAsia="zh-CN"/>
              </w:rPr>
            </w:pPr>
          </w:p>
        </w:tc>
        <w:tc>
          <w:tcPr>
            <w:tcW w:w="730" w:type="dxa"/>
            <w:tcBorders>
              <w:top w:val="single" w:color="auto" w:sz="4" w:space="0"/>
              <w:bottom w:val="single" w:color="auto" w:sz="4" w:space="0"/>
              <w:tl2br w:val="nil"/>
              <w:tr2bl w:val="nil"/>
            </w:tcBorders>
            <w:tcMar>
              <w:top w:w="57" w:type="dxa"/>
              <w:left w:w="57" w:type="dxa"/>
              <w:bottom w:w="57" w:type="dxa"/>
              <w:right w:w="57" w:type="dxa"/>
            </w:tcMar>
            <w:vAlign w:val="center"/>
          </w:tcPr>
          <w:p>
            <w:pPr>
              <w:widowControl/>
              <w:adjustRightInd w:val="0"/>
              <w:snapToGrid w:val="0"/>
              <w:textAlignment w:val="center"/>
              <w:rPr>
                <w:rFonts w:hint="eastAsia"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严重</w:t>
            </w:r>
          </w:p>
        </w:tc>
        <w:tc>
          <w:tcPr>
            <w:tcW w:w="2612" w:type="dxa"/>
            <w:tcBorders>
              <w:top w:val="single" w:color="auto" w:sz="4" w:space="0"/>
              <w:bottom w:val="single" w:color="auto" w:sz="4" w:space="0"/>
              <w:tl2br w:val="nil"/>
              <w:tr2bl w:val="nil"/>
            </w:tcBorders>
            <w:tcMar>
              <w:top w:w="57" w:type="dxa"/>
              <w:left w:w="57" w:type="dxa"/>
              <w:bottom w:w="57" w:type="dxa"/>
              <w:right w:w="57" w:type="dxa"/>
            </w:tcMar>
            <w:vAlign w:val="center"/>
          </w:tcPr>
          <w:p>
            <w:pPr>
              <w:widowControl/>
              <w:adjustRightInd w:val="0"/>
              <w:snapToGrid w:val="0"/>
              <w:textAlignment w:val="center"/>
              <w:rPr>
                <w:rFonts w:hint="eastAsia"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br w:type="textWrapping"/>
            </w:r>
            <w:r>
              <w:rPr>
                <w:rFonts w:hint="default" w:ascii="仿宋_GB2312" w:hAnsi="仿宋_GB2312" w:eastAsia="仿宋_GB2312" w:cs="仿宋_GB2312"/>
                <w:color w:val="000000"/>
                <w:kern w:val="0"/>
                <w:sz w:val="21"/>
                <w:szCs w:val="21"/>
                <w:lang w:val="en-US" w:eastAsia="zh-CN"/>
              </w:rPr>
              <w:t>内陆非法捕捞渔获物一百公斤以上或价值一千元以上</w:t>
            </w:r>
          </w:p>
        </w:tc>
        <w:tc>
          <w:tcPr>
            <w:tcW w:w="3058" w:type="dxa"/>
            <w:tcBorders>
              <w:top w:val="single" w:color="auto" w:sz="4" w:space="0"/>
              <w:bottom w:val="single" w:color="auto" w:sz="4" w:space="0"/>
              <w:right w:val="single" w:color="auto" w:sz="4" w:space="0"/>
              <w:tl2br w:val="nil"/>
              <w:tr2bl w:val="nil"/>
            </w:tcBorders>
            <w:tcMar>
              <w:top w:w="57" w:type="dxa"/>
              <w:left w:w="57" w:type="dxa"/>
              <w:bottom w:w="57" w:type="dxa"/>
              <w:right w:w="57" w:type="dxa"/>
            </w:tcMar>
            <w:vAlign w:val="center"/>
          </w:tcPr>
          <w:p>
            <w:pPr>
              <w:widowControl/>
              <w:adjustRightInd w:val="0"/>
              <w:snapToGrid w:val="0"/>
              <w:textAlignment w:val="center"/>
              <w:rPr>
                <w:rFonts w:hint="eastAsia"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内陆非法捕捞渔获物一百公斤以上或价值一千元以上</w:t>
            </w:r>
          </w:p>
        </w:tc>
        <w:tc>
          <w:tcPr>
            <w:tcW w:w="2550" w:type="dxa"/>
            <w:tcBorders>
              <w:left w:val="single" w:color="auto" w:sz="4" w:space="0"/>
              <w:tl2br w:val="nil"/>
              <w:tr2bl w:val="nil"/>
            </w:tcBorders>
            <w:tcMar>
              <w:top w:w="57" w:type="dxa"/>
              <w:left w:w="57" w:type="dxa"/>
              <w:bottom w:w="57" w:type="dxa"/>
              <w:right w:w="57" w:type="dxa"/>
            </w:tcMar>
            <w:vAlign w:val="center"/>
          </w:tcPr>
          <w:p>
            <w:pPr>
              <w:widowControl/>
              <w:adjustRightInd w:val="0"/>
              <w:snapToGrid w:val="0"/>
              <w:textAlignment w:val="center"/>
              <w:rPr>
                <w:rFonts w:hint="eastAsia"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没收渔获物和违法所得，处一万元以上不超过二万元罚款，没收渔具，吊销捕捞许可证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3" w:hRule="atLeast"/>
          <w:jc w:val="center"/>
        </w:trPr>
        <w:tc>
          <w:tcPr>
            <w:tcW w:w="421" w:type="dxa"/>
            <w:vMerge w:val="restart"/>
            <w:tcBorders>
              <w:tl2br w:val="nil"/>
              <w:tr2bl w:val="nil"/>
            </w:tcBorders>
            <w:tcMar>
              <w:top w:w="57" w:type="dxa"/>
              <w:left w:w="57" w:type="dxa"/>
              <w:bottom w:w="57" w:type="dxa"/>
              <w:right w:w="57" w:type="dxa"/>
            </w:tcMar>
            <w:vAlign w:val="center"/>
          </w:tcPr>
          <w:p>
            <w:pPr>
              <w:widowControl/>
              <w:adjustRightInd w:val="0"/>
              <w:snapToGrid w:val="0"/>
              <w:textAlignment w:val="center"/>
              <w:rPr>
                <w:rFonts w:hint="default" w:ascii="仿宋_GB2312" w:hAnsi="仿宋_GB2312" w:eastAsia="仿宋_GB2312" w:cs="仿宋_GB2312"/>
                <w:color w:val="000000"/>
                <w:kern w:val="0"/>
                <w:sz w:val="21"/>
                <w:szCs w:val="21"/>
                <w:lang w:val="en-US" w:eastAsia="zh-CN"/>
              </w:rPr>
            </w:pPr>
            <w:r>
              <w:rPr>
                <w:rFonts w:hint="eastAsia" w:ascii="仿宋_GB2312" w:hAnsi="仿宋_GB2312" w:eastAsia="仿宋_GB2312" w:cs="仿宋_GB2312"/>
                <w:color w:val="000000"/>
                <w:kern w:val="0"/>
                <w:sz w:val="21"/>
                <w:szCs w:val="21"/>
                <w:lang w:val="en-US" w:eastAsia="zh-CN"/>
              </w:rPr>
              <w:t>10</w:t>
            </w:r>
          </w:p>
        </w:tc>
        <w:tc>
          <w:tcPr>
            <w:tcW w:w="1098" w:type="dxa"/>
            <w:vMerge w:val="restart"/>
            <w:tcBorders>
              <w:tl2br w:val="nil"/>
              <w:tr2bl w:val="nil"/>
            </w:tcBorders>
            <w:tcMar>
              <w:top w:w="57" w:type="dxa"/>
              <w:left w:w="57" w:type="dxa"/>
              <w:bottom w:w="57" w:type="dxa"/>
              <w:right w:w="57" w:type="dxa"/>
            </w:tcMar>
            <w:vAlign w:val="center"/>
          </w:tcPr>
          <w:p>
            <w:pPr>
              <w:widowControl/>
              <w:adjustRightInd w:val="0"/>
              <w:snapToGrid w:val="0"/>
              <w:textAlignment w:val="center"/>
              <w:rPr>
                <w:rFonts w:hint="default"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涂改、买卖、出租或者以其他形式转让捕捞许可证</w:t>
            </w:r>
          </w:p>
        </w:tc>
        <w:tc>
          <w:tcPr>
            <w:tcW w:w="3531" w:type="dxa"/>
            <w:vMerge w:val="restart"/>
            <w:tcBorders>
              <w:tl2br w:val="nil"/>
              <w:tr2bl w:val="nil"/>
            </w:tcBorders>
            <w:tcMar>
              <w:top w:w="57" w:type="dxa"/>
              <w:left w:w="57" w:type="dxa"/>
              <w:bottom w:w="57" w:type="dxa"/>
              <w:right w:w="57" w:type="dxa"/>
            </w:tcMar>
            <w:vAlign w:val="center"/>
          </w:tcPr>
          <w:p>
            <w:pPr>
              <w:widowControl/>
              <w:adjustRightInd w:val="0"/>
              <w:snapToGrid w:val="0"/>
              <w:textAlignment w:val="center"/>
              <w:rPr>
                <w:rFonts w:hint="eastAsia"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中华人民共和国渔业法》第四十三条，涂改、买卖、出租或者以其他形式转让捕捞许可证的，没收违法所得，吊销捕捞许可证，可以并处一万元以下的罚款；伪造、变造、买卖捕捞许可证，构成犯罪的，依法追究刑事责任。</w:t>
            </w:r>
          </w:p>
        </w:tc>
        <w:tc>
          <w:tcPr>
            <w:tcW w:w="730" w:type="dxa"/>
            <w:tcBorders>
              <w:top w:val="single" w:color="auto" w:sz="4" w:space="0"/>
              <w:bottom w:val="single" w:color="auto" w:sz="4" w:space="0"/>
              <w:tl2br w:val="nil"/>
              <w:tr2bl w:val="nil"/>
            </w:tcBorders>
            <w:tcMar>
              <w:top w:w="57" w:type="dxa"/>
              <w:left w:w="57" w:type="dxa"/>
              <w:bottom w:w="57" w:type="dxa"/>
              <w:right w:w="57" w:type="dxa"/>
            </w:tcMar>
            <w:vAlign w:val="center"/>
          </w:tcPr>
          <w:p>
            <w:pPr>
              <w:widowControl/>
              <w:adjustRightInd w:val="0"/>
              <w:snapToGrid w:val="0"/>
              <w:textAlignment w:val="center"/>
              <w:rPr>
                <w:rFonts w:hint="default"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一般</w:t>
            </w:r>
          </w:p>
        </w:tc>
        <w:tc>
          <w:tcPr>
            <w:tcW w:w="2612" w:type="dxa"/>
            <w:tcBorders>
              <w:top w:val="single" w:color="auto" w:sz="4" w:space="0"/>
              <w:bottom w:val="single" w:color="auto" w:sz="4" w:space="0"/>
              <w:tl2br w:val="nil"/>
              <w:tr2bl w:val="nil"/>
            </w:tcBorders>
            <w:tcMar>
              <w:top w:w="57" w:type="dxa"/>
              <w:left w:w="57" w:type="dxa"/>
              <w:bottom w:w="57" w:type="dxa"/>
              <w:right w:w="57" w:type="dxa"/>
            </w:tcMar>
            <w:vAlign w:val="center"/>
          </w:tcPr>
          <w:p>
            <w:pPr>
              <w:widowControl/>
              <w:adjustRightInd w:val="0"/>
              <w:snapToGrid w:val="0"/>
              <w:textAlignment w:val="center"/>
              <w:rPr>
                <w:rFonts w:hint="default"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出租或出借捕捞许可证</w:t>
            </w:r>
          </w:p>
        </w:tc>
        <w:tc>
          <w:tcPr>
            <w:tcW w:w="5608" w:type="dxa"/>
            <w:gridSpan w:val="2"/>
            <w:tcBorders>
              <w:top w:val="single" w:color="auto" w:sz="4" w:space="0"/>
              <w:bottom w:val="single" w:color="auto" w:sz="4" w:space="0"/>
              <w:tl2br w:val="nil"/>
              <w:tr2bl w:val="nil"/>
            </w:tcBorders>
            <w:tcMar>
              <w:top w:w="57" w:type="dxa"/>
              <w:left w:w="57" w:type="dxa"/>
              <w:bottom w:w="57" w:type="dxa"/>
              <w:right w:w="57" w:type="dxa"/>
            </w:tcMar>
            <w:vAlign w:val="center"/>
          </w:tcPr>
          <w:p>
            <w:pPr>
              <w:widowControl/>
              <w:adjustRightInd w:val="0"/>
              <w:snapToGrid w:val="0"/>
              <w:textAlignment w:val="center"/>
              <w:rPr>
                <w:rFonts w:hint="default"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没收违法所得、吊销捕捞许可证，可以并处五千元以下罚款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9" w:hRule="atLeast"/>
          <w:jc w:val="center"/>
        </w:trPr>
        <w:tc>
          <w:tcPr>
            <w:tcW w:w="421" w:type="dxa"/>
            <w:vMerge w:val="continue"/>
            <w:tcBorders>
              <w:bottom w:val="single" w:color="auto" w:sz="4" w:space="0"/>
              <w:tl2br w:val="nil"/>
              <w:tr2bl w:val="nil"/>
            </w:tcBorders>
            <w:tcMar>
              <w:top w:w="57" w:type="dxa"/>
              <w:left w:w="57" w:type="dxa"/>
              <w:bottom w:w="57" w:type="dxa"/>
              <w:right w:w="57" w:type="dxa"/>
            </w:tcMar>
            <w:vAlign w:val="center"/>
          </w:tcPr>
          <w:p>
            <w:pPr>
              <w:widowControl/>
              <w:adjustRightInd w:val="0"/>
              <w:snapToGrid w:val="0"/>
              <w:textAlignment w:val="center"/>
              <w:rPr>
                <w:rFonts w:hint="default" w:ascii="仿宋_GB2312" w:hAnsi="仿宋_GB2312" w:eastAsia="仿宋_GB2312" w:cs="仿宋_GB2312"/>
                <w:color w:val="000000"/>
                <w:kern w:val="0"/>
                <w:sz w:val="21"/>
                <w:szCs w:val="21"/>
                <w:lang w:val="en-US" w:eastAsia="zh-CN"/>
              </w:rPr>
            </w:pPr>
          </w:p>
        </w:tc>
        <w:tc>
          <w:tcPr>
            <w:tcW w:w="1098" w:type="dxa"/>
            <w:vMerge w:val="continue"/>
            <w:tcBorders>
              <w:bottom w:val="single" w:color="auto" w:sz="4" w:space="0"/>
              <w:tl2br w:val="nil"/>
              <w:tr2bl w:val="nil"/>
            </w:tcBorders>
            <w:tcMar>
              <w:top w:w="57" w:type="dxa"/>
              <w:left w:w="57" w:type="dxa"/>
              <w:bottom w:w="57" w:type="dxa"/>
              <w:right w:w="57" w:type="dxa"/>
            </w:tcMar>
            <w:vAlign w:val="center"/>
          </w:tcPr>
          <w:p>
            <w:pPr>
              <w:widowControl/>
              <w:adjustRightInd w:val="0"/>
              <w:snapToGrid w:val="0"/>
              <w:textAlignment w:val="center"/>
              <w:rPr>
                <w:rFonts w:hint="default" w:ascii="仿宋_GB2312" w:hAnsi="仿宋_GB2312" w:eastAsia="仿宋_GB2312" w:cs="仿宋_GB2312"/>
                <w:color w:val="000000"/>
                <w:kern w:val="0"/>
                <w:sz w:val="21"/>
                <w:szCs w:val="21"/>
                <w:lang w:val="en-US" w:eastAsia="zh-CN"/>
              </w:rPr>
            </w:pPr>
          </w:p>
        </w:tc>
        <w:tc>
          <w:tcPr>
            <w:tcW w:w="3531" w:type="dxa"/>
            <w:vMerge w:val="continue"/>
            <w:tcBorders>
              <w:bottom w:val="single" w:color="auto" w:sz="4" w:space="0"/>
              <w:tl2br w:val="nil"/>
              <w:tr2bl w:val="nil"/>
            </w:tcBorders>
            <w:tcMar>
              <w:top w:w="57" w:type="dxa"/>
              <w:left w:w="57" w:type="dxa"/>
              <w:bottom w:w="57" w:type="dxa"/>
              <w:right w:w="57" w:type="dxa"/>
            </w:tcMar>
            <w:vAlign w:val="center"/>
          </w:tcPr>
          <w:p>
            <w:pPr>
              <w:widowControl/>
              <w:adjustRightInd w:val="0"/>
              <w:snapToGrid w:val="0"/>
              <w:textAlignment w:val="center"/>
              <w:rPr>
                <w:rFonts w:hint="eastAsia" w:ascii="仿宋_GB2312" w:hAnsi="仿宋_GB2312" w:eastAsia="仿宋_GB2312" w:cs="仿宋_GB2312"/>
                <w:color w:val="000000"/>
                <w:kern w:val="0"/>
                <w:sz w:val="21"/>
                <w:szCs w:val="21"/>
                <w:lang w:val="en-US" w:eastAsia="zh-CN"/>
              </w:rPr>
            </w:pPr>
          </w:p>
        </w:tc>
        <w:tc>
          <w:tcPr>
            <w:tcW w:w="730" w:type="dxa"/>
            <w:tcBorders>
              <w:top w:val="single" w:color="auto" w:sz="4" w:space="0"/>
              <w:bottom w:val="single" w:color="auto" w:sz="4" w:space="0"/>
              <w:tl2br w:val="nil"/>
              <w:tr2bl w:val="nil"/>
            </w:tcBorders>
            <w:tcMar>
              <w:top w:w="57" w:type="dxa"/>
              <w:left w:w="57" w:type="dxa"/>
              <w:bottom w:w="57" w:type="dxa"/>
              <w:right w:w="57" w:type="dxa"/>
            </w:tcMar>
            <w:vAlign w:val="center"/>
          </w:tcPr>
          <w:p>
            <w:pPr>
              <w:widowControl/>
              <w:adjustRightInd w:val="0"/>
              <w:snapToGrid w:val="0"/>
              <w:textAlignment w:val="center"/>
              <w:rPr>
                <w:rFonts w:hint="default"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严重</w:t>
            </w:r>
          </w:p>
        </w:tc>
        <w:tc>
          <w:tcPr>
            <w:tcW w:w="2612" w:type="dxa"/>
            <w:tcBorders>
              <w:top w:val="single" w:color="auto" w:sz="4" w:space="0"/>
              <w:bottom w:val="single" w:color="auto" w:sz="4" w:space="0"/>
              <w:tl2br w:val="nil"/>
              <w:tr2bl w:val="nil"/>
            </w:tcBorders>
            <w:tcMar>
              <w:top w:w="57" w:type="dxa"/>
              <w:left w:w="57" w:type="dxa"/>
              <w:bottom w:w="57" w:type="dxa"/>
              <w:right w:w="57" w:type="dxa"/>
            </w:tcMar>
            <w:vAlign w:val="center"/>
          </w:tcPr>
          <w:p>
            <w:pPr>
              <w:widowControl/>
              <w:adjustRightInd w:val="0"/>
              <w:snapToGrid w:val="0"/>
              <w:textAlignment w:val="center"/>
              <w:rPr>
                <w:rFonts w:hint="default"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买卖或涂改捕捞许可证</w:t>
            </w:r>
          </w:p>
        </w:tc>
        <w:tc>
          <w:tcPr>
            <w:tcW w:w="5608" w:type="dxa"/>
            <w:gridSpan w:val="2"/>
            <w:tcBorders>
              <w:top w:val="single" w:color="auto" w:sz="4" w:space="0"/>
              <w:bottom w:val="single" w:color="auto" w:sz="4" w:space="0"/>
              <w:tl2br w:val="nil"/>
              <w:tr2bl w:val="nil"/>
            </w:tcBorders>
            <w:tcMar>
              <w:top w:w="57" w:type="dxa"/>
              <w:left w:w="57" w:type="dxa"/>
              <w:bottom w:w="57" w:type="dxa"/>
              <w:right w:w="57" w:type="dxa"/>
            </w:tcMar>
            <w:vAlign w:val="center"/>
          </w:tcPr>
          <w:p>
            <w:pPr>
              <w:widowControl/>
              <w:adjustRightInd w:val="0"/>
              <w:snapToGrid w:val="0"/>
              <w:textAlignment w:val="center"/>
              <w:rPr>
                <w:rFonts w:hint="default"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没收违法所得、吊销捕捞许可证，可以并处五千元以上不超过一万元罚款</w:t>
            </w:r>
          </w:p>
        </w:tc>
      </w:tr>
    </w:tbl>
    <w:p>
      <w:pPr>
        <w:pStyle w:val="2"/>
      </w:pPr>
    </w:p>
    <w:tbl>
      <w:tblPr>
        <w:tblStyle w:val="7"/>
        <w:tblW w:w="140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21"/>
        <w:gridCol w:w="1098"/>
        <w:gridCol w:w="7039"/>
        <w:gridCol w:w="818"/>
        <w:gridCol w:w="1276"/>
        <w:gridCol w:w="1422"/>
        <w:gridCol w:w="19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tblHeader/>
          <w:jc w:val="center"/>
        </w:trPr>
        <w:tc>
          <w:tcPr>
            <w:tcW w:w="421"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黑体" w:hAnsi="黑体" w:eastAsia="黑体" w:cs="黑体"/>
                <w:color w:val="000000"/>
                <w:sz w:val="24"/>
                <w:szCs w:val="24"/>
              </w:rPr>
            </w:pPr>
            <w:r>
              <w:rPr>
                <w:rFonts w:hint="eastAsia" w:ascii="黑体" w:hAnsi="黑体" w:eastAsia="黑体" w:cs="黑体"/>
                <w:color w:val="000000"/>
                <w:kern w:val="0"/>
                <w:sz w:val="24"/>
                <w:szCs w:val="24"/>
              </w:rPr>
              <w:t>序号</w:t>
            </w:r>
          </w:p>
        </w:tc>
        <w:tc>
          <w:tcPr>
            <w:tcW w:w="1098"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黑体" w:hAnsi="黑体" w:eastAsia="黑体" w:cs="黑体"/>
                <w:color w:val="000000"/>
                <w:sz w:val="24"/>
                <w:szCs w:val="24"/>
              </w:rPr>
            </w:pPr>
            <w:r>
              <w:rPr>
                <w:rFonts w:hint="eastAsia" w:ascii="黑体" w:hAnsi="黑体" w:eastAsia="黑体" w:cs="黑体"/>
                <w:color w:val="000000"/>
                <w:kern w:val="0"/>
                <w:sz w:val="24"/>
                <w:szCs w:val="24"/>
              </w:rPr>
              <w:t>违法行为</w:t>
            </w:r>
          </w:p>
        </w:tc>
        <w:tc>
          <w:tcPr>
            <w:tcW w:w="7039"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黑体" w:hAnsi="黑体" w:eastAsia="黑体" w:cs="黑体"/>
                <w:color w:val="000000"/>
                <w:sz w:val="24"/>
                <w:szCs w:val="24"/>
              </w:rPr>
            </w:pPr>
            <w:r>
              <w:rPr>
                <w:rFonts w:hint="eastAsia" w:ascii="黑体" w:hAnsi="黑体" w:eastAsia="黑体" w:cs="黑体"/>
                <w:color w:val="000000"/>
                <w:kern w:val="0"/>
                <w:sz w:val="24"/>
                <w:szCs w:val="24"/>
              </w:rPr>
              <w:t>处罚依据</w:t>
            </w:r>
          </w:p>
        </w:tc>
        <w:tc>
          <w:tcPr>
            <w:tcW w:w="818"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黑体" w:hAnsi="黑体" w:eastAsia="黑体" w:cs="黑体"/>
                <w:color w:val="000000"/>
                <w:sz w:val="24"/>
                <w:szCs w:val="24"/>
              </w:rPr>
            </w:pPr>
            <w:r>
              <w:rPr>
                <w:rFonts w:hint="eastAsia" w:ascii="黑体" w:hAnsi="黑体" w:eastAsia="黑体" w:cs="黑体"/>
                <w:color w:val="000000"/>
                <w:kern w:val="0"/>
                <w:sz w:val="24"/>
                <w:szCs w:val="24"/>
              </w:rPr>
              <w:t>违法程度</w:t>
            </w:r>
          </w:p>
        </w:tc>
        <w:tc>
          <w:tcPr>
            <w:tcW w:w="1276"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黑体" w:hAnsi="黑体" w:eastAsia="黑体" w:cs="黑体"/>
                <w:color w:val="000000"/>
                <w:sz w:val="24"/>
                <w:szCs w:val="24"/>
              </w:rPr>
            </w:pPr>
            <w:r>
              <w:rPr>
                <w:rFonts w:hint="eastAsia" w:ascii="黑体" w:hAnsi="黑体" w:eastAsia="黑体" w:cs="黑体"/>
                <w:color w:val="000000"/>
                <w:kern w:val="0"/>
                <w:sz w:val="24"/>
                <w:szCs w:val="24"/>
              </w:rPr>
              <w:t>违法情节</w:t>
            </w:r>
          </w:p>
        </w:tc>
        <w:tc>
          <w:tcPr>
            <w:tcW w:w="3348" w:type="dxa"/>
            <w:gridSpan w:val="2"/>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黑体" w:hAnsi="黑体" w:eastAsia="黑体" w:cs="黑体"/>
                <w:color w:val="000000"/>
                <w:sz w:val="24"/>
                <w:szCs w:val="24"/>
              </w:rPr>
            </w:pPr>
            <w:r>
              <w:rPr>
                <w:rFonts w:hint="eastAsia" w:ascii="黑体" w:hAnsi="黑体" w:eastAsia="黑体" w:cs="黑体"/>
                <w:color w:val="000000"/>
                <w:kern w:val="0"/>
                <w:sz w:val="24"/>
                <w:szCs w:val="24"/>
              </w:rPr>
              <w:t>裁量标准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45" w:hRule="atLeast"/>
          <w:jc w:val="center"/>
        </w:trPr>
        <w:tc>
          <w:tcPr>
            <w:tcW w:w="421"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hint="default"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11</w:t>
            </w:r>
          </w:p>
        </w:tc>
        <w:tc>
          <w:tcPr>
            <w:tcW w:w="1098"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hint="default" w:ascii="仿宋_GB2312" w:hAnsi="仿宋_GB2312" w:eastAsia="仿宋_GB2312" w:cs="仿宋_GB2312"/>
                <w:color w:val="000000"/>
                <w:kern w:val="0"/>
                <w:sz w:val="24"/>
                <w:szCs w:val="24"/>
                <w:lang w:val="en-US" w:eastAsia="zh-CN"/>
              </w:rPr>
            </w:pPr>
            <w:r>
              <w:rPr>
                <w:rFonts w:hint="default" w:ascii="仿宋_GB2312" w:hAnsi="仿宋_GB2312" w:eastAsia="仿宋_GB2312" w:cs="仿宋_GB2312"/>
                <w:color w:val="000000"/>
                <w:kern w:val="0"/>
                <w:sz w:val="24"/>
                <w:szCs w:val="24"/>
                <w:lang w:val="en-US" w:eastAsia="zh-CN"/>
              </w:rPr>
              <w:t>外国人、外国渔船擅自进入我国管辖水域从事渔业捕捞活动</w:t>
            </w:r>
          </w:p>
        </w:tc>
        <w:tc>
          <w:tcPr>
            <w:tcW w:w="7039"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hint="eastAsia" w:ascii="仿宋_GB2312" w:hAnsi="仿宋_GB2312" w:eastAsia="仿宋_GB2312" w:cs="仿宋_GB2312"/>
                <w:color w:val="000000"/>
                <w:kern w:val="0"/>
                <w:sz w:val="24"/>
                <w:szCs w:val="24"/>
                <w:lang w:val="en-US" w:eastAsia="zh-CN"/>
              </w:rPr>
            </w:pPr>
            <w:r>
              <w:rPr>
                <w:rFonts w:hint="default" w:ascii="仿宋_GB2312" w:hAnsi="仿宋_GB2312" w:eastAsia="仿宋_GB2312" w:cs="仿宋_GB2312"/>
                <w:color w:val="000000"/>
                <w:kern w:val="0"/>
                <w:sz w:val="24"/>
                <w:szCs w:val="24"/>
                <w:lang w:val="en-US" w:eastAsia="zh-CN"/>
              </w:rPr>
              <w:t>《中华人民共和国渔业法》</w:t>
            </w:r>
            <w:r>
              <w:rPr>
                <w:rFonts w:hint="default" w:ascii="仿宋_GB2312" w:hAnsi="仿宋_GB2312" w:eastAsia="仿宋_GB2312" w:cs="仿宋_GB2312"/>
                <w:color w:val="000000"/>
                <w:kern w:val="0"/>
                <w:sz w:val="24"/>
                <w:szCs w:val="24"/>
                <w:lang w:val="en-US" w:eastAsia="zh-CN"/>
              </w:rPr>
              <w:br w:type="textWrapping"/>
            </w:r>
            <w:r>
              <w:rPr>
                <w:rFonts w:hint="default" w:ascii="仿宋_GB2312" w:hAnsi="仿宋_GB2312" w:eastAsia="仿宋_GB2312" w:cs="仿宋_GB2312"/>
                <w:color w:val="000000"/>
                <w:kern w:val="0"/>
                <w:sz w:val="24"/>
                <w:szCs w:val="24"/>
                <w:lang w:val="en-US" w:eastAsia="zh-CN"/>
              </w:rPr>
              <w:t>第四十六条、外国人、外国渔船违反本法规定，擅自进入中华人民共和国管辖水域从事渔业生产和渔业资源调查活动的，责令其离开或者将其驱逐，可以没收渔获物、渔具，并处五十万元以下的罚款；情节严重的，可以没收渔船；构成犯罪的，依法追究刑事责任。</w:t>
            </w:r>
            <w:r>
              <w:rPr>
                <w:rFonts w:hint="default" w:ascii="仿宋_GB2312" w:hAnsi="仿宋_GB2312" w:eastAsia="仿宋_GB2312" w:cs="仿宋_GB2312"/>
                <w:color w:val="000000"/>
                <w:kern w:val="0"/>
                <w:sz w:val="24"/>
                <w:szCs w:val="24"/>
                <w:lang w:val="en-US" w:eastAsia="zh-CN"/>
              </w:rPr>
              <w:br w:type="textWrapping"/>
            </w:r>
            <w:r>
              <w:rPr>
                <w:rFonts w:hint="default" w:ascii="仿宋_GB2312" w:hAnsi="仿宋_GB2312" w:eastAsia="仿宋_GB2312" w:cs="仿宋_GB2312"/>
                <w:color w:val="000000"/>
                <w:kern w:val="0"/>
                <w:sz w:val="24"/>
                <w:szCs w:val="24"/>
                <w:lang w:val="en-US" w:eastAsia="zh-CN"/>
              </w:rPr>
              <w:t>第十三条　外国人、外国船舶经批准在中华人民共和国专属经济区和大陆架从事渔业生产、生物资源调查活动，有下列行为之一的，可处以没收渔获物、没收渔具和30万元以下罚款的处罚：</w:t>
            </w:r>
            <w:r>
              <w:rPr>
                <w:rFonts w:hint="default" w:ascii="仿宋_GB2312" w:hAnsi="仿宋_GB2312" w:eastAsia="仿宋_GB2312" w:cs="仿宋_GB2312"/>
                <w:color w:val="000000"/>
                <w:kern w:val="0"/>
                <w:sz w:val="24"/>
                <w:szCs w:val="24"/>
                <w:lang w:val="en-US" w:eastAsia="zh-CN"/>
              </w:rPr>
              <w:br w:type="textWrapping"/>
            </w:r>
            <w:r>
              <w:rPr>
                <w:rFonts w:hint="default" w:ascii="仿宋_GB2312" w:hAnsi="仿宋_GB2312" w:eastAsia="仿宋_GB2312" w:cs="仿宋_GB2312"/>
                <w:color w:val="000000"/>
                <w:kern w:val="0"/>
                <w:sz w:val="24"/>
                <w:szCs w:val="24"/>
                <w:lang w:val="en-US" w:eastAsia="zh-CN"/>
              </w:rPr>
              <w:t>　　1、未按许可的作业区域、时间、类型、船舶功率或吨位作业的；</w:t>
            </w:r>
            <w:r>
              <w:rPr>
                <w:rFonts w:hint="default" w:ascii="仿宋_GB2312" w:hAnsi="仿宋_GB2312" w:eastAsia="仿宋_GB2312" w:cs="仿宋_GB2312"/>
                <w:color w:val="000000"/>
                <w:kern w:val="0"/>
                <w:sz w:val="24"/>
                <w:szCs w:val="24"/>
                <w:lang w:val="en-US" w:eastAsia="zh-CN"/>
              </w:rPr>
              <w:br w:type="textWrapping"/>
            </w:r>
            <w:r>
              <w:rPr>
                <w:rFonts w:hint="default" w:ascii="仿宋_GB2312" w:hAnsi="仿宋_GB2312" w:eastAsia="仿宋_GB2312" w:cs="仿宋_GB2312"/>
                <w:color w:val="000000"/>
                <w:kern w:val="0"/>
                <w:sz w:val="24"/>
                <w:szCs w:val="24"/>
                <w:lang w:val="en-US" w:eastAsia="zh-CN"/>
              </w:rPr>
              <w:t>　　2、超过核定捕捞配额的。</w:t>
            </w:r>
          </w:p>
        </w:tc>
        <w:tc>
          <w:tcPr>
            <w:tcW w:w="818"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hint="eastAsia" w:ascii="仿宋_GB2312" w:hAnsi="仿宋_GB2312" w:eastAsia="仿宋_GB2312" w:cs="仿宋_GB2312"/>
                <w:color w:val="000000"/>
                <w:kern w:val="0"/>
                <w:sz w:val="24"/>
                <w:szCs w:val="24"/>
                <w:lang w:val="en-US" w:eastAsia="zh-CN"/>
              </w:rPr>
            </w:pPr>
            <w:r>
              <w:rPr>
                <w:rFonts w:hint="default" w:ascii="仿宋_GB2312" w:hAnsi="仿宋_GB2312" w:eastAsia="仿宋_GB2312" w:cs="仿宋_GB2312"/>
                <w:color w:val="000000"/>
                <w:kern w:val="0"/>
                <w:sz w:val="24"/>
                <w:szCs w:val="24"/>
                <w:lang w:val="en-US" w:eastAsia="zh-CN"/>
              </w:rPr>
              <w:t>严重</w:t>
            </w:r>
          </w:p>
        </w:tc>
        <w:tc>
          <w:tcPr>
            <w:tcW w:w="1276"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hint="eastAsia" w:ascii="仿宋_GB2312" w:hAnsi="仿宋_GB2312" w:eastAsia="仿宋_GB2312" w:cs="仿宋_GB2312"/>
                <w:color w:val="000000"/>
                <w:kern w:val="0"/>
                <w:sz w:val="24"/>
                <w:szCs w:val="24"/>
                <w:lang w:val="en-US" w:eastAsia="zh-CN"/>
              </w:rPr>
            </w:pPr>
            <w:r>
              <w:rPr>
                <w:rFonts w:hint="default" w:ascii="仿宋_GB2312" w:hAnsi="仿宋_GB2312" w:eastAsia="仿宋_GB2312" w:cs="仿宋_GB2312"/>
                <w:color w:val="000000"/>
                <w:kern w:val="0"/>
                <w:sz w:val="24"/>
                <w:szCs w:val="24"/>
                <w:lang w:val="en-US" w:eastAsia="zh-CN"/>
              </w:rPr>
              <w:t>进入内水从事渔业捕捞活动</w:t>
            </w:r>
          </w:p>
        </w:tc>
        <w:tc>
          <w:tcPr>
            <w:tcW w:w="1422"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hint="eastAsia" w:ascii="仿宋_GB2312" w:hAnsi="仿宋_GB2312" w:eastAsia="仿宋_GB2312" w:cs="仿宋_GB2312"/>
                <w:color w:val="000000"/>
                <w:kern w:val="0"/>
                <w:sz w:val="24"/>
                <w:szCs w:val="24"/>
                <w:lang w:val="en-US" w:eastAsia="zh-CN"/>
              </w:rPr>
            </w:pPr>
            <w:r>
              <w:rPr>
                <w:rFonts w:hint="default" w:ascii="仿宋_GB2312" w:hAnsi="仿宋_GB2312" w:eastAsia="仿宋_GB2312" w:cs="仿宋_GB2312"/>
                <w:color w:val="000000"/>
                <w:kern w:val="0"/>
                <w:sz w:val="24"/>
                <w:szCs w:val="24"/>
                <w:lang w:val="en-US" w:eastAsia="zh-CN"/>
              </w:rPr>
              <w:t>非法捕捞渔获物一百公斤以下或价值一千元以上</w:t>
            </w:r>
          </w:p>
        </w:tc>
        <w:tc>
          <w:tcPr>
            <w:tcW w:w="1926"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hint="eastAsia" w:ascii="仿宋_GB2312" w:hAnsi="仿宋_GB2312" w:eastAsia="仿宋_GB2312" w:cs="仿宋_GB2312"/>
                <w:color w:val="000000"/>
                <w:kern w:val="0"/>
                <w:sz w:val="24"/>
                <w:szCs w:val="24"/>
                <w:lang w:val="en-US" w:eastAsia="zh-CN"/>
              </w:rPr>
            </w:pPr>
            <w:r>
              <w:rPr>
                <w:rFonts w:hint="default" w:ascii="仿宋_GB2312" w:hAnsi="仿宋_GB2312" w:eastAsia="仿宋_GB2312" w:cs="仿宋_GB2312"/>
                <w:color w:val="000000"/>
                <w:kern w:val="0"/>
                <w:sz w:val="24"/>
                <w:szCs w:val="24"/>
                <w:lang w:val="en-US" w:eastAsia="zh-CN"/>
              </w:rPr>
              <w:t>责令离开或将其驱逐，可以没收渔获物、渔具，并处二十五万元以下罚款，可以没收渔船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61" w:hRule="atLeast"/>
          <w:jc w:val="center"/>
        </w:trPr>
        <w:tc>
          <w:tcPr>
            <w:tcW w:w="421"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hint="default"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12</w:t>
            </w:r>
          </w:p>
        </w:tc>
        <w:tc>
          <w:tcPr>
            <w:tcW w:w="1098"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hint="default" w:ascii="仿宋_GB2312" w:hAnsi="仿宋_GB2312" w:eastAsia="仿宋_GB2312" w:cs="仿宋_GB2312"/>
                <w:color w:val="000000"/>
                <w:kern w:val="0"/>
                <w:sz w:val="24"/>
                <w:szCs w:val="24"/>
                <w:lang w:val="en-US" w:eastAsia="zh-CN"/>
              </w:rPr>
            </w:pPr>
            <w:r>
              <w:rPr>
                <w:rFonts w:hint="default" w:ascii="仿宋_GB2312" w:hAnsi="仿宋_GB2312" w:eastAsia="仿宋_GB2312" w:cs="仿宋_GB2312"/>
                <w:color w:val="000000"/>
                <w:kern w:val="0"/>
                <w:sz w:val="24"/>
                <w:szCs w:val="24"/>
                <w:lang w:val="en-US" w:eastAsia="zh-CN"/>
              </w:rPr>
              <w:t>外国人、外国渔船擅自进入我国管辖水域从事渔业资源调查活动</w:t>
            </w:r>
          </w:p>
        </w:tc>
        <w:tc>
          <w:tcPr>
            <w:tcW w:w="7039"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hint="default" w:ascii="仿宋_GB2312" w:hAnsi="仿宋_GB2312" w:eastAsia="仿宋_GB2312" w:cs="仿宋_GB2312"/>
                <w:color w:val="000000"/>
                <w:kern w:val="0"/>
                <w:sz w:val="24"/>
                <w:szCs w:val="24"/>
                <w:lang w:val="en-US" w:eastAsia="zh-CN"/>
              </w:rPr>
            </w:pPr>
            <w:r>
              <w:rPr>
                <w:rFonts w:hint="default" w:ascii="仿宋_GB2312" w:hAnsi="仿宋_GB2312" w:eastAsia="仿宋_GB2312" w:cs="仿宋_GB2312"/>
                <w:color w:val="000000"/>
                <w:kern w:val="0"/>
                <w:sz w:val="24"/>
                <w:szCs w:val="24"/>
                <w:lang w:val="en-US" w:eastAsia="zh-CN"/>
              </w:rPr>
              <w:t>《中华人民共和国渔业法》</w:t>
            </w:r>
            <w:r>
              <w:rPr>
                <w:rFonts w:hint="default" w:ascii="仿宋_GB2312" w:hAnsi="仿宋_GB2312" w:eastAsia="仿宋_GB2312" w:cs="仿宋_GB2312"/>
                <w:color w:val="000000"/>
                <w:kern w:val="0"/>
                <w:sz w:val="24"/>
                <w:szCs w:val="24"/>
                <w:lang w:val="en-US" w:eastAsia="zh-CN"/>
              </w:rPr>
              <w:br w:type="textWrapping"/>
            </w:r>
            <w:r>
              <w:rPr>
                <w:rFonts w:hint="default" w:ascii="仿宋_GB2312" w:hAnsi="仿宋_GB2312" w:eastAsia="仿宋_GB2312" w:cs="仿宋_GB2312"/>
                <w:color w:val="000000"/>
                <w:kern w:val="0"/>
                <w:sz w:val="24"/>
                <w:szCs w:val="24"/>
                <w:lang w:val="en-US" w:eastAsia="zh-CN"/>
              </w:rPr>
              <w:t>第四十六条、外国人、外国渔船违反本法规定，擅自进入中华人民共和国管辖水域从事渔业生产和渔业资源调查活动的，责令其离开或者将其驱逐，可以没收渔获物、渔具，并处五十万元以下的罚款；情节严重的，可以没收渔船；构成犯罪的，依法追究刑事责任。</w:t>
            </w:r>
            <w:r>
              <w:rPr>
                <w:rFonts w:hint="default" w:ascii="仿宋_GB2312" w:hAnsi="仿宋_GB2312" w:eastAsia="仿宋_GB2312" w:cs="仿宋_GB2312"/>
                <w:color w:val="000000"/>
                <w:kern w:val="0"/>
                <w:sz w:val="24"/>
                <w:szCs w:val="24"/>
                <w:lang w:val="en-US" w:eastAsia="zh-CN"/>
              </w:rPr>
              <w:br w:type="textWrapping"/>
            </w:r>
            <w:r>
              <w:rPr>
                <w:rFonts w:hint="default" w:ascii="仿宋_GB2312" w:hAnsi="仿宋_GB2312" w:eastAsia="仿宋_GB2312" w:cs="仿宋_GB2312"/>
                <w:color w:val="000000"/>
                <w:kern w:val="0"/>
                <w:sz w:val="24"/>
                <w:szCs w:val="24"/>
                <w:lang w:val="en-US" w:eastAsia="zh-CN"/>
              </w:rPr>
              <w:t>　　第十三条　外国人、外国船舶经批准在中华人民共和国专属经济区和大陆架从事渔业生产、生物资源调查活动，有下列行为之一的，可处以没收渔获物、没收渔具和30万元以下罚款的处罚：</w:t>
            </w:r>
            <w:r>
              <w:rPr>
                <w:rFonts w:hint="default" w:ascii="仿宋_GB2312" w:hAnsi="仿宋_GB2312" w:eastAsia="仿宋_GB2312" w:cs="仿宋_GB2312"/>
                <w:color w:val="000000"/>
                <w:kern w:val="0"/>
                <w:sz w:val="24"/>
                <w:szCs w:val="24"/>
                <w:lang w:val="en-US" w:eastAsia="zh-CN"/>
              </w:rPr>
              <w:br w:type="textWrapping"/>
            </w:r>
            <w:r>
              <w:rPr>
                <w:rFonts w:hint="default" w:ascii="仿宋_GB2312" w:hAnsi="仿宋_GB2312" w:eastAsia="仿宋_GB2312" w:cs="仿宋_GB2312"/>
                <w:color w:val="000000"/>
                <w:kern w:val="0"/>
                <w:sz w:val="24"/>
                <w:szCs w:val="24"/>
                <w:lang w:val="en-US" w:eastAsia="zh-CN"/>
              </w:rPr>
              <w:t>　　1、未按许可的作业区域、时间、类型、船舶功率或吨位作业的；</w:t>
            </w:r>
            <w:r>
              <w:rPr>
                <w:rFonts w:hint="default" w:ascii="仿宋_GB2312" w:hAnsi="仿宋_GB2312" w:eastAsia="仿宋_GB2312" w:cs="仿宋_GB2312"/>
                <w:color w:val="000000"/>
                <w:kern w:val="0"/>
                <w:sz w:val="24"/>
                <w:szCs w:val="24"/>
                <w:lang w:val="en-US" w:eastAsia="zh-CN"/>
              </w:rPr>
              <w:br w:type="textWrapping"/>
            </w:r>
            <w:r>
              <w:rPr>
                <w:rFonts w:hint="default" w:ascii="仿宋_GB2312" w:hAnsi="仿宋_GB2312" w:eastAsia="仿宋_GB2312" w:cs="仿宋_GB2312"/>
                <w:color w:val="000000"/>
                <w:kern w:val="0"/>
                <w:sz w:val="24"/>
                <w:szCs w:val="24"/>
                <w:lang w:val="en-US" w:eastAsia="zh-CN"/>
              </w:rPr>
              <w:t>　　2、超过核定捕捞配额的。</w:t>
            </w:r>
          </w:p>
        </w:tc>
        <w:tc>
          <w:tcPr>
            <w:tcW w:w="818"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hint="default" w:ascii="仿宋_GB2312" w:hAnsi="仿宋_GB2312" w:eastAsia="仿宋_GB2312" w:cs="仿宋_GB2312"/>
                <w:color w:val="000000"/>
                <w:kern w:val="0"/>
                <w:sz w:val="24"/>
                <w:szCs w:val="24"/>
                <w:lang w:val="en-US" w:eastAsia="zh-CN"/>
              </w:rPr>
            </w:pPr>
            <w:r>
              <w:rPr>
                <w:rFonts w:hint="default" w:ascii="仿宋_GB2312" w:hAnsi="仿宋_GB2312" w:eastAsia="仿宋_GB2312" w:cs="仿宋_GB2312"/>
                <w:color w:val="000000"/>
                <w:kern w:val="0"/>
                <w:sz w:val="24"/>
                <w:szCs w:val="24"/>
                <w:lang w:val="en-US" w:eastAsia="zh-CN"/>
              </w:rPr>
              <w:t>严重</w:t>
            </w:r>
          </w:p>
        </w:tc>
        <w:tc>
          <w:tcPr>
            <w:tcW w:w="1276"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hint="default" w:ascii="仿宋_GB2312" w:hAnsi="仿宋_GB2312" w:eastAsia="仿宋_GB2312" w:cs="仿宋_GB2312"/>
                <w:color w:val="000000"/>
                <w:kern w:val="0"/>
                <w:sz w:val="24"/>
                <w:szCs w:val="24"/>
                <w:lang w:val="en-US" w:eastAsia="zh-CN"/>
              </w:rPr>
            </w:pPr>
            <w:r>
              <w:rPr>
                <w:rFonts w:hint="default" w:ascii="仿宋_GB2312" w:hAnsi="仿宋_GB2312" w:eastAsia="仿宋_GB2312" w:cs="仿宋_GB2312"/>
                <w:color w:val="000000"/>
                <w:kern w:val="0"/>
                <w:sz w:val="24"/>
                <w:szCs w:val="24"/>
                <w:lang w:val="en-US" w:eastAsia="zh-CN"/>
              </w:rPr>
              <w:t>进入内水从事渔业资源调查活动</w:t>
            </w:r>
          </w:p>
        </w:tc>
        <w:tc>
          <w:tcPr>
            <w:tcW w:w="1422" w:type="dxa"/>
            <w:tcBorders>
              <w:bottom w:val="single" w:color="auto" w:sz="4" w:space="0"/>
              <w:right w:val="single" w:color="auto" w:sz="4" w:space="0"/>
              <w:tl2br w:val="nil"/>
              <w:tr2bl w:val="nil"/>
            </w:tcBorders>
            <w:tcMar>
              <w:top w:w="57" w:type="dxa"/>
              <w:left w:w="57" w:type="dxa"/>
              <w:bottom w:w="57" w:type="dxa"/>
              <w:right w:w="57" w:type="dxa"/>
            </w:tcMar>
            <w:vAlign w:val="center"/>
          </w:tcPr>
          <w:p>
            <w:pPr>
              <w:widowControl/>
              <w:adjustRightInd w:val="0"/>
              <w:snapToGrid w:val="0"/>
              <w:textAlignment w:val="center"/>
              <w:rPr>
                <w:rFonts w:hint="default" w:ascii="仿宋_GB2312" w:hAnsi="仿宋_GB2312" w:eastAsia="仿宋_GB2312" w:cs="仿宋_GB2312"/>
                <w:color w:val="000000"/>
                <w:kern w:val="0"/>
                <w:sz w:val="24"/>
                <w:szCs w:val="24"/>
                <w:lang w:val="en-US" w:eastAsia="zh-CN"/>
              </w:rPr>
            </w:pPr>
            <w:r>
              <w:rPr>
                <w:rFonts w:hint="default" w:ascii="仿宋_GB2312" w:hAnsi="仿宋_GB2312" w:eastAsia="仿宋_GB2312" w:cs="仿宋_GB2312"/>
                <w:color w:val="000000"/>
                <w:kern w:val="0"/>
                <w:sz w:val="24"/>
                <w:szCs w:val="24"/>
                <w:lang w:val="en-US" w:eastAsia="zh-CN"/>
              </w:rPr>
              <w:t>已取得渔获物</w:t>
            </w:r>
          </w:p>
        </w:tc>
        <w:tc>
          <w:tcPr>
            <w:tcW w:w="1926" w:type="dxa"/>
            <w:tcBorders>
              <w:left w:val="single" w:color="auto" w:sz="4" w:space="0"/>
              <w:bottom w:val="single" w:color="auto" w:sz="4" w:space="0"/>
              <w:tl2br w:val="nil"/>
              <w:tr2bl w:val="nil"/>
            </w:tcBorders>
            <w:tcMar>
              <w:top w:w="57" w:type="dxa"/>
              <w:left w:w="57" w:type="dxa"/>
              <w:bottom w:w="57" w:type="dxa"/>
              <w:right w:w="57" w:type="dxa"/>
            </w:tcMar>
            <w:vAlign w:val="center"/>
          </w:tcPr>
          <w:p>
            <w:pPr>
              <w:widowControl/>
              <w:adjustRightInd w:val="0"/>
              <w:snapToGrid w:val="0"/>
              <w:textAlignment w:val="center"/>
              <w:rPr>
                <w:rFonts w:hint="default" w:ascii="仿宋_GB2312" w:hAnsi="仿宋_GB2312" w:eastAsia="仿宋_GB2312" w:cs="仿宋_GB2312"/>
                <w:color w:val="000000"/>
                <w:kern w:val="0"/>
                <w:sz w:val="24"/>
                <w:szCs w:val="24"/>
                <w:lang w:val="en-US" w:eastAsia="zh-CN"/>
              </w:rPr>
            </w:pPr>
            <w:r>
              <w:rPr>
                <w:rFonts w:hint="default" w:ascii="仿宋_GB2312" w:hAnsi="仿宋_GB2312" w:eastAsia="仿宋_GB2312" w:cs="仿宋_GB2312"/>
                <w:color w:val="000000"/>
                <w:kern w:val="0"/>
                <w:sz w:val="24"/>
                <w:szCs w:val="24"/>
                <w:lang w:val="en-US" w:eastAsia="zh-CN"/>
              </w:rPr>
              <w:t>责令离开或将其驱逐，可以没收渔获物、渔具，并处二十万元以下不超过四十万元罚款，可以没收渔船</w:t>
            </w:r>
          </w:p>
        </w:tc>
      </w:tr>
    </w:tbl>
    <w:p>
      <w:pPr>
        <w:pStyle w:val="2"/>
        <w:rPr>
          <w:sz w:val="24"/>
          <w:szCs w:val="24"/>
        </w:rPr>
      </w:pPr>
    </w:p>
    <w:tbl>
      <w:tblPr>
        <w:tblStyle w:val="7"/>
        <w:tblW w:w="140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21"/>
        <w:gridCol w:w="2149"/>
        <w:gridCol w:w="7772"/>
        <w:gridCol w:w="663"/>
        <w:gridCol w:w="1129"/>
        <w:gridCol w:w="186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tblHeader/>
          <w:jc w:val="center"/>
        </w:trPr>
        <w:tc>
          <w:tcPr>
            <w:tcW w:w="421"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黑体" w:hAnsi="黑体" w:eastAsia="黑体" w:cs="黑体"/>
                <w:color w:val="000000"/>
                <w:sz w:val="24"/>
                <w:szCs w:val="24"/>
              </w:rPr>
            </w:pPr>
            <w:r>
              <w:rPr>
                <w:rFonts w:hint="eastAsia" w:ascii="黑体" w:hAnsi="黑体" w:eastAsia="黑体" w:cs="黑体"/>
                <w:color w:val="000000"/>
                <w:kern w:val="0"/>
                <w:sz w:val="24"/>
                <w:szCs w:val="24"/>
              </w:rPr>
              <w:t>序号</w:t>
            </w:r>
          </w:p>
        </w:tc>
        <w:tc>
          <w:tcPr>
            <w:tcW w:w="2149"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黑体" w:hAnsi="黑体" w:eastAsia="黑体" w:cs="黑体"/>
                <w:color w:val="000000"/>
                <w:sz w:val="24"/>
                <w:szCs w:val="24"/>
              </w:rPr>
            </w:pPr>
            <w:r>
              <w:rPr>
                <w:rFonts w:hint="eastAsia" w:ascii="黑体" w:hAnsi="黑体" w:eastAsia="黑体" w:cs="黑体"/>
                <w:color w:val="000000"/>
                <w:kern w:val="0"/>
                <w:sz w:val="24"/>
                <w:szCs w:val="24"/>
              </w:rPr>
              <w:t>违法行为</w:t>
            </w:r>
          </w:p>
        </w:tc>
        <w:tc>
          <w:tcPr>
            <w:tcW w:w="7772"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黑体" w:hAnsi="黑体" w:eastAsia="黑体" w:cs="黑体"/>
                <w:color w:val="000000"/>
                <w:sz w:val="24"/>
                <w:szCs w:val="24"/>
              </w:rPr>
            </w:pPr>
            <w:r>
              <w:rPr>
                <w:rFonts w:hint="eastAsia" w:ascii="黑体" w:hAnsi="黑体" w:eastAsia="黑体" w:cs="黑体"/>
                <w:color w:val="000000"/>
                <w:kern w:val="0"/>
                <w:sz w:val="24"/>
                <w:szCs w:val="24"/>
              </w:rPr>
              <w:t>处罚依据</w:t>
            </w:r>
          </w:p>
        </w:tc>
        <w:tc>
          <w:tcPr>
            <w:tcW w:w="663"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黑体" w:hAnsi="黑体" w:eastAsia="黑体" w:cs="黑体"/>
                <w:color w:val="000000"/>
                <w:sz w:val="24"/>
                <w:szCs w:val="24"/>
              </w:rPr>
            </w:pPr>
            <w:r>
              <w:rPr>
                <w:rFonts w:hint="eastAsia" w:ascii="黑体" w:hAnsi="黑体" w:eastAsia="黑体" w:cs="黑体"/>
                <w:color w:val="000000"/>
                <w:kern w:val="0"/>
                <w:sz w:val="24"/>
                <w:szCs w:val="24"/>
              </w:rPr>
              <w:t>违法程度</w:t>
            </w:r>
          </w:p>
        </w:tc>
        <w:tc>
          <w:tcPr>
            <w:tcW w:w="1129"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黑体" w:hAnsi="黑体" w:eastAsia="黑体" w:cs="黑体"/>
                <w:color w:val="000000"/>
                <w:sz w:val="24"/>
                <w:szCs w:val="24"/>
              </w:rPr>
            </w:pPr>
            <w:r>
              <w:rPr>
                <w:rFonts w:hint="eastAsia" w:ascii="黑体" w:hAnsi="黑体" w:eastAsia="黑体" w:cs="黑体"/>
                <w:color w:val="000000"/>
                <w:kern w:val="0"/>
                <w:sz w:val="24"/>
                <w:szCs w:val="24"/>
              </w:rPr>
              <w:t>违法情节</w:t>
            </w:r>
          </w:p>
        </w:tc>
        <w:tc>
          <w:tcPr>
            <w:tcW w:w="1866"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黑体" w:hAnsi="黑体" w:eastAsia="黑体" w:cs="黑体"/>
                <w:color w:val="000000"/>
                <w:sz w:val="24"/>
                <w:szCs w:val="24"/>
              </w:rPr>
            </w:pPr>
            <w:r>
              <w:rPr>
                <w:rFonts w:hint="eastAsia" w:ascii="黑体" w:hAnsi="黑体" w:eastAsia="黑体" w:cs="黑体"/>
                <w:color w:val="000000"/>
                <w:kern w:val="0"/>
                <w:sz w:val="24"/>
                <w:szCs w:val="24"/>
              </w:rPr>
              <w:t>裁量标准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14" w:hRule="atLeast"/>
          <w:jc w:val="center"/>
        </w:trPr>
        <w:tc>
          <w:tcPr>
            <w:tcW w:w="421" w:type="dxa"/>
            <w:vMerge w:val="restart"/>
            <w:tcBorders>
              <w:tl2br w:val="nil"/>
              <w:tr2bl w:val="nil"/>
            </w:tcBorders>
            <w:tcMar>
              <w:top w:w="57" w:type="dxa"/>
              <w:left w:w="57" w:type="dxa"/>
              <w:bottom w:w="57" w:type="dxa"/>
              <w:right w:w="57" w:type="dxa"/>
            </w:tcMar>
            <w:vAlign w:val="center"/>
          </w:tcPr>
          <w:p>
            <w:pPr>
              <w:widowControl/>
              <w:adjustRightInd w:val="0"/>
              <w:snapToGrid w:val="0"/>
              <w:textAlignment w:val="center"/>
              <w:rPr>
                <w:rFonts w:hint="default" w:ascii="仿宋_GB2312" w:hAnsi="仿宋_GB2312" w:eastAsia="仿宋_GB2312" w:cs="仿宋_GB2312"/>
                <w:color w:val="000000"/>
                <w:kern w:val="0"/>
                <w:sz w:val="21"/>
                <w:szCs w:val="21"/>
                <w:lang w:val="en-US" w:eastAsia="zh-CN"/>
              </w:rPr>
            </w:pPr>
            <w:r>
              <w:rPr>
                <w:rFonts w:hint="eastAsia" w:ascii="仿宋_GB2312" w:hAnsi="仿宋_GB2312" w:eastAsia="仿宋_GB2312" w:cs="仿宋_GB2312"/>
                <w:color w:val="000000"/>
                <w:kern w:val="0"/>
                <w:sz w:val="21"/>
                <w:szCs w:val="21"/>
                <w:lang w:val="en-US" w:eastAsia="zh-CN"/>
              </w:rPr>
              <w:t>13</w:t>
            </w:r>
          </w:p>
        </w:tc>
        <w:tc>
          <w:tcPr>
            <w:tcW w:w="2149" w:type="dxa"/>
            <w:vMerge w:val="restart"/>
            <w:tcBorders>
              <w:tl2br w:val="nil"/>
              <w:tr2bl w:val="nil"/>
            </w:tcBorders>
            <w:tcMar>
              <w:top w:w="57" w:type="dxa"/>
              <w:left w:w="57" w:type="dxa"/>
              <w:bottom w:w="57" w:type="dxa"/>
              <w:right w:w="57" w:type="dxa"/>
            </w:tcMar>
            <w:vAlign w:val="center"/>
          </w:tcPr>
          <w:p>
            <w:pPr>
              <w:widowControl/>
              <w:adjustRightInd w:val="0"/>
              <w:snapToGrid w:val="0"/>
              <w:textAlignment w:val="center"/>
              <w:rPr>
                <w:rFonts w:hint="default"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未取得入渔许可进入中华人民共和国管辖水域或取得入渔许可但航行于许可作业区域以外的外国船舶，未将渔具收入舱内或未按规定捆扎、覆盖</w:t>
            </w:r>
          </w:p>
        </w:tc>
        <w:tc>
          <w:tcPr>
            <w:tcW w:w="7772" w:type="dxa"/>
            <w:vMerge w:val="restart"/>
            <w:tcBorders>
              <w:tl2br w:val="nil"/>
              <w:tr2bl w:val="nil"/>
            </w:tcBorders>
            <w:tcMar>
              <w:top w:w="57" w:type="dxa"/>
              <w:left w:w="57" w:type="dxa"/>
              <w:bottom w:w="57" w:type="dxa"/>
              <w:right w:w="57" w:type="dxa"/>
            </w:tcMar>
            <w:vAlign w:val="center"/>
          </w:tcPr>
          <w:p>
            <w:pPr>
              <w:widowControl/>
              <w:adjustRightInd w:val="0"/>
              <w:snapToGrid w:val="0"/>
              <w:textAlignment w:val="center"/>
              <w:rPr>
                <w:rFonts w:hint="eastAsia"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《中</w:t>
            </w:r>
            <w:r>
              <w:rPr>
                <w:rFonts w:hint="eastAsia" w:ascii="仿宋_GB2312" w:hAnsi="仿宋_GB2312" w:eastAsia="仿宋_GB2312" w:cs="仿宋_GB2312"/>
                <w:color w:val="000000"/>
                <w:kern w:val="0"/>
                <w:sz w:val="21"/>
                <w:szCs w:val="21"/>
                <w:lang w:val="en-US" w:eastAsia="zh-CN"/>
              </w:rPr>
              <w:t>华</w:t>
            </w:r>
            <w:r>
              <w:rPr>
                <w:rFonts w:hint="default" w:ascii="仿宋_GB2312" w:hAnsi="仿宋_GB2312" w:eastAsia="仿宋_GB2312" w:cs="仿宋_GB2312"/>
                <w:color w:val="000000"/>
                <w:kern w:val="0"/>
                <w:sz w:val="21"/>
                <w:szCs w:val="21"/>
                <w:lang w:val="en-US" w:eastAsia="zh-CN"/>
              </w:rPr>
              <w:t>人民共和国管辖海域外国人、外国船舶渔业活动管理暂行规定》第十六条第十六条　外国船舶进出中华人民共和国渔港，有下列行为之一的，中华人民共和国渔政渔港监督管理机构有权禁止其进、离港口，或者令其停航、改航、停止作业，并可处以3万元以下罚款的处罚：1、未经批准进出中华人民共和国渔港的；2、违反船舶装运、装卸危险品规定的；3、拒不服从渔政渔港监督管理机构指挥调度的；4、拒不执行渔政渔港监督管理机构作出的离港、停航、改航、停止作业和禁止进、离港等决定的。</w:t>
            </w:r>
          </w:p>
        </w:tc>
        <w:tc>
          <w:tcPr>
            <w:tcW w:w="663"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hint="eastAsia"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一般</w:t>
            </w:r>
          </w:p>
        </w:tc>
        <w:tc>
          <w:tcPr>
            <w:tcW w:w="1129"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hint="eastAsia"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未携带我国禁用的渔具</w:t>
            </w:r>
          </w:p>
        </w:tc>
        <w:tc>
          <w:tcPr>
            <w:tcW w:w="1866"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hint="eastAsia"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可处以一万五千元以下罚款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2" w:hRule="atLeast"/>
          <w:jc w:val="center"/>
        </w:trPr>
        <w:tc>
          <w:tcPr>
            <w:tcW w:w="421" w:type="dxa"/>
            <w:vMerge w:val="continue"/>
            <w:tcBorders>
              <w:tl2br w:val="nil"/>
              <w:tr2bl w:val="nil"/>
            </w:tcBorders>
            <w:tcMar>
              <w:top w:w="57" w:type="dxa"/>
              <w:left w:w="57" w:type="dxa"/>
              <w:bottom w:w="57" w:type="dxa"/>
              <w:right w:w="57" w:type="dxa"/>
            </w:tcMar>
            <w:vAlign w:val="center"/>
          </w:tcPr>
          <w:p>
            <w:pPr>
              <w:widowControl/>
              <w:adjustRightInd w:val="0"/>
              <w:snapToGrid w:val="0"/>
              <w:textAlignment w:val="center"/>
              <w:rPr>
                <w:rFonts w:hint="default" w:ascii="仿宋_GB2312" w:hAnsi="仿宋_GB2312" w:eastAsia="仿宋_GB2312" w:cs="仿宋_GB2312"/>
                <w:color w:val="000000"/>
                <w:kern w:val="0"/>
                <w:sz w:val="21"/>
                <w:szCs w:val="21"/>
                <w:lang w:val="en-US" w:eastAsia="zh-CN"/>
              </w:rPr>
            </w:pPr>
          </w:p>
        </w:tc>
        <w:tc>
          <w:tcPr>
            <w:tcW w:w="2149" w:type="dxa"/>
            <w:vMerge w:val="continue"/>
            <w:tcBorders>
              <w:tl2br w:val="nil"/>
              <w:tr2bl w:val="nil"/>
            </w:tcBorders>
            <w:tcMar>
              <w:top w:w="57" w:type="dxa"/>
              <w:left w:w="57" w:type="dxa"/>
              <w:bottom w:w="57" w:type="dxa"/>
              <w:right w:w="57" w:type="dxa"/>
            </w:tcMar>
            <w:vAlign w:val="center"/>
          </w:tcPr>
          <w:p>
            <w:pPr>
              <w:widowControl/>
              <w:adjustRightInd w:val="0"/>
              <w:snapToGrid w:val="0"/>
              <w:textAlignment w:val="center"/>
              <w:rPr>
                <w:rFonts w:hint="default" w:ascii="仿宋_GB2312" w:hAnsi="仿宋_GB2312" w:eastAsia="仿宋_GB2312" w:cs="仿宋_GB2312"/>
                <w:color w:val="000000"/>
                <w:kern w:val="0"/>
                <w:sz w:val="21"/>
                <w:szCs w:val="21"/>
                <w:lang w:val="en-US" w:eastAsia="zh-CN"/>
              </w:rPr>
            </w:pPr>
          </w:p>
        </w:tc>
        <w:tc>
          <w:tcPr>
            <w:tcW w:w="7772" w:type="dxa"/>
            <w:vMerge w:val="continue"/>
            <w:tcBorders>
              <w:tl2br w:val="nil"/>
              <w:tr2bl w:val="nil"/>
            </w:tcBorders>
            <w:tcMar>
              <w:top w:w="57" w:type="dxa"/>
              <w:left w:w="57" w:type="dxa"/>
              <w:bottom w:w="57" w:type="dxa"/>
              <w:right w:w="57" w:type="dxa"/>
            </w:tcMar>
            <w:vAlign w:val="center"/>
          </w:tcPr>
          <w:p>
            <w:pPr>
              <w:widowControl/>
              <w:adjustRightInd w:val="0"/>
              <w:snapToGrid w:val="0"/>
              <w:textAlignment w:val="center"/>
              <w:rPr>
                <w:rFonts w:hint="default" w:ascii="仿宋_GB2312" w:hAnsi="仿宋_GB2312" w:eastAsia="仿宋_GB2312" w:cs="仿宋_GB2312"/>
                <w:color w:val="000000"/>
                <w:kern w:val="0"/>
                <w:sz w:val="21"/>
                <w:szCs w:val="21"/>
                <w:lang w:val="en-US" w:eastAsia="zh-CN"/>
              </w:rPr>
            </w:pPr>
          </w:p>
        </w:tc>
        <w:tc>
          <w:tcPr>
            <w:tcW w:w="663"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hint="default"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严重</w:t>
            </w:r>
          </w:p>
        </w:tc>
        <w:tc>
          <w:tcPr>
            <w:tcW w:w="1129"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hint="default"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携带我国禁用的渔具</w:t>
            </w:r>
          </w:p>
        </w:tc>
        <w:tc>
          <w:tcPr>
            <w:tcW w:w="1866"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hint="default"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可处以一万五千元以上不超过三万元罚款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421" w:type="dxa"/>
            <w:vMerge w:val="restart"/>
            <w:tcBorders>
              <w:tl2br w:val="nil"/>
              <w:tr2bl w:val="nil"/>
            </w:tcBorders>
            <w:tcMar>
              <w:top w:w="57" w:type="dxa"/>
              <w:left w:w="57" w:type="dxa"/>
              <w:bottom w:w="57" w:type="dxa"/>
              <w:right w:w="57" w:type="dxa"/>
            </w:tcMar>
            <w:vAlign w:val="center"/>
          </w:tcPr>
          <w:p>
            <w:pPr>
              <w:widowControl/>
              <w:adjustRightInd w:val="0"/>
              <w:snapToGrid w:val="0"/>
              <w:textAlignment w:val="center"/>
              <w:rPr>
                <w:rFonts w:hint="default" w:ascii="仿宋_GB2312" w:hAnsi="仿宋_GB2312" w:eastAsia="仿宋_GB2312" w:cs="仿宋_GB2312"/>
                <w:color w:val="000000"/>
                <w:kern w:val="0"/>
                <w:sz w:val="21"/>
                <w:szCs w:val="21"/>
                <w:lang w:val="en-US" w:eastAsia="zh-CN"/>
              </w:rPr>
            </w:pPr>
            <w:r>
              <w:rPr>
                <w:rFonts w:hint="eastAsia" w:ascii="仿宋_GB2312" w:hAnsi="仿宋_GB2312" w:eastAsia="仿宋_GB2312" w:cs="仿宋_GB2312"/>
                <w:color w:val="000000"/>
                <w:kern w:val="0"/>
                <w:sz w:val="21"/>
                <w:szCs w:val="21"/>
                <w:lang w:val="en-US" w:eastAsia="zh-CN"/>
              </w:rPr>
              <w:t>14</w:t>
            </w:r>
          </w:p>
        </w:tc>
        <w:tc>
          <w:tcPr>
            <w:tcW w:w="2149" w:type="dxa"/>
            <w:vMerge w:val="restart"/>
            <w:tcBorders>
              <w:tl2br w:val="nil"/>
              <w:tr2bl w:val="nil"/>
            </w:tcBorders>
            <w:tcMar>
              <w:top w:w="57" w:type="dxa"/>
              <w:left w:w="57" w:type="dxa"/>
              <w:bottom w:w="57" w:type="dxa"/>
              <w:right w:w="57" w:type="dxa"/>
            </w:tcMar>
            <w:vAlign w:val="center"/>
          </w:tcPr>
          <w:p>
            <w:pPr>
              <w:widowControl/>
              <w:adjustRightInd w:val="0"/>
              <w:snapToGrid w:val="0"/>
              <w:textAlignment w:val="center"/>
              <w:rPr>
                <w:rFonts w:hint="default"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外国船舶未经批准进出中华人民共和国渔港；违反船舶装运、装卸危险品规定；拒不服从渔政渔港监督管理机关指挥调度；拒不执行渔政渔港监督管理机关作出的离港、停航、改航、停止作业和禁止进、离港等决定</w:t>
            </w:r>
          </w:p>
        </w:tc>
        <w:tc>
          <w:tcPr>
            <w:tcW w:w="7772" w:type="dxa"/>
            <w:vMerge w:val="restart"/>
            <w:tcBorders>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《中华人民共和国渔港水域交通安全管理条例》第十八条 渔港内的船舶、设施有下列情形之一的，渔政渔港监督管理机关有权禁止其离港，或者令其停航、改航、停止作业：（一）违反中华人民共和国法律、法规或者规章的；（二）处于不适航或者不适拖状态的；（三）发生交通事故，手续未清的；（四）未向渔政渔港监督管理机关或者有关部门交付应当承担的费用，也未提供担保的；（五）渔政渔港监督管理机关认为有其他妨害或者可能妨害海上交通安全的。《中</w:t>
            </w:r>
            <w:r>
              <w:rPr>
                <w:rFonts w:hint="eastAsia" w:ascii="仿宋_GB2312" w:hAnsi="仿宋_GB2312" w:eastAsia="仿宋_GB2312" w:cs="仿宋_GB2312"/>
                <w:color w:val="000000"/>
                <w:kern w:val="0"/>
                <w:sz w:val="21"/>
                <w:szCs w:val="21"/>
                <w:lang w:val="en-US" w:eastAsia="zh-CN"/>
              </w:rPr>
              <w:t>华</w:t>
            </w:r>
            <w:bookmarkStart w:id="0" w:name="_GoBack"/>
            <w:bookmarkEnd w:id="0"/>
            <w:r>
              <w:rPr>
                <w:rFonts w:hint="default" w:ascii="仿宋_GB2312" w:hAnsi="仿宋_GB2312" w:eastAsia="仿宋_GB2312" w:cs="仿宋_GB2312"/>
                <w:color w:val="000000"/>
                <w:kern w:val="0"/>
                <w:sz w:val="21"/>
                <w:szCs w:val="21"/>
                <w:lang w:val="en-US" w:eastAsia="zh-CN"/>
              </w:rPr>
              <w:t xml:space="preserve">人民共和国管辖海域外国人、外国船舶渔业活动管理暂行规定》第十七条　外国船舶进出中华人民共和国渔港，有下列行为之一的，中华人民共和国渔政渔港监督管理机构有权禁止其进、离港口，或者令其停航、改航、停止作业，并可处以3万元以下罚款的处罚：1.未经批准进出中华人民共和国渔港的； 2.违反船舶装运、装卸危险品规定的； 3.拒不服从渔政渔港监督管理机构指挥调度的； 4.拒不执行渔政渔港监督管理机构作出的离港、停航、改航、停止作业和禁止进、离港等决定的。 </w:t>
            </w:r>
          </w:p>
        </w:tc>
        <w:tc>
          <w:tcPr>
            <w:tcW w:w="663" w:type="dxa"/>
            <w:tcBorders>
              <w:bottom w:val="single" w:color="auto" w:sz="4" w:space="0"/>
              <w:tl2br w:val="nil"/>
              <w:tr2bl w:val="nil"/>
            </w:tcBorders>
            <w:tcMar>
              <w:top w:w="57" w:type="dxa"/>
              <w:left w:w="57" w:type="dxa"/>
              <w:bottom w:w="57" w:type="dxa"/>
              <w:right w:w="57" w:type="dxa"/>
            </w:tcMar>
            <w:vAlign w:val="center"/>
          </w:tcPr>
          <w:p>
            <w:pPr>
              <w:widowControl/>
              <w:adjustRightInd w:val="0"/>
              <w:snapToGrid w:val="0"/>
              <w:textAlignment w:val="center"/>
              <w:rPr>
                <w:rFonts w:hint="default"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一般</w:t>
            </w:r>
          </w:p>
        </w:tc>
        <w:tc>
          <w:tcPr>
            <w:tcW w:w="1129" w:type="dxa"/>
            <w:tcBorders>
              <w:bottom w:val="single" w:color="auto" w:sz="4" w:space="0"/>
              <w:tl2br w:val="nil"/>
              <w:tr2bl w:val="nil"/>
            </w:tcBorders>
            <w:tcMar>
              <w:top w:w="57" w:type="dxa"/>
              <w:left w:w="57" w:type="dxa"/>
              <w:bottom w:w="57" w:type="dxa"/>
              <w:right w:w="57" w:type="dxa"/>
            </w:tcMar>
            <w:vAlign w:val="center"/>
          </w:tcPr>
          <w:p>
            <w:pPr>
              <w:widowControl/>
              <w:adjustRightInd w:val="0"/>
              <w:snapToGrid w:val="0"/>
              <w:textAlignment w:val="center"/>
              <w:rPr>
                <w:rFonts w:hint="default"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未造成水上安全生产事故</w:t>
            </w:r>
          </w:p>
        </w:tc>
        <w:tc>
          <w:tcPr>
            <w:tcW w:w="1866" w:type="dxa"/>
            <w:tcBorders>
              <w:bottom w:val="single" w:color="auto" w:sz="4" w:space="0"/>
              <w:tl2br w:val="nil"/>
              <w:tr2bl w:val="nil"/>
            </w:tcBorders>
            <w:tcMar>
              <w:top w:w="57" w:type="dxa"/>
              <w:left w:w="57" w:type="dxa"/>
              <w:bottom w:w="57" w:type="dxa"/>
              <w:right w:w="57" w:type="dxa"/>
            </w:tcMar>
            <w:vAlign w:val="center"/>
          </w:tcPr>
          <w:p>
            <w:pPr>
              <w:widowControl/>
              <w:adjustRightInd w:val="0"/>
              <w:snapToGrid w:val="0"/>
              <w:textAlignment w:val="center"/>
              <w:rPr>
                <w:rFonts w:hint="default"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禁止其进、离港口、或令其停航、改航、停止作业，并可处以一万五千元以下罚款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61" w:hRule="atLeast"/>
          <w:jc w:val="center"/>
        </w:trPr>
        <w:tc>
          <w:tcPr>
            <w:tcW w:w="421" w:type="dxa"/>
            <w:vMerge w:val="continue"/>
            <w:tcBorders>
              <w:bottom w:val="single" w:color="auto" w:sz="4" w:space="0"/>
              <w:tl2br w:val="nil"/>
              <w:tr2bl w:val="nil"/>
            </w:tcBorders>
            <w:tcMar>
              <w:top w:w="57" w:type="dxa"/>
              <w:left w:w="57" w:type="dxa"/>
              <w:bottom w:w="57" w:type="dxa"/>
              <w:right w:w="57" w:type="dxa"/>
            </w:tcMar>
            <w:vAlign w:val="center"/>
          </w:tcPr>
          <w:p>
            <w:pPr>
              <w:widowControl/>
              <w:adjustRightInd w:val="0"/>
              <w:snapToGrid w:val="0"/>
              <w:textAlignment w:val="center"/>
              <w:rPr>
                <w:rFonts w:hint="eastAsia" w:ascii="仿宋_GB2312" w:hAnsi="仿宋_GB2312" w:eastAsia="仿宋_GB2312" w:cs="仿宋_GB2312"/>
                <w:color w:val="000000"/>
                <w:kern w:val="0"/>
                <w:sz w:val="21"/>
                <w:szCs w:val="21"/>
                <w:lang w:val="en-US" w:eastAsia="zh-CN"/>
              </w:rPr>
            </w:pPr>
          </w:p>
        </w:tc>
        <w:tc>
          <w:tcPr>
            <w:tcW w:w="2149" w:type="dxa"/>
            <w:vMerge w:val="continue"/>
            <w:tcBorders>
              <w:bottom w:val="single" w:color="auto" w:sz="4" w:space="0"/>
              <w:tl2br w:val="nil"/>
              <w:tr2bl w:val="nil"/>
            </w:tcBorders>
            <w:tcMar>
              <w:top w:w="57" w:type="dxa"/>
              <w:left w:w="57" w:type="dxa"/>
              <w:bottom w:w="57" w:type="dxa"/>
              <w:right w:w="57" w:type="dxa"/>
            </w:tcMar>
            <w:vAlign w:val="center"/>
          </w:tcPr>
          <w:p>
            <w:pPr>
              <w:widowControl/>
              <w:adjustRightInd w:val="0"/>
              <w:snapToGrid w:val="0"/>
              <w:textAlignment w:val="center"/>
              <w:rPr>
                <w:rFonts w:hint="default" w:ascii="仿宋_GB2312" w:hAnsi="仿宋_GB2312" w:eastAsia="仿宋_GB2312" w:cs="仿宋_GB2312"/>
                <w:color w:val="000000"/>
                <w:kern w:val="0"/>
                <w:sz w:val="21"/>
                <w:szCs w:val="21"/>
                <w:lang w:val="en-US" w:eastAsia="zh-CN"/>
              </w:rPr>
            </w:pPr>
          </w:p>
        </w:tc>
        <w:tc>
          <w:tcPr>
            <w:tcW w:w="7772" w:type="dxa"/>
            <w:vMerge w:val="continue"/>
            <w:tcBorders>
              <w:bottom w:val="single" w:color="auto" w:sz="4" w:space="0"/>
              <w:tl2br w:val="nil"/>
              <w:tr2bl w:val="nil"/>
            </w:tcBorders>
            <w:tcMar>
              <w:top w:w="57" w:type="dxa"/>
              <w:left w:w="57" w:type="dxa"/>
              <w:bottom w:w="57" w:type="dxa"/>
              <w:right w:w="57" w:type="dxa"/>
            </w:tcMar>
            <w:vAlign w:val="center"/>
          </w:tcPr>
          <w:p>
            <w:pPr>
              <w:widowControl/>
              <w:adjustRightInd w:val="0"/>
              <w:snapToGrid w:val="0"/>
              <w:textAlignment w:val="center"/>
              <w:rPr>
                <w:rFonts w:hint="default" w:ascii="仿宋_GB2312" w:hAnsi="仿宋_GB2312" w:eastAsia="仿宋_GB2312" w:cs="仿宋_GB2312"/>
                <w:color w:val="000000"/>
                <w:kern w:val="0"/>
                <w:sz w:val="21"/>
                <w:szCs w:val="21"/>
                <w:lang w:val="en-US" w:eastAsia="zh-CN"/>
              </w:rPr>
            </w:pPr>
          </w:p>
        </w:tc>
        <w:tc>
          <w:tcPr>
            <w:tcW w:w="663" w:type="dxa"/>
            <w:tcBorders>
              <w:top w:val="single" w:color="auto" w:sz="4" w:space="0"/>
              <w:bottom w:val="single" w:color="auto" w:sz="4" w:space="0"/>
              <w:tl2br w:val="nil"/>
              <w:tr2bl w:val="nil"/>
            </w:tcBorders>
            <w:tcMar>
              <w:top w:w="57" w:type="dxa"/>
              <w:left w:w="57" w:type="dxa"/>
              <w:bottom w:w="57" w:type="dxa"/>
              <w:right w:w="57" w:type="dxa"/>
            </w:tcMar>
            <w:vAlign w:val="center"/>
          </w:tcPr>
          <w:p>
            <w:pPr>
              <w:widowControl/>
              <w:adjustRightInd w:val="0"/>
              <w:snapToGrid w:val="0"/>
              <w:textAlignment w:val="center"/>
              <w:rPr>
                <w:rFonts w:hint="default" w:ascii="仿宋_GB2312" w:hAnsi="仿宋_GB2312" w:eastAsia="仿宋_GB2312" w:cs="仿宋_GB2312"/>
                <w:color w:val="000000"/>
                <w:kern w:val="0"/>
                <w:sz w:val="21"/>
                <w:szCs w:val="21"/>
                <w:lang w:val="en-US" w:eastAsia="zh-CN" w:bidi="ar-SA"/>
              </w:rPr>
            </w:pPr>
            <w:r>
              <w:rPr>
                <w:rFonts w:hint="default" w:ascii="仿宋_GB2312" w:hAnsi="仿宋_GB2312" w:eastAsia="仿宋_GB2312" w:cs="仿宋_GB2312"/>
                <w:color w:val="000000"/>
                <w:kern w:val="0"/>
                <w:sz w:val="21"/>
                <w:szCs w:val="21"/>
                <w:lang w:val="en-US" w:eastAsia="zh-CN"/>
              </w:rPr>
              <w:t>严重</w:t>
            </w:r>
          </w:p>
        </w:tc>
        <w:tc>
          <w:tcPr>
            <w:tcW w:w="1129" w:type="dxa"/>
            <w:tcBorders>
              <w:top w:val="single" w:color="auto" w:sz="4" w:space="0"/>
              <w:bottom w:val="single" w:color="auto" w:sz="4" w:space="0"/>
              <w:tl2br w:val="nil"/>
              <w:tr2bl w:val="nil"/>
            </w:tcBorders>
            <w:tcMar>
              <w:top w:w="57" w:type="dxa"/>
              <w:left w:w="57" w:type="dxa"/>
              <w:bottom w:w="57" w:type="dxa"/>
              <w:right w:w="57" w:type="dxa"/>
            </w:tcMar>
            <w:vAlign w:val="center"/>
          </w:tcPr>
          <w:p>
            <w:pPr>
              <w:widowControl/>
              <w:adjustRightInd w:val="0"/>
              <w:snapToGrid w:val="0"/>
              <w:textAlignment w:val="center"/>
              <w:rPr>
                <w:rFonts w:hint="default" w:ascii="仿宋_GB2312" w:hAnsi="仿宋_GB2312" w:eastAsia="仿宋_GB2312" w:cs="仿宋_GB2312"/>
                <w:color w:val="000000"/>
                <w:kern w:val="0"/>
                <w:sz w:val="21"/>
                <w:szCs w:val="21"/>
                <w:lang w:val="en-US" w:eastAsia="zh-CN" w:bidi="ar-SA"/>
              </w:rPr>
            </w:pPr>
            <w:r>
              <w:rPr>
                <w:rFonts w:hint="default" w:ascii="仿宋_GB2312" w:hAnsi="仿宋_GB2312" w:eastAsia="仿宋_GB2312" w:cs="仿宋_GB2312"/>
                <w:color w:val="000000"/>
                <w:kern w:val="0"/>
                <w:sz w:val="21"/>
                <w:szCs w:val="21"/>
                <w:lang w:val="en-US" w:eastAsia="zh-CN"/>
              </w:rPr>
              <w:t>造成水上安全生产事故</w:t>
            </w:r>
          </w:p>
        </w:tc>
        <w:tc>
          <w:tcPr>
            <w:tcW w:w="1866" w:type="dxa"/>
            <w:tcBorders>
              <w:top w:val="single" w:color="auto" w:sz="4" w:space="0"/>
              <w:bottom w:val="single" w:color="auto" w:sz="4" w:space="0"/>
              <w:tl2br w:val="nil"/>
              <w:tr2bl w:val="nil"/>
            </w:tcBorders>
            <w:tcMar>
              <w:top w:w="57" w:type="dxa"/>
              <w:left w:w="57" w:type="dxa"/>
              <w:bottom w:w="57" w:type="dxa"/>
              <w:right w:w="57" w:type="dxa"/>
            </w:tcMar>
            <w:vAlign w:val="center"/>
          </w:tcPr>
          <w:p>
            <w:pPr>
              <w:widowControl/>
              <w:adjustRightInd w:val="0"/>
              <w:snapToGrid w:val="0"/>
              <w:textAlignment w:val="center"/>
              <w:rPr>
                <w:rFonts w:hint="default" w:ascii="仿宋_GB2312" w:hAnsi="仿宋_GB2312" w:eastAsia="仿宋_GB2312" w:cs="仿宋_GB2312"/>
                <w:color w:val="000000"/>
                <w:kern w:val="0"/>
                <w:sz w:val="21"/>
                <w:szCs w:val="21"/>
                <w:lang w:val="en-US" w:eastAsia="zh-CN" w:bidi="ar-SA"/>
              </w:rPr>
            </w:pPr>
            <w:r>
              <w:rPr>
                <w:rFonts w:hint="default" w:ascii="仿宋_GB2312" w:hAnsi="仿宋_GB2312" w:eastAsia="仿宋_GB2312" w:cs="仿宋_GB2312"/>
                <w:color w:val="000000"/>
                <w:kern w:val="0"/>
                <w:sz w:val="21"/>
                <w:szCs w:val="21"/>
                <w:lang w:val="en-US" w:eastAsia="zh-CN"/>
              </w:rPr>
              <w:t>禁止其进、离港口、或令其停航、改航、停止作业，并可处以一万五千元以上不超过三万元罚款</w:t>
            </w:r>
          </w:p>
        </w:tc>
      </w:tr>
    </w:tbl>
    <w:p>
      <w:pPr>
        <w:pStyle w:val="2"/>
      </w:pPr>
    </w:p>
    <w:p>
      <w:pPr>
        <w:pStyle w:val="2"/>
      </w:pPr>
    </w:p>
    <w:p>
      <w:pPr>
        <w:pStyle w:val="2"/>
      </w:pPr>
    </w:p>
    <w:tbl>
      <w:tblPr>
        <w:tblStyle w:val="7"/>
        <w:tblW w:w="140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21"/>
        <w:gridCol w:w="1098"/>
        <w:gridCol w:w="3221"/>
        <w:gridCol w:w="818"/>
        <w:gridCol w:w="1656"/>
        <w:gridCol w:w="2775"/>
        <w:gridCol w:w="401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tblHeader/>
          <w:jc w:val="center"/>
        </w:trPr>
        <w:tc>
          <w:tcPr>
            <w:tcW w:w="421"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黑体" w:hAnsi="黑体" w:eastAsia="黑体" w:cs="黑体"/>
                <w:color w:val="000000"/>
                <w:sz w:val="24"/>
                <w:szCs w:val="24"/>
              </w:rPr>
            </w:pPr>
            <w:r>
              <w:rPr>
                <w:rFonts w:hint="eastAsia" w:ascii="黑体" w:hAnsi="黑体" w:eastAsia="黑体" w:cs="黑体"/>
                <w:color w:val="000000"/>
                <w:kern w:val="0"/>
                <w:sz w:val="24"/>
                <w:szCs w:val="24"/>
              </w:rPr>
              <w:t>序号</w:t>
            </w:r>
          </w:p>
        </w:tc>
        <w:tc>
          <w:tcPr>
            <w:tcW w:w="1098"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黑体" w:hAnsi="黑体" w:eastAsia="黑体" w:cs="黑体"/>
                <w:color w:val="000000"/>
                <w:sz w:val="24"/>
                <w:szCs w:val="24"/>
              </w:rPr>
            </w:pPr>
            <w:r>
              <w:rPr>
                <w:rFonts w:hint="eastAsia" w:ascii="黑体" w:hAnsi="黑体" w:eastAsia="黑体" w:cs="黑体"/>
                <w:color w:val="000000"/>
                <w:kern w:val="0"/>
                <w:sz w:val="24"/>
                <w:szCs w:val="24"/>
              </w:rPr>
              <w:t>违法行为</w:t>
            </w:r>
          </w:p>
        </w:tc>
        <w:tc>
          <w:tcPr>
            <w:tcW w:w="3221"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黑体" w:hAnsi="黑体" w:eastAsia="黑体" w:cs="黑体"/>
                <w:color w:val="000000"/>
                <w:sz w:val="24"/>
                <w:szCs w:val="24"/>
              </w:rPr>
            </w:pPr>
            <w:r>
              <w:rPr>
                <w:rFonts w:hint="eastAsia" w:ascii="黑体" w:hAnsi="黑体" w:eastAsia="黑体" w:cs="黑体"/>
                <w:color w:val="000000"/>
                <w:kern w:val="0"/>
                <w:sz w:val="24"/>
                <w:szCs w:val="24"/>
              </w:rPr>
              <w:t>处罚依据</w:t>
            </w:r>
          </w:p>
        </w:tc>
        <w:tc>
          <w:tcPr>
            <w:tcW w:w="818"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黑体" w:hAnsi="黑体" w:eastAsia="黑体" w:cs="黑体"/>
                <w:color w:val="000000"/>
                <w:sz w:val="24"/>
                <w:szCs w:val="24"/>
              </w:rPr>
            </w:pPr>
            <w:r>
              <w:rPr>
                <w:rFonts w:hint="eastAsia" w:ascii="黑体" w:hAnsi="黑体" w:eastAsia="黑体" w:cs="黑体"/>
                <w:color w:val="000000"/>
                <w:kern w:val="0"/>
                <w:sz w:val="24"/>
                <w:szCs w:val="24"/>
              </w:rPr>
              <w:t>违法程度</w:t>
            </w:r>
          </w:p>
        </w:tc>
        <w:tc>
          <w:tcPr>
            <w:tcW w:w="1656"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黑体" w:hAnsi="黑体" w:eastAsia="黑体" w:cs="黑体"/>
                <w:color w:val="000000"/>
                <w:sz w:val="24"/>
                <w:szCs w:val="24"/>
              </w:rPr>
            </w:pPr>
            <w:r>
              <w:rPr>
                <w:rFonts w:hint="eastAsia" w:ascii="黑体" w:hAnsi="黑体" w:eastAsia="黑体" w:cs="黑体"/>
                <w:color w:val="000000"/>
                <w:kern w:val="0"/>
                <w:sz w:val="24"/>
                <w:szCs w:val="24"/>
              </w:rPr>
              <w:t>违法情节</w:t>
            </w:r>
          </w:p>
        </w:tc>
        <w:tc>
          <w:tcPr>
            <w:tcW w:w="6786" w:type="dxa"/>
            <w:gridSpan w:val="2"/>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黑体" w:hAnsi="黑体" w:eastAsia="黑体" w:cs="黑体"/>
                <w:color w:val="000000"/>
                <w:sz w:val="24"/>
                <w:szCs w:val="24"/>
              </w:rPr>
            </w:pPr>
            <w:r>
              <w:rPr>
                <w:rFonts w:hint="eastAsia" w:ascii="黑体" w:hAnsi="黑体" w:eastAsia="黑体" w:cs="黑体"/>
                <w:color w:val="000000"/>
                <w:kern w:val="0"/>
                <w:sz w:val="24"/>
                <w:szCs w:val="24"/>
              </w:rPr>
              <w:t>裁量标准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5" w:hRule="atLeast"/>
          <w:jc w:val="center"/>
        </w:trPr>
        <w:tc>
          <w:tcPr>
            <w:tcW w:w="421" w:type="dxa"/>
            <w:vMerge w:val="restart"/>
            <w:tcBorders>
              <w:tl2br w:val="nil"/>
              <w:tr2bl w:val="nil"/>
            </w:tcBorders>
            <w:tcMar>
              <w:top w:w="57" w:type="dxa"/>
              <w:left w:w="57" w:type="dxa"/>
              <w:bottom w:w="57" w:type="dxa"/>
              <w:right w:w="57" w:type="dxa"/>
            </w:tcMar>
            <w:vAlign w:val="center"/>
          </w:tcPr>
          <w:p>
            <w:pPr>
              <w:widowControl/>
              <w:adjustRightInd w:val="0"/>
              <w:snapToGrid w:val="0"/>
              <w:textAlignment w:val="center"/>
              <w:rPr>
                <w:rFonts w:hint="default"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15</w:t>
            </w:r>
          </w:p>
        </w:tc>
        <w:tc>
          <w:tcPr>
            <w:tcW w:w="1098" w:type="dxa"/>
            <w:vMerge w:val="restart"/>
            <w:tcBorders>
              <w:tl2br w:val="nil"/>
              <w:tr2bl w:val="nil"/>
            </w:tcBorders>
            <w:tcMar>
              <w:top w:w="57" w:type="dxa"/>
              <w:left w:w="57" w:type="dxa"/>
              <w:bottom w:w="57" w:type="dxa"/>
              <w:right w:w="57" w:type="dxa"/>
            </w:tcMar>
            <w:vAlign w:val="center"/>
          </w:tcPr>
          <w:p>
            <w:pPr>
              <w:widowControl/>
              <w:adjustRightInd w:val="0"/>
              <w:snapToGrid w:val="0"/>
              <w:textAlignment w:val="center"/>
              <w:rPr>
                <w:rFonts w:hint="default" w:ascii="仿宋_GB2312" w:hAnsi="仿宋_GB2312" w:eastAsia="仿宋_GB2312" w:cs="仿宋_GB2312"/>
                <w:color w:val="000000"/>
                <w:kern w:val="0"/>
                <w:sz w:val="24"/>
                <w:szCs w:val="24"/>
                <w:lang w:val="en-US" w:eastAsia="zh-CN"/>
              </w:rPr>
            </w:pPr>
            <w:r>
              <w:rPr>
                <w:rFonts w:hint="default" w:ascii="仿宋_GB2312" w:hAnsi="仿宋_GB2312" w:eastAsia="仿宋_GB2312" w:cs="仿宋_GB2312"/>
                <w:color w:val="000000"/>
                <w:kern w:val="0"/>
                <w:sz w:val="24"/>
                <w:szCs w:val="24"/>
                <w:lang w:val="en-US" w:eastAsia="zh-CN"/>
              </w:rPr>
              <w:t>以收容救助为名买卖水生野生动物及其制品</w:t>
            </w:r>
          </w:p>
        </w:tc>
        <w:tc>
          <w:tcPr>
            <w:tcW w:w="3221" w:type="dxa"/>
            <w:vMerge w:val="restart"/>
            <w:tcBorders>
              <w:tl2br w:val="nil"/>
              <w:tr2bl w:val="nil"/>
            </w:tcBorders>
            <w:tcMar>
              <w:top w:w="57" w:type="dxa"/>
              <w:left w:w="57" w:type="dxa"/>
              <w:bottom w:w="57" w:type="dxa"/>
              <w:right w:w="57" w:type="dxa"/>
            </w:tcMar>
            <w:vAlign w:val="center"/>
          </w:tcPr>
          <w:p>
            <w:pPr>
              <w:widowControl/>
              <w:adjustRightInd w:val="0"/>
              <w:snapToGrid w:val="0"/>
              <w:textAlignment w:val="center"/>
              <w:rPr>
                <w:rFonts w:hint="eastAsia" w:ascii="仿宋_GB2312" w:hAnsi="仿宋_GB2312" w:eastAsia="仿宋_GB2312" w:cs="仿宋_GB2312"/>
                <w:color w:val="000000"/>
                <w:kern w:val="0"/>
                <w:sz w:val="24"/>
                <w:szCs w:val="24"/>
                <w:lang w:val="en-US" w:eastAsia="zh-CN"/>
              </w:rPr>
            </w:pPr>
            <w:r>
              <w:rPr>
                <w:rFonts w:hint="default" w:ascii="仿宋_GB2312" w:hAnsi="仿宋_GB2312" w:eastAsia="仿宋_GB2312" w:cs="仿宋_GB2312"/>
                <w:color w:val="000000"/>
                <w:kern w:val="0"/>
                <w:sz w:val="24"/>
                <w:szCs w:val="24"/>
                <w:lang w:val="en-US" w:eastAsia="zh-CN"/>
              </w:rPr>
              <w:t>《中华人民共和国野生动物保护法》第四十四条，违反本法第十五条第三款规定，以收容救护为名买卖野生动物及其制品的，由县级以上人民政府野生动物保护主管部门没收野生动物及其制品、违法所得，并处野生动物及其制品价值二倍以上十倍以下的罚款，将有关违法信息记入社会诚信档案，向社会公布；构成犯罪的，依法追究刑事责任。</w:t>
            </w:r>
          </w:p>
        </w:tc>
        <w:tc>
          <w:tcPr>
            <w:tcW w:w="818" w:type="dxa"/>
            <w:vMerge w:val="restart"/>
            <w:tcBorders>
              <w:tl2br w:val="nil"/>
              <w:tr2bl w:val="nil"/>
            </w:tcBorders>
            <w:tcMar>
              <w:top w:w="57" w:type="dxa"/>
              <w:left w:w="57" w:type="dxa"/>
              <w:bottom w:w="57" w:type="dxa"/>
              <w:right w:w="57" w:type="dxa"/>
            </w:tcMar>
            <w:vAlign w:val="center"/>
          </w:tcPr>
          <w:p>
            <w:pPr>
              <w:widowControl/>
              <w:adjustRightInd w:val="0"/>
              <w:snapToGrid w:val="0"/>
              <w:textAlignment w:val="center"/>
              <w:rPr>
                <w:rFonts w:hint="eastAsia" w:ascii="仿宋_GB2312" w:hAnsi="仿宋_GB2312" w:eastAsia="仿宋_GB2312" w:cs="仿宋_GB2312"/>
                <w:color w:val="000000"/>
                <w:kern w:val="0"/>
                <w:sz w:val="24"/>
                <w:szCs w:val="24"/>
                <w:lang w:val="en-US" w:eastAsia="zh-CN"/>
              </w:rPr>
            </w:pPr>
            <w:r>
              <w:rPr>
                <w:rFonts w:hint="default" w:ascii="仿宋_GB2312" w:hAnsi="仿宋_GB2312" w:eastAsia="仿宋_GB2312" w:cs="仿宋_GB2312"/>
                <w:color w:val="000000"/>
                <w:kern w:val="0"/>
                <w:sz w:val="24"/>
                <w:szCs w:val="24"/>
                <w:lang w:val="en-US" w:eastAsia="zh-CN"/>
              </w:rPr>
              <w:t>较轻</w:t>
            </w:r>
          </w:p>
        </w:tc>
        <w:tc>
          <w:tcPr>
            <w:tcW w:w="1656" w:type="dxa"/>
            <w:vMerge w:val="restart"/>
            <w:tcBorders>
              <w:tl2br w:val="nil"/>
              <w:tr2bl w:val="nil"/>
            </w:tcBorders>
            <w:tcMar>
              <w:top w:w="57" w:type="dxa"/>
              <w:left w:w="57" w:type="dxa"/>
              <w:bottom w:w="57" w:type="dxa"/>
              <w:right w:w="57" w:type="dxa"/>
            </w:tcMar>
            <w:vAlign w:val="center"/>
          </w:tcPr>
          <w:p>
            <w:pPr>
              <w:widowControl/>
              <w:adjustRightInd w:val="0"/>
              <w:snapToGrid w:val="0"/>
              <w:textAlignment w:val="center"/>
              <w:rPr>
                <w:rFonts w:hint="eastAsia" w:ascii="仿宋_GB2312" w:hAnsi="仿宋_GB2312" w:eastAsia="仿宋_GB2312" w:cs="仿宋_GB2312"/>
                <w:color w:val="000000"/>
                <w:kern w:val="0"/>
                <w:sz w:val="24"/>
                <w:szCs w:val="24"/>
                <w:lang w:val="en-US" w:eastAsia="zh-CN"/>
              </w:rPr>
            </w:pPr>
            <w:r>
              <w:rPr>
                <w:rFonts w:hint="default" w:ascii="仿宋_GB2312" w:hAnsi="仿宋_GB2312" w:eastAsia="仿宋_GB2312" w:cs="仿宋_GB2312"/>
                <w:color w:val="000000"/>
                <w:kern w:val="0"/>
                <w:sz w:val="24"/>
                <w:szCs w:val="24"/>
                <w:lang w:val="en-US" w:eastAsia="zh-CN"/>
              </w:rPr>
              <w:t>价值二万五千元以下</w:t>
            </w:r>
          </w:p>
        </w:tc>
        <w:tc>
          <w:tcPr>
            <w:tcW w:w="2775" w:type="dxa"/>
            <w:tcBorders>
              <w:bottom w:val="single" w:color="auto" w:sz="4" w:space="0"/>
              <w:tl2br w:val="nil"/>
              <w:tr2bl w:val="nil"/>
            </w:tcBorders>
            <w:tcMar>
              <w:top w:w="57" w:type="dxa"/>
              <w:left w:w="57" w:type="dxa"/>
              <w:bottom w:w="57" w:type="dxa"/>
              <w:right w:w="57" w:type="dxa"/>
            </w:tcMar>
            <w:vAlign w:val="center"/>
          </w:tcPr>
          <w:p>
            <w:pPr>
              <w:widowControl/>
              <w:adjustRightInd w:val="0"/>
              <w:snapToGrid w:val="0"/>
              <w:textAlignment w:val="center"/>
              <w:rPr>
                <w:rFonts w:hint="eastAsia" w:ascii="仿宋_GB2312" w:hAnsi="仿宋_GB2312" w:eastAsia="仿宋_GB2312" w:cs="仿宋_GB2312"/>
                <w:color w:val="000000"/>
                <w:kern w:val="0"/>
                <w:sz w:val="24"/>
                <w:szCs w:val="24"/>
                <w:lang w:val="en-US" w:eastAsia="zh-CN"/>
              </w:rPr>
            </w:pPr>
            <w:r>
              <w:rPr>
                <w:rFonts w:hint="default" w:ascii="仿宋_GB2312" w:hAnsi="仿宋_GB2312" w:eastAsia="仿宋_GB2312" w:cs="仿宋_GB2312"/>
                <w:color w:val="000000"/>
                <w:kern w:val="0"/>
                <w:sz w:val="24"/>
                <w:szCs w:val="24"/>
                <w:lang w:val="en-US" w:eastAsia="zh-CN"/>
              </w:rPr>
              <w:t>价值一万五千元以下</w:t>
            </w:r>
          </w:p>
        </w:tc>
        <w:tc>
          <w:tcPr>
            <w:tcW w:w="4011" w:type="dxa"/>
            <w:tcBorders>
              <w:bottom w:val="single" w:color="auto" w:sz="4" w:space="0"/>
              <w:tl2br w:val="nil"/>
              <w:tr2bl w:val="nil"/>
            </w:tcBorders>
            <w:tcMar>
              <w:top w:w="57" w:type="dxa"/>
              <w:left w:w="57" w:type="dxa"/>
              <w:bottom w:w="57" w:type="dxa"/>
              <w:right w:w="57" w:type="dxa"/>
            </w:tcMar>
            <w:vAlign w:val="center"/>
          </w:tcPr>
          <w:p>
            <w:pPr>
              <w:widowControl/>
              <w:adjustRightInd w:val="0"/>
              <w:snapToGrid w:val="0"/>
              <w:textAlignment w:val="center"/>
              <w:rPr>
                <w:rFonts w:hint="eastAsia" w:ascii="仿宋_GB2312" w:hAnsi="仿宋_GB2312" w:eastAsia="仿宋_GB2312" w:cs="仿宋_GB2312"/>
                <w:color w:val="000000"/>
                <w:kern w:val="0"/>
                <w:sz w:val="24"/>
                <w:szCs w:val="24"/>
                <w:lang w:val="en-US" w:eastAsia="zh-CN"/>
              </w:rPr>
            </w:pPr>
            <w:r>
              <w:rPr>
                <w:rFonts w:hint="default" w:ascii="仿宋_GB2312" w:hAnsi="仿宋_GB2312" w:eastAsia="仿宋_GB2312" w:cs="仿宋_GB2312"/>
                <w:color w:val="000000"/>
                <w:kern w:val="0"/>
                <w:sz w:val="24"/>
                <w:szCs w:val="24"/>
                <w:lang w:val="en-US" w:eastAsia="zh-CN"/>
              </w:rPr>
              <w:t>没收水生野生动物及其制品、违法所得，并处水生野生动物及其制品价值二倍以上三倍以下罚款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 w:hRule="atLeast"/>
          <w:jc w:val="center"/>
        </w:trPr>
        <w:tc>
          <w:tcPr>
            <w:tcW w:w="421" w:type="dxa"/>
            <w:vMerge w:val="continue"/>
            <w:tcBorders>
              <w:tl2br w:val="nil"/>
              <w:tr2bl w:val="nil"/>
            </w:tcBorders>
            <w:tcMar>
              <w:top w:w="57" w:type="dxa"/>
              <w:left w:w="57" w:type="dxa"/>
              <w:bottom w:w="57" w:type="dxa"/>
              <w:right w:w="57" w:type="dxa"/>
            </w:tcMar>
            <w:vAlign w:val="center"/>
          </w:tcPr>
          <w:p>
            <w:pPr>
              <w:widowControl/>
              <w:adjustRightInd w:val="0"/>
              <w:snapToGrid w:val="0"/>
              <w:textAlignment w:val="center"/>
              <w:rPr>
                <w:rFonts w:hint="eastAsia" w:ascii="仿宋_GB2312" w:hAnsi="仿宋_GB2312" w:eastAsia="仿宋_GB2312" w:cs="仿宋_GB2312"/>
                <w:color w:val="000000"/>
                <w:kern w:val="0"/>
                <w:sz w:val="24"/>
                <w:szCs w:val="24"/>
                <w:lang w:val="en-US" w:eastAsia="zh-CN"/>
              </w:rPr>
            </w:pPr>
          </w:p>
        </w:tc>
        <w:tc>
          <w:tcPr>
            <w:tcW w:w="1098" w:type="dxa"/>
            <w:vMerge w:val="continue"/>
            <w:tcBorders>
              <w:tl2br w:val="nil"/>
              <w:tr2bl w:val="nil"/>
            </w:tcBorders>
            <w:tcMar>
              <w:top w:w="57" w:type="dxa"/>
              <w:left w:w="57" w:type="dxa"/>
              <w:bottom w:w="57" w:type="dxa"/>
              <w:right w:w="57" w:type="dxa"/>
            </w:tcMar>
            <w:vAlign w:val="center"/>
          </w:tcPr>
          <w:p>
            <w:pPr>
              <w:widowControl/>
              <w:adjustRightInd w:val="0"/>
              <w:snapToGrid w:val="0"/>
              <w:textAlignment w:val="center"/>
              <w:rPr>
                <w:rFonts w:hint="default" w:ascii="仿宋_GB2312" w:hAnsi="仿宋_GB2312" w:eastAsia="仿宋_GB2312" w:cs="仿宋_GB2312"/>
                <w:color w:val="000000"/>
                <w:kern w:val="0"/>
                <w:sz w:val="24"/>
                <w:szCs w:val="24"/>
                <w:lang w:val="en-US" w:eastAsia="zh-CN"/>
              </w:rPr>
            </w:pPr>
          </w:p>
        </w:tc>
        <w:tc>
          <w:tcPr>
            <w:tcW w:w="3221" w:type="dxa"/>
            <w:vMerge w:val="continue"/>
            <w:tcBorders>
              <w:tl2br w:val="nil"/>
              <w:tr2bl w:val="nil"/>
            </w:tcBorders>
            <w:tcMar>
              <w:top w:w="57" w:type="dxa"/>
              <w:left w:w="57" w:type="dxa"/>
              <w:bottom w:w="57" w:type="dxa"/>
              <w:right w:w="57" w:type="dxa"/>
            </w:tcMar>
            <w:vAlign w:val="center"/>
          </w:tcPr>
          <w:p>
            <w:pPr>
              <w:widowControl/>
              <w:adjustRightInd w:val="0"/>
              <w:snapToGrid w:val="0"/>
              <w:textAlignment w:val="center"/>
              <w:rPr>
                <w:rFonts w:hint="default" w:ascii="仿宋_GB2312" w:hAnsi="仿宋_GB2312" w:eastAsia="仿宋_GB2312" w:cs="仿宋_GB2312"/>
                <w:color w:val="000000"/>
                <w:kern w:val="0"/>
                <w:sz w:val="24"/>
                <w:szCs w:val="24"/>
                <w:lang w:val="en-US" w:eastAsia="zh-CN"/>
              </w:rPr>
            </w:pPr>
          </w:p>
        </w:tc>
        <w:tc>
          <w:tcPr>
            <w:tcW w:w="818" w:type="dxa"/>
            <w:vMerge w:val="continue"/>
            <w:tcBorders>
              <w:bottom w:val="single" w:color="auto" w:sz="4" w:space="0"/>
              <w:tl2br w:val="nil"/>
              <w:tr2bl w:val="nil"/>
            </w:tcBorders>
            <w:tcMar>
              <w:top w:w="57" w:type="dxa"/>
              <w:left w:w="57" w:type="dxa"/>
              <w:bottom w:w="57" w:type="dxa"/>
              <w:right w:w="57" w:type="dxa"/>
            </w:tcMar>
            <w:vAlign w:val="center"/>
          </w:tcPr>
          <w:p>
            <w:pPr>
              <w:widowControl/>
              <w:adjustRightInd w:val="0"/>
              <w:snapToGrid w:val="0"/>
              <w:textAlignment w:val="center"/>
              <w:rPr>
                <w:rFonts w:hint="default" w:ascii="仿宋_GB2312" w:hAnsi="仿宋_GB2312" w:eastAsia="仿宋_GB2312" w:cs="仿宋_GB2312"/>
                <w:color w:val="000000"/>
                <w:kern w:val="0"/>
                <w:sz w:val="24"/>
                <w:szCs w:val="24"/>
                <w:lang w:val="en-US" w:eastAsia="zh-CN"/>
              </w:rPr>
            </w:pPr>
          </w:p>
        </w:tc>
        <w:tc>
          <w:tcPr>
            <w:tcW w:w="1656" w:type="dxa"/>
            <w:vMerge w:val="continue"/>
            <w:tcBorders>
              <w:bottom w:val="single" w:color="auto" w:sz="4" w:space="0"/>
              <w:tl2br w:val="nil"/>
              <w:tr2bl w:val="nil"/>
            </w:tcBorders>
            <w:tcMar>
              <w:top w:w="57" w:type="dxa"/>
              <w:left w:w="57" w:type="dxa"/>
              <w:bottom w:w="57" w:type="dxa"/>
              <w:right w:w="57" w:type="dxa"/>
            </w:tcMar>
            <w:vAlign w:val="center"/>
          </w:tcPr>
          <w:p>
            <w:pPr>
              <w:widowControl/>
              <w:adjustRightInd w:val="0"/>
              <w:snapToGrid w:val="0"/>
              <w:textAlignment w:val="center"/>
              <w:rPr>
                <w:rFonts w:hint="default" w:ascii="仿宋_GB2312" w:hAnsi="仿宋_GB2312" w:eastAsia="仿宋_GB2312" w:cs="仿宋_GB2312"/>
                <w:color w:val="000000"/>
                <w:kern w:val="0"/>
                <w:sz w:val="24"/>
                <w:szCs w:val="24"/>
                <w:lang w:val="en-US" w:eastAsia="zh-CN"/>
              </w:rPr>
            </w:pPr>
          </w:p>
        </w:tc>
        <w:tc>
          <w:tcPr>
            <w:tcW w:w="2775" w:type="dxa"/>
            <w:tcBorders>
              <w:top w:val="single" w:color="auto" w:sz="4" w:space="0"/>
              <w:bottom w:val="single" w:color="auto" w:sz="4" w:space="0"/>
              <w:tl2br w:val="nil"/>
              <w:tr2bl w:val="nil"/>
            </w:tcBorders>
            <w:tcMar>
              <w:top w:w="57" w:type="dxa"/>
              <w:left w:w="57" w:type="dxa"/>
              <w:bottom w:w="57" w:type="dxa"/>
              <w:right w:w="57" w:type="dxa"/>
            </w:tcMar>
            <w:vAlign w:val="center"/>
          </w:tcPr>
          <w:p>
            <w:pPr>
              <w:widowControl/>
              <w:adjustRightInd w:val="0"/>
              <w:snapToGrid w:val="0"/>
              <w:textAlignment w:val="center"/>
              <w:rPr>
                <w:rFonts w:hint="eastAsia" w:ascii="仿宋_GB2312" w:hAnsi="仿宋_GB2312" w:eastAsia="仿宋_GB2312" w:cs="仿宋_GB2312"/>
                <w:color w:val="000000"/>
                <w:kern w:val="0"/>
                <w:sz w:val="24"/>
                <w:szCs w:val="24"/>
                <w:lang w:val="en-US" w:eastAsia="zh-CN"/>
              </w:rPr>
            </w:pPr>
            <w:r>
              <w:rPr>
                <w:rFonts w:hint="default" w:ascii="仿宋_GB2312" w:hAnsi="仿宋_GB2312" w:eastAsia="仿宋_GB2312" w:cs="仿宋_GB2312"/>
                <w:color w:val="000000"/>
                <w:kern w:val="0"/>
                <w:sz w:val="24"/>
                <w:szCs w:val="24"/>
                <w:lang w:val="en-US" w:eastAsia="zh-CN"/>
              </w:rPr>
              <w:t>价值一万五千元以上二万五千元以下</w:t>
            </w:r>
          </w:p>
        </w:tc>
        <w:tc>
          <w:tcPr>
            <w:tcW w:w="4011" w:type="dxa"/>
            <w:tcBorders>
              <w:top w:val="single" w:color="auto" w:sz="4" w:space="0"/>
              <w:bottom w:val="single" w:color="auto" w:sz="4" w:space="0"/>
              <w:tl2br w:val="nil"/>
              <w:tr2bl w:val="nil"/>
            </w:tcBorders>
            <w:tcMar>
              <w:top w:w="57" w:type="dxa"/>
              <w:left w:w="57" w:type="dxa"/>
              <w:bottom w:w="57" w:type="dxa"/>
              <w:right w:w="57" w:type="dxa"/>
            </w:tcMar>
            <w:vAlign w:val="center"/>
          </w:tcPr>
          <w:p>
            <w:pPr>
              <w:widowControl/>
              <w:adjustRightInd w:val="0"/>
              <w:snapToGrid w:val="0"/>
              <w:textAlignment w:val="center"/>
              <w:rPr>
                <w:rFonts w:hint="eastAsia" w:ascii="仿宋_GB2312" w:hAnsi="仿宋_GB2312" w:eastAsia="仿宋_GB2312" w:cs="仿宋_GB2312"/>
                <w:color w:val="000000"/>
                <w:kern w:val="0"/>
                <w:sz w:val="24"/>
                <w:szCs w:val="24"/>
                <w:lang w:val="en-US" w:eastAsia="zh-CN"/>
              </w:rPr>
            </w:pPr>
            <w:r>
              <w:rPr>
                <w:rFonts w:hint="default" w:ascii="仿宋_GB2312" w:hAnsi="仿宋_GB2312" w:eastAsia="仿宋_GB2312" w:cs="仿宋_GB2312"/>
                <w:color w:val="000000"/>
                <w:kern w:val="0"/>
                <w:sz w:val="24"/>
                <w:szCs w:val="24"/>
                <w:lang w:val="en-US" w:eastAsia="zh-CN"/>
              </w:rPr>
              <w:t>没收水生野生动物及其制品、违法所得，并处水生野生动物及其制品价值三倍以上四倍以下罚款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8" w:hRule="atLeast"/>
          <w:jc w:val="center"/>
        </w:trPr>
        <w:tc>
          <w:tcPr>
            <w:tcW w:w="421" w:type="dxa"/>
            <w:vMerge w:val="continue"/>
            <w:tcBorders>
              <w:tl2br w:val="nil"/>
              <w:tr2bl w:val="nil"/>
            </w:tcBorders>
            <w:tcMar>
              <w:top w:w="57" w:type="dxa"/>
              <w:left w:w="57" w:type="dxa"/>
              <w:bottom w:w="57" w:type="dxa"/>
              <w:right w:w="57" w:type="dxa"/>
            </w:tcMar>
            <w:vAlign w:val="center"/>
          </w:tcPr>
          <w:p>
            <w:pPr>
              <w:widowControl/>
              <w:adjustRightInd w:val="0"/>
              <w:snapToGrid w:val="0"/>
              <w:textAlignment w:val="center"/>
              <w:rPr>
                <w:rFonts w:hint="eastAsia" w:ascii="仿宋_GB2312" w:hAnsi="仿宋_GB2312" w:eastAsia="仿宋_GB2312" w:cs="仿宋_GB2312"/>
                <w:color w:val="000000"/>
                <w:kern w:val="0"/>
                <w:sz w:val="24"/>
                <w:szCs w:val="24"/>
                <w:lang w:val="en-US" w:eastAsia="zh-CN"/>
              </w:rPr>
            </w:pPr>
          </w:p>
        </w:tc>
        <w:tc>
          <w:tcPr>
            <w:tcW w:w="1098" w:type="dxa"/>
            <w:vMerge w:val="continue"/>
            <w:tcBorders>
              <w:tl2br w:val="nil"/>
              <w:tr2bl w:val="nil"/>
            </w:tcBorders>
            <w:tcMar>
              <w:top w:w="57" w:type="dxa"/>
              <w:left w:w="57" w:type="dxa"/>
              <w:bottom w:w="57" w:type="dxa"/>
              <w:right w:w="57" w:type="dxa"/>
            </w:tcMar>
            <w:vAlign w:val="center"/>
          </w:tcPr>
          <w:p>
            <w:pPr>
              <w:widowControl/>
              <w:adjustRightInd w:val="0"/>
              <w:snapToGrid w:val="0"/>
              <w:textAlignment w:val="center"/>
              <w:rPr>
                <w:rFonts w:hint="default" w:ascii="仿宋_GB2312" w:hAnsi="仿宋_GB2312" w:eastAsia="仿宋_GB2312" w:cs="仿宋_GB2312"/>
                <w:color w:val="000000"/>
                <w:kern w:val="0"/>
                <w:sz w:val="24"/>
                <w:szCs w:val="24"/>
                <w:lang w:val="en-US" w:eastAsia="zh-CN"/>
              </w:rPr>
            </w:pPr>
          </w:p>
        </w:tc>
        <w:tc>
          <w:tcPr>
            <w:tcW w:w="3221" w:type="dxa"/>
            <w:vMerge w:val="continue"/>
            <w:tcBorders>
              <w:tl2br w:val="nil"/>
              <w:tr2bl w:val="nil"/>
            </w:tcBorders>
            <w:tcMar>
              <w:top w:w="57" w:type="dxa"/>
              <w:left w:w="57" w:type="dxa"/>
              <w:bottom w:w="57" w:type="dxa"/>
              <w:right w:w="57" w:type="dxa"/>
            </w:tcMar>
            <w:vAlign w:val="center"/>
          </w:tcPr>
          <w:p>
            <w:pPr>
              <w:widowControl/>
              <w:adjustRightInd w:val="0"/>
              <w:snapToGrid w:val="0"/>
              <w:textAlignment w:val="center"/>
              <w:rPr>
                <w:rFonts w:hint="default" w:ascii="仿宋_GB2312" w:hAnsi="仿宋_GB2312" w:eastAsia="仿宋_GB2312" w:cs="仿宋_GB2312"/>
                <w:color w:val="000000"/>
                <w:kern w:val="0"/>
                <w:sz w:val="24"/>
                <w:szCs w:val="24"/>
                <w:lang w:val="en-US" w:eastAsia="zh-CN"/>
              </w:rPr>
            </w:pPr>
          </w:p>
        </w:tc>
        <w:tc>
          <w:tcPr>
            <w:tcW w:w="818" w:type="dxa"/>
            <w:vMerge w:val="restart"/>
            <w:tcBorders>
              <w:top w:val="single" w:color="auto" w:sz="4" w:space="0"/>
              <w:tl2br w:val="nil"/>
              <w:tr2bl w:val="nil"/>
            </w:tcBorders>
            <w:tcMar>
              <w:top w:w="57" w:type="dxa"/>
              <w:left w:w="57" w:type="dxa"/>
              <w:bottom w:w="57" w:type="dxa"/>
              <w:right w:w="57" w:type="dxa"/>
            </w:tcMar>
            <w:vAlign w:val="center"/>
          </w:tcPr>
          <w:p>
            <w:pPr>
              <w:widowControl/>
              <w:adjustRightInd w:val="0"/>
              <w:snapToGrid w:val="0"/>
              <w:textAlignment w:val="center"/>
              <w:rPr>
                <w:rFonts w:hint="eastAsia" w:ascii="仿宋_GB2312" w:hAnsi="仿宋_GB2312" w:eastAsia="仿宋_GB2312" w:cs="仿宋_GB2312"/>
                <w:color w:val="000000"/>
                <w:kern w:val="0"/>
                <w:sz w:val="24"/>
                <w:szCs w:val="24"/>
                <w:lang w:val="en-US" w:eastAsia="zh-CN"/>
              </w:rPr>
            </w:pPr>
            <w:r>
              <w:rPr>
                <w:rFonts w:hint="default" w:ascii="仿宋_GB2312" w:hAnsi="仿宋_GB2312" w:eastAsia="仿宋_GB2312" w:cs="仿宋_GB2312"/>
                <w:color w:val="000000"/>
                <w:kern w:val="0"/>
                <w:sz w:val="24"/>
                <w:szCs w:val="24"/>
                <w:lang w:val="en-US" w:eastAsia="zh-CN"/>
              </w:rPr>
              <w:t>一般</w:t>
            </w:r>
          </w:p>
        </w:tc>
        <w:tc>
          <w:tcPr>
            <w:tcW w:w="1656" w:type="dxa"/>
            <w:vMerge w:val="restart"/>
            <w:tcBorders>
              <w:top w:val="single" w:color="auto" w:sz="4" w:space="0"/>
              <w:tl2br w:val="nil"/>
              <w:tr2bl w:val="nil"/>
            </w:tcBorders>
            <w:tcMar>
              <w:top w:w="57" w:type="dxa"/>
              <w:left w:w="57" w:type="dxa"/>
              <w:bottom w:w="57" w:type="dxa"/>
              <w:right w:w="57" w:type="dxa"/>
            </w:tcMar>
            <w:vAlign w:val="center"/>
          </w:tcPr>
          <w:p>
            <w:pPr>
              <w:widowControl/>
              <w:adjustRightInd w:val="0"/>
              <w:snapToGrid w:val="0"/>
              <w:textAlignment w:val="center"/>
              <w:rPr>
                <w:rFonts w:hint="eastAsia" w:ascii="仿宋_GB2312" w:hAnsi="仿宋_GB2312" w:eastAsia="仿宋_GB2312" w:cs="仿宋_GB2312"/>
                <w:color w:val="000000"/>
                <w:kern w:val="0"/>
                <w:sz w:val="24"/>
                <w:szCs w:val="24"/>
                <w:lang w:val="en-US" w:eastAsia="zh-CN"/>
              </w:rPr>
            </w:pPr>
            <w:r>
              <w:rPr>
                <w:rFonts w:hint="default" w:ascii="仿宋_GB2312" w:hAnsi="仿宋_GB2312" w:eastAsia="仿宋_GB2312" w:cs="仿宋_GB2312"/>
                <w:color w:val="000000"/>
                <w:kern w:val="0"/>
                <w:sz w:val="24"/>
                <w:szCs w:val="24"/>
                <w:lang w:val="en-US" w:eastAsia="zh-CN"/>
              </w:rPr>
              <w:t>价值二万五千元以上五万元以下</w:t>
            </w:r>
          </w:p>
        </w:tc>
        <w:tc>
          <w:tcPr>
            <w:tcW w:w="2775" w:type="dxa"/>
            <w:tcBorders>
              <w:top w:val="single" w:color="auto" w:sz="4" w:space="0"/>
              <w:bottom w:val="single" w:color="auto" w:sz="4" w:space="0"/>
              <w:tl2br w:val="nil"/>
              <w:tr2bl w:val="nil"/>
            </w:tcBorders>
            <w:tcMar>
              <w:top w:w="57" w:type="dxa"/>
              <w:left w:w="57" w:type="dxa"/>
              <w:bottom w:w="57" w:type="dxa"/>
              <w:right w:w="57" w:type="dxa"/>
            </w:tcMar>
            <w:vAlign w:val="center"/>
          </w:tcPr>
          <w:p>
            <w:pPr>
              <w:widowControl/>
              <w:adjustRightInd w:val="0"/>
              <w:snapToGrid w:val="0"/>
              <w:textAlignment w:val="center"/>
              <w:rPr>
                <w:rFonts w:hint="eastAsia" w:ascii="仿宋_GB2312" w:hAnsi="仿宋_GB2312" w:eastAsia="仿宋_GB2312" w:cs="仿宋_GB2312"/>
                <w:color w:val="000000"/>
                <w:kern w:val="0"/>
                <w:sz w:val="24"/>
                <w:szCs w:val="24"/>
                <w:lang w:val="en-US" w:eastAsia="zh-CN"/>
              </w:rPr>
            </w:pPr>
            <w:r>
              <w:rPr>
                <w:rFonts w:hint="default" w:ascii="仿宋_GB2312" w:hAnsi="仿宋_GB2312" w:eastAsia="仿宋_GB2312" w:cs="仿宋_GB2312"/>
                <w:color w:val="000000"/>
                <w:kern w:val="0"/>
                <w:sz w:val="24"/>
                <w:szCs w:val="24"/>
                <w:lang w:val="en-US" w:eastAsia="zh-CN"/>
              </w:rPr>
              <w:t>价值二万五千元以上四万元以下</w:t>
            </w:r>
          </w:p>
        </w:tc>
        <w:tc>
          <w:tcPr>
            <w:tcW w:w="4011" w:type="dxa"/>
            <w:tcBorders>
              <w:top w:val="single" w:color="auto" w:sz="4" w:space="0"/>
              <w:bottom w:val="single" w:color="auto" w:sz="4" w:space="0"/>
              <w:tl2br w:val="nil"/>
              <w:tr2bl w:val="nil"/>
            </w:tcBorders>
            <w:tcMar>
              <w:top w:w="57" w:type="dxa"/>
              <w:left w:w="57" w:type="dxa"/>
              <w:bottom w:w="57" w:type="dxa"/>
              <w:right w:w="57" w:type="dxa"/>
            </w:tcMar>
            <w:vAlign w:val="center"/>
          </w:tcPr>
          <w:p>
            <w:pPr>
              <w:widowControl/>
              <w:adjustRightInd w:val="0"/>
              <w:snapToGrid w:val="0"/>
              <w:textAlignment w:val="center"/>
              <w:rPr>
                <w:rFonts w:hint="eastAsia" w:ascii="仿宋_GB2312" w:hAnsi="仿宋_GB2312" w:eastAsia="仿宋_GB2312" w:cs="仿宋_GB2312"/>
                <w:color w:val="000000"/>
                <w:kern w:val="0"/>
                <w:sz w:val="24"/>
                <w:szCs w:val="24"/>
                <w:lang w:val="en-US" w:eastAsia="zh-CN"/>
              </w:rPr>
            </w:pPr>
            <w:r>
              <w:rPr>
                <w:rFonts w:hint="default" w:ascii="仿宋_GB2312" w:hAnsi="仿宋_GB2312" w:eastAsia="仿宋_GB2312" w:cs="仿宋_GB2312"/>
                <w:color w:val="000000"/>
                <w:kern w:val="0"/>
                <w:sz w:val="24"/>
                <w:szCs w:val="24"/>
                <w:lang w:val="en-US" w:eastAsia="zh-CN"/>
              </w:rPr>
              <w:t>没收水生野生动物及其制品、违法所得，并处水生野生动物及其制品价值四倍以上六倍以下罚款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jc w:val="center"/>
        </w:trPr>
        <w:tc>
          <w:tcPr>
            <w:tcW w:w="421" w:type="dxa"/>
            <w:vMerge w:val="continue"/>
            <w:tcBorders>
              <w:tl2br w:val="nil"/>
              <w:tr2bl w:val="nil"/>
            </w:tcBorders>
            <w:tcMar>
              <w:top w:w="57" w:type="dxa"/>
              <w:left w:w="57" w:type="dxa"/>
              <w:bottom w:w="57" w:type="dxa"/>
              <w:right w:w="57" w:type="dxa"/>
            </w:tcMar>
            <w:vAlign w:val="center"/>
          </w:tcPr>
          <w:p>
            <w:pPr>
              <w:widowControl/>
              <w:adjustRightInd w:val="0"/>
              <w:snapToGrid w:val="0"/>
              <w:textAlignment w:val="center"/>
              <w:rPr>
                <w:rFonts w:hint="eastAsia" w:ascii="仿宋_GB2312" w:hAnsi="仿宋_GB2312" w:eastAsia="仿宋_GB2312" w:cs="仿宋_GB2312"/>
                <w:color w:val="000000"/>
                <w:kern w:val="0"/>
                <w:sz w:val="24"/>
                <w:szCs w:val="24"/>
                <w:lang w:val="en-US" w:eastAsia="zh-CN"/>
              </w:rPr>
            </w:pPr>
          </w:p>
        </w:tc>
        <w:tc>
          <w:tcPr>
            <w:tcW w:w="1098" w:type="dxa"/>
            <w:vMerge w:val="continue"/>
            <w:tcBorders>
              <w:tl2br w:val="nil"/>
              <w:tr2bl w:val="nil"/>
            </w:tcBorders>
            <w:tcMar>
              <w:top w:w="57" w:type="dxa"/>
              <w:left w:w="57" w:type="dxa"/>
              <w:bottom w:w="57" w:type="dxa"/>
              <w:right w:w="57" w:type="dxa"/>
            </w:tcMar>
            <w:vAlign w:val="center"/>
          </w:tcPr>
          <w:p>
            <w:pPr>
              <w:widowControl/>
              <w:adjustRightInd w:val="0"/>
              <w:snapToGrid w:val="0"/>
              <w:textAlignment w:val="center"/>
              <w:rPr>
                <w:rFonts w:hint="default" w:ascii="仿宋_GB2312" w:hAnsi="仿宋_GB2312" w:eastAsia="仿宋_GB2312" w:cs="仿宋_GB2312"/>
                <w:color w:val="000000"/>
                <w:kern w:val="0"/>
                <w:sz w:val="24"/>
                <w:szCs w:val="24"/>
                <w:lang w:val="en-US" w:eastAsia="zh-CN"/>
              </w:rPr>
            </w:pPr>
          </w:p>
        </w:tc>
        <w:tc>
          <w:tcPr>
            <w:tcW w:w="3221" w:type="dxa"/>
            <w:vMerge w:val="continue"/>
            <w:tcBorders>
              <w:tl2br w:val="nil"/>
              <w:tr2bl w:val="nil"/>
            </w:tcBorders>
            <w:tcMar>
              <w:top w:w="57" w:type="dxa"/>
              <w:left w:w="57" w:type="dxa"/>
              <w:bottom w:w="57" w:type="dxa"/>
              <w:right w:w="57" w:type="dxa"/>
            </w:tcMar>
            <w:vAlign w:val="center"/>
          </w:tcPr>
          <w:p>
            <w:pPr>
              <w:widowControl/>
              <w:adjustRightInd w:val="0"/>
              <w:snapToGrid w:val="0"/>
              <w:textAlignment w:val="center"/>
              <w:rPr>
                <w:rFonts w:hint="default" w:ascii="仿宋_GB2312" w:hAnsi="仿宋_GB2312" w:eastAsia="仿宋_GB2312" w:cs="仿宋_GB2312"/>
                <w:color w:val="000000"/>
                <w:kern w:val="0"/>
                <w:sz w:val="24"/>
                <w:szCs w:val="24"/>
                <w:lang w:val="en-US" w:eastAsia="zh-CN"/>
              </w:rPr>
            </w:pPr>
          </w:p>
        </w:tc>
        <w:tc>
          <w:tcPr>
            <w:tcW w:w="818" w:type="dxa"/>
            <w:vMerge w:val="continue"/>
            <w:tcBorders>
              <w:bottom w:val="single" w:color="auto" w:sz="4" w:space="0"/>
              <w:tl2br w:val="nil"/>
              <w:tr2bl w:val="nil"/>
            </w:tcBorders>
            <w:tcMar>
              <w:top w:w="57" w:type="dxa"/>
              <w:left w:w="57" w:type="dxa"/>
              <w:bottom w:w="57" w:type="dxa"/>
              <w:right w:w="57" w:type="dxa"/>
            </w:tcMar>
            <w:vAlign w:val="center"/>
          </w:tcPr>
          <w:p>
            <w:pPr>
              <w:widowControl/>
              <w:adjustRightInd w:val="0"/>
              <w:snapToGrid w:val="0"/>
              <w:textAlignment w:val="center"/>
              <w:rPr>
                <w:rFonts w:hint="default" w:ascii="仿宋_GB2312" w:hAnsi="仿宋_GB2312" w:eastAsia="仿宋_GB2312" w:cs="仿宋_GB2312"/>
                <w:color w:val="000000"/>
                <w:kern w:val="0"/>
                <w:sz w:val="24"/>
                <w:szCs w:val="24"/>
                <w:lang w:val="en-US" w:eastAsia="zh-CN"/>
              </w:rPr>
            </w:pPr>
          </w:p>
        </w:tc>
        <w:tc>
          <w:tcPr>
            <w:tcW w:w="1656" w:type="dxa"/>
            <w:vMerge w:val="continue"/>
            <w:tcBorders>
              <w:bottom w:val="single" w:color="auto" w:sz="4" w:space="0"/>
              <w:tl2br w:val="nil"/>
              <w:tr2bl w:val="nil"/>
            </w:tcBorders>
            <w:tcMar>
              <w:top w:w="57" w:type="dxa"/>
              <w:left w:w="57" w:type="dxa"/>
              <w:bottom w:w="57" w:type="dxa"/>
              <w:right w:w="57" w:type="dxa"/>
            </w:tcMar>
            <w:vAlign w:val="center"/>
          </w:tcPr>
          <w:p>
            <w:pPr>
              <w:widowControl/>
              <w:adjustRightInd w:val="0"/>
              <w:snapToGrid w:val="0"/>
              <w:textAlignment w:val="center"/>
              <w:rPr>
                <w:rFonts w:hint="default" w:ascii="仿宋_GB2312" w:hAnsi="仿宋_GB2312" w:eastAsia="仿宋_GB2312" w:cs="仿宋_GB2312"/>
                <w:color w:val="000000"/>
                <w:kern w:val="0"/>
                <w:sz w:val="24"/>
                <w:szCs w:val="24"/>
                <w:lang w:val="en-US" w:eastAsia="zh-CN"/>
              </w:rPr>
            </w:pPr>
          </w:p>
        </w:tc>
        <w:tc>
          <w:tcPr>
            <w:tcW w:w="2775" w:type="dxa"/>
            <w:tcBorders>
              <w:top w:val="single" w:color="auto" w:sz="4" w:space="0"/>
              <w:bottom w:val="single" w:color="auto" w:sz="4" w:space="0"/>
              <w:tl2br w:val="nil"/>
              <w:tr2bl w:val="nil"/>
            </w:tcBorders>
            <w:tcMar>
              <w:top w:w="57" w:type="dxa"/>
              <w:left w:w="57" w:type="dxa"/>
              <w:bottom w:w="57" w:type="dxa"/>
              <w:right w:w="57" w:type="dxa"/>
            </w:tcMar>
            <w:vAlign w:val="center"/>
          </w:tcPr>
          <w:p>
            <w:pPr>
              <w:widowControl/>
              <w:adjustRightInd w:val="0"/>
              <w:snapToGrid w:val="0"/>
              <w:textAlignment w:val="center"/>
              <w:rPr>
                <w:rFonts w:hint="eastAsia" w:ascii="仿宋_GB2312" w:hAnsi="仿宋_GB2312" w:eastAsia="仿宋_GB2312" w:cs="仿宋_GB2312"/>
                <w:color w:val="000000"/>
                <w:kern w:val="0"/>
                <w:sz w:val="24"/>
                <w:szCs w:val="24"/>
                <w:lang w:val="en-US" w:eastAsia="zh-CN"/>
              </w:rPr>
            </w:pPr>
            <w:r>
              <w:rPr>
                <w:rFonts w:hint="default" w:ascii="仿宋_GB2312" w:hAnsi="仿宋_GB2312" w:eastAsia="仿宋_GB2312" w:cs="仿宋_GB2312"/>
                <w:color w:val="000000"/>
                <w:kern w:val="0"/>
                <w:sz w:val="24"/>
                <w:szCs w:val="24"/>
                <w:lang w:val="en-US" w:eastAsia="zh-CN"/>
              </w:rPr>
              <w:t>价值四万元以上五万元以下</w:t>
            </w:r>
          </w:p>
        </w:tc>
        <w:tc>
          <w:tcPr>
            <w:tcW w:w="4011" w:type="dxa"/>
            <w:tcBorders>
              <w:top w:val="single" w:color="auto" w:sz="4" w:space="0"/>
              <w:bottom w:val="single" w:color="auto" w:sz="4" w:space="0"/>
              <w:tl2br w:val="nil"/>
              <w:tr2bl w:val="nil"/>
            </w:tcBorders>
            <w:tcMar>
              <w:top w:w="57" w:type="dxa"/>
              <w:left w:w="57" w:type="dxa"/>
              <w:bottom w:w="57" w:type="dxa"/>
              <w:right w:w="57" w:type="dxa"/>
            </w:tcMar>
            <w:vAlign w:val="center"/>
          </w:tcPr>
          <w:p>
            <w:pPr>
              <w:widowControl/>
              <w:adjustRightInd w:val="0"/>
              <w:snapToGrid w:val="0"/>
              <w:textAlignment w:val="center"/>
              <w:rPr>
                <w:rFonts w:hint="eastAsia" w:ascii="仿宋_GB2312" w:hAnsi="仿宋_GB2312" w:eastAsia="仿宋_GB2312" w:cs="仿宋_GB2312"/>
                <w:color w:val="000000"/>
                <w:kern w:val="0"/>
                <w:sz w:val="24"/>
                <w:szCs w:val="24"/>
                <w:lang w:val="en-US" w:eastAsia="zh-CN"/>
              </w:rPr>
            </w:pPr>
            <w:r>
              <w:rPr>
                <w:rFonts w:hint="default" w:ascii="仿宋_GB2312" w:hAnsi="仿宋_GB2312" w:eastAsia="仿宋_GB2312" w:cs="仿宋_GB2312"/>
                <w:color w:val="000000"/>
                <w:kern w:val="0"/>
                <w:sz w:val="24"/>
                <w:szCs w:val="24"/>
                <w:lang w:val="en-US" w:eastAsia="zh-CN"/>
              </w:rPr>
              <w:t>没收水生野生动物及其制品、违法所得，并处水生野生动物及其制品价值六倍以上七倍以下罚款；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9" w:hRule="atLeast"/>
          <w:jc w:val="center"/>
        </w:trPr>
        <w:tc>
          <w:tcPr>
            <w:tcW w:w="421" w:type="dxa"/>
            <w:vMerge w:val="continue"/>
            <w:tcBorders>
              <w:tl2br w:val="nil"/>
              <w:tr2bl w:val="nil"/>
            </w:tcBorders>
            <w:tcMar>
              <w:top w:w="57" w:type="dxa"/>
              <w:left w:w="57" w:type="dxa"/>
              <w:bottom w:w="57" w:type="dxa"/>
              <w:right w:w="57" w:type="dxa"/>
            </w:tcMar>
            <w:vAlign w:val="center"/>
          </w:tcPr>
          <w:p>
            <w:pPr>
              <w:widowControl/>
              <w:adjustRightInd w:val="0"/>
              <w:snapToGrid w:val="0"/>
              <w:textAlignment w:val="center"/>
              <w:rPr>
                <w:rFonts w:hint="eastAsia" w:ascii="仿宋_GB2312" w:hAnsi="仿宋_GB2312" w:eastAsia="仿宋_GB2312" w:cs="仿宋_GB2312"/>
                <w:color w:val="000000"/>
                <w:kern w:val="0"/>
                <w:sz w:val="24"/>
                <w:szCs w:val="24"/>
                <w:lang w:val="en-US" w:eastAsia="zh-CN"/>
              </w:rPr>
            </w:pPr>
          </w:p>
        </w:tc>
        <w:tc>
          <w:tcPr>
            <w:tcW w:w="1098" w:type="dxa"/>
            <w:vMerge w:val="continue"/>
            <w:tcBorders>
              <w:tl2br w:val="nil"/>
              <w:tr2bl w:val="nil"/>
            </w:tcBorders>
            <w:tcMar>
              <w:top w:w="57" w:type="dxa"/>
              <w:left w:w="57" w:type="dxa"/>
              <w:bottom w:w="57" w:type="dxa"/>
              <w:right w:w="57" w:type="dxa"/>
            </w:tcMar>
            <w:vAlign w:val="center"/>
          </w:tcPr>
          <w:p>
            <w:pPr>
              <w:widowControl/>
              <w:adjustRightInd w:val="0"/>
              <w:snapToGrid w:val="0"/>
              <w:textAlignment w:val="center"/>
              <w:rPr>
                <w:rFonts w:hint="default" w:ascii="仿宋_GB2312" w:hAnsi="仿宋_GB2312" w:eastAsia="仿宋_GB2312" w:cs="仿宋_GB2312"/>
                <w:color w:val="000000"/>
                <w:kern w:val="0"/>
                <w:sz w:val="24"/>
                <w:szCs w:val="24"/>
                <w:lang w:val="en-US" w:eastAsia="zh-CN"/>
              </w:rPr>
            </w:pPr>
          </w:p>
        </w:tc>
        <w:tc>
          <w:tcPr>
            <w:tcW w:w="3221" w:type="dxa"/>
            <w:vMerge w:val="continue"/>
            <w:tcBorders>
              <w:tl2br w:val="nil"/>
              <w:tr2bl w:val="nil"/>
            </w:tcBorders>
            <w:tcMar>
              <w:top w:w="57" w:type="dxa"/>
              <w:left w:w="57" w:type="dxa"/>
              <w:bottom w:w="57" w:type="dxa"/>
              <w:right w:w="57" w:type="dxa"/>
            </w:tcMar>
            <w:vAlign w:val="center"/>
          </w:tcPr>
          <w:p>
            <w:pPr>
              <w:widowControl/>
              <w:adjustRightInd w:val="0"/>
              <w:snapToGrid w:val="0"/>
              <w:textAlignment w:val="center"/>
              <w:rPr>
                <w:rFonts w:hint="default" w:ascii="仿宋_GB2312" w:hAnsi="仿宋_GB2312" w:eastAsia="仿宋_GB2312" w:cs="仿宋_GB2312"/>
                <w:color w:val="000000"/>
                <w:kern w:val="0"/>
                <w:sz w:val="24"/>
                <w:szCs w:val="24"/>
                <w:lang w:val="en-US" w:eastAsia="zh-CN"/>
              </w:rPr>
            </w:pPr>
          </w:p>
        </w:tc>
        <w:tc>
          <w:tcPr>
            <w:tcW w:w="818" w:type="dxa"/>
            <w:vMerge w:val="restart"/>
            <w:tcBorders>
              <w:top w:val="single" w:color="auto" w:sz="4" w:space="0"/>
              <w:tl2br w:val="nil"/>
              <w:tr2bl w:val="nil"/>
            </w:tcBorders>
            <w:tcMar>
              <w:top w:w="57" w:type="dxa"/>
              <w:left w:w="57" w:type="dxa"/>
              <w:bottom w:w="57" w:type="dxa"/>
              <w:right w:w="57" w:type="dxa"/>
            </w:tcMar>
            <w:vAlign w:val="center"/>
          </w:tcPr>
          <w:p>
            <w:pPr>
              <w:widowControl/>
              <w:adjustRightInd w:val="0"/>
              <w:snapToGrid w:val="0"/>
              <w:textAlignment w:val="center"/>
              <w:rPr>
                <w:rFonts w:hint="eastAsia" w:ascii="仿宋_GB2312" w:hAnsi="仿宋_GB2312" w:eastAsia="仿宋_GB2312" w:cs="仿宋_GB2312"/>
                <w:color w:val="000000"/>
                <w:kern w:val="0"/>
                <w:sz w:val="24"/>
                <w:szCs w:val="24"/>
                <w:lang w:val="en-US" w:eastAsia="zh-CN"/>
              </w:rPr>
            </w:pPr>
            <w:r>
              <w:rPr>
                <w:rFonts w:hint="default" w:ascii="仿宋_GB2312" w:hAnsi="仿宋_GB2312" w:eastAsia="仿宋_GB2312" w:cs="仿宋_GB2312"/>
                <w:color w:val="000000"/>
                <w:kern w:val="0"/>
                <w:sz w:val="24"/>
                <w:szCs w:val="24"/>
                <w:lang w:val="en-US" w:eastAsia="zh-CN"/>
              </w:rPr>
              <w:t>严重</w:t>
            </w:r>
          </w:p>
        </w:tc>
        <w:tc>
          <w:tcPr>
            <w:tcW w:w="1656" w:type="dxa"/>
            <w:vMerge w:val="restart"/>
            <w:tcBorders>
              <w:top w:val="single" w:color="auto" w:sz="4" w:space="0"/>
              <w:tl2br w:val="nil"/>
              <w:tr2bl w:val="nil"/>
            </w:tcBorders>
            <w:tcMar>
              <w:top w:w="57" w:type="dxa"/>
              <w:left w:w="57" w:type="dxa"/>
              <w:bottom w:w="57" w:type="dxa"/>
              <w:right w:w="57" w:type="dxa"/>
            </w:tcMar>
            <w:vAlign w:val="center"/>
          </w:tcPr>
          <w:p>
            <w:pPr>
              <w:widowControl/>
              <w:adjustRightInd w:val="0"/>
              <w:snapToGrid w:val="0"/>
              <w:textAlignment w:val="center"/>
              <w:rPr>
                <w:rFonts w:hint="eastAsia" w:ascii="仿宋_GB2312" w:hAnsi="仿宋_GB2312" w:eastAsia="仿宋_GB2312" w:cs="仿宋_GB2312"/>
                <w:color w:val="000000"/>
                <w:kern w:val="0"/>
                <w:sz w:val="24"/>
                <w:szCs w:val="24"/>
                <w:lang w:val="en-US" w:eastAsia="zh-CN"/>
              </w:rPr>
            </w:pPr>
            <w:r>
              <w:rPr>
                <w:rFonts w:hint="default" w:ascii="仿宋_GB2312" w:hAnsi="仿宋_GB2312" w:eastAsia="仿宋_GB2312" w:cs="仿宋_GB2312"/>
                <w:color w:val="000000"/>
                <w:kern w:val="0"/>
                <w:sz w:val="24"/>
                <w:szCs w:val="24"/>
                <w:lang w:val="en-US" w:eastAsia="zh-CN"/>
              </w:rPr>
              <w:t>价值五万元以上</w:t>
            </w:r>
          </w:p>
        </w:tc>
        <w:tc>
          <w:tcPr>
            <w:tcW w:w="2775" w:type="dxa"/>
            <w:tcBorders>
              <w:top w:val="single" w:color="auto" w:sz="4" w:space="0"/>
              <w:bottom w:val="single" w:color="auto" w:sz="4" w:space="0"/>
              <w:tl2br w:val="nil"/>
              <w:tr2bl w:val="nil"/>
            </w:tcBorders>
            <w:tcMar>
              <w:top w:w="57" w:type="dxa"/>
              <w:left w:w="57" w:type="dxa"/>
              <w:bottom w:w="57" w:type="dxa"/>
              <w:right w:w="57" w:type="dxa"/>
            </w:tcMar>
            <w:vAlign w:val="center"/>
          </w:tcPr>
          <w:p>
            <w:pPr>
              <w:widowControl/>
              <w:adjustRightInd w:val="0"/>
              <w:snapToGrid w:val="0"/>
              <w:textAlignment w:val="center"/>
              <w:rPr>
                <w:rFonts w:hint="eastAsia" w:ascii="仿宋_GB2312" w:hAnsi="仿宋_GB2312" w:eastAsia="仿宋_GB2312" w:cs="仿宋_GB2312"/>
                <w:color w:val="000000"/>
                <w:kern w:val="0"/>
                <w:sz w:val="24"/>
                <w:szCs w:val="24"/>
                <w:lang w:val="en-US" w:eastAsia="zh-CN"/>
              </w:rPr>
            </w:pPr>
            <w:r>
              <w:rPr>
                <w:rFonts w:hint="default" w:ascii="仿宋_GB2312" w:hAnsi="仿宋_GB2312" w:eastAsia="仿宋_GB2312" w:cs="仿宋_GB2312"/>
                <w:color w:val="000000"/>
                <w:kern w:val="0"/>
                <w:sz w:val="24"/>
                <w:szCs w:val="24"/>
                <w:lang w:val="en-US" w:eastAsia="zh-CN"/>
              </w:rPr>
              <w:t>价值五万元以上八万元以下</w:t>
            </w:r>
          </w:p>
        </w:tc>
        <w:tc>
          <w:tcPr>
            <w:tcW w:w="4011" w:type="dxa"/>
            <w:tcBorders>
              <w:top w:val="single" w:color="auto" w:sz="4" w:space="0"/>
              <w:bottom w:val="single" w:color="auto" w:sz="4" w:space="0"/>
              <w:tl2br w:val="nil"/>
              <w:tr2bl w:val="nil"/>
            </w:tcBorders>
            <w:tcMar>
              <w:top w:w="57" w:type="dxa"/>
              <w:left w:w="57" w:type="dxa"/>
              <w:bottom w:w="57" w:type="dxa"/>
              <w:right w:w="57" w:type="dxa"/>
            </w:tcMar>
            <w:vAlign w:val="center"/>
          </w:tcPr>
          <w:p>
            <w:pPr>
              <w:widowControl/>
              <w:adjustRightInd w:val="0"/>
              <w:snapToGrid w:val="0"/>
              <w:textAlignment w:val="center"/>
              <w:rPr>
                <w:rFonts w:hint="eastAsia" w:ascii="仿宋_GB2312" w:hAnsi="仿宋_GB2312" w:eastAsia="仿宋_GB2312" w:cs="仿宋_GB2312"/>
                <w:color w:val="000000"/>
                <w:kern w:val="0"/>
                <w:sz w:val="24"/>
                <w:szCs w:val="24"/>
                <w:lang w:val="en-US" w:eastAsia="zh-CN"/>
              </w:rPr>
            </w:pPr>
            <w:r>
              <w:rPr>
                <w:rFonts w:hint="default" w:ascii="仿宋_GB2312" w:hAnsi="仿宋_GB2312" w:eastAsia="仿宋_GB2312" w:cs="仿宋_GB2312"/>
                <w:color w:val="000000"/>
                <w:kern w:val="0"/>
                <w:sz w:val="24"/>
                <w:szCs w:val="24"/>
                <w:lang w:val="en-US" w:eastAsia="zh-CN"/>
              </w:rPr>
              <w:t>没收水生野生动物及其制品、违法所得，并处水生野生动物及其制品价值七倍以上九倍以下罚款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0" w:hRule="atLeast"/>
          <w:jc w:val="center"/>
        </w:trPr>
        <w:tc>
          <w:tcPr>
            <w:tcW w:w="421" w:type="dxa"/>
            <w:vMerge w:val="continue"/>
            <w:tcBorders>
              <w:tl2br w:val="nil"/>
              <w:tr2bl w:val="nil"/>
            </w:tcBorders>
            <w:tcMar>
              <w:top w:w="57" w:type="dxa"/>
              <w:left w:w="57" w:type="dxa"/>
              <w:bottom w:w="57" w:type="dxa"/>
              <w:right w:w="57" w:type="dxa"/>
            </w:tcMar>
            <w:vAlign w:val="center"/>
          </w:tcPr>
          <w:p>
            <w:pPr>
              <w:widowControl/>
              <w:adjustRightInd w:val="0"/>
              <w:snapToGrid w:val="0"/>
              <w:textAlignment w:val="center"/>
              <w:rPr>
                <w:rFonts w:hint="eastAsia" w:ascii="仿宋_GB2312" w:hAnsi="仿宋_GB2312" w:eastAsia="仿宋_GB2312" w:cs="仿宋_GB2312"/>
                <w:color w:val="000000"/>
                <w:kern w:val="0"/>
                <w:sz w:val="24"/>
                <w:szCs w:val="24"/>
                <w:lang w:val="en-US" w:eastAsia="zh-CN"/>
              </w:rPr>
            </w:pPr>
          </w:p>
        </w:tc>
        <w:tc>
          <w:tcPr>
            <w:tcW w:w="1098" w:type="dxa"/>
            <w:vMerge w:val="continue"/>
            <w:tcBorders>
              <w:tl2br w:val="nil"/>
              <w:tr2bl w:val="nil"/>
            </w:tcBorders>
            <w:tcMar>
              <w:top w:w="57" w:type="dxa"/>
              <w:left w:w="57" w:type="dxa"/>
              <w:bottom w:w="57" w:type="dxa"/>
              <w:right w:w="57" w:type="dxa"/>
            </w:tcMar>
            <w:vAlign w:val="center"/>
          </w:tcPr>
          <w:p>
            <w:pPr>
              <w:widowControl/>
              <w:adjustRightInd w:val="0"/>
              <w:snapToGrid w:val="0"/>
              <w:textAlignment w:val="center"/>
              <w:rPr>
                <w:rFonts w:hint="default" w:ascii="仿宋_GB2312" w:hAnsi="仿宋_GB2312" w:eastAsia="仿宋_GB2312" w:cs="仿宋_GB2312"/>
                <w:color w:val="000000"/>
                <w:kern w:val="0"/>
                <w:sz w:val="24"/>
                <w:szCs w:val="24"/>
                <w:lang w:val="en-US" w:eastAsia="zh-CN"/>
              </w:rPr>
            </w:pPr>
          </w:p>
        </w:tc>
        <w:tc>
          <w:tcPr>
            <w:tcW w:w="3221" w:type="dxa"/>
            <w:vMerge w:val="continue"/>
            <w:tcBorders>
              <w:tl2br w:val="nil"/>
              <w:tr2bl w:val="nil"/>
            </w:tcBorders>
            <w:tcMar>
              <w:top w:w="57" w:type="dxa"/>
              <w:left w:w="57" w:type="dxa"/>
              <w:bottom w:w="57" w:type="dxa"/>
              <w:right w:w="57" w:type="dxa"/>
            </w:tcMar>
            <w:vAlign w:val="center"/>
          </w:tcPr>
          <w:p>
            <w:pPr>
              <w:widowControl/>
              <w:adjustRightInd w:val="0"/>
              <w:snapToGrid w:val="0"/>
              <w:textAlignment w:val="center"/>
              <w:rPr>
                <w:rFonts w:hint="default" w:ascii="仿宋_GB2312" w:hAnsi="仿宋_GB2312" w:eastAsia="仿宋_GB2312" w:cs="仿宋_GB2312"/>
                <w:color w:val="000000"/>
                <w:kern w:val="0"/>
                <w:sz w:val="24"/>
                <w:szCs w:val="24"/>
                <w:lang w:val="en-US" w:eastAsia="zh-CN"/>
              </w:rPr>
            </w:pPr>
          </w:p>
        </w:tc>
        <w:tc>
          <w:tcPr>
            <w:tcW w:w="818" w:type="dxa"/>
            <w:vMerge w:val="continue"/>
            <w:tcBorders>
              <w:tl2br w:val="nil"/>
              <w:tr2bl w:val="nil"/>
            </w:tcBorders>
            <w:tcMar>
              <w:top w:w="57" w:type="dxa"/>
              <w:left w:w="57" w:type="dxa"/>
              <w:bottom w:w="57" w:type="dxa"/>
              <w:right w:w="57" w:type="dxa"/>
            </w:tcMar>
            <w:vAlign w:val="center"/>
          </w:tcPr>
          <w:p>
            <w:pPr>
              <w:widowControl/>
              <w:adjustRightInd w:val="0"/>
              <w:snapToGrid w:val="0"/>
              <w:textAlignment w:val="center"/>
              <w:rPr>
                <w:rFonts w:hint="default" w:ascii="仿宋_GB2312" w:hAnsi="仿宋_GB2312" w:eastAsia="仿宋_GB2312" w:cs="仿宋_GB2312"/>
                <w:color w:val="000000"/>
                <w:kern w:val="0"/>
                <w:sz w:val="24"/>
                <w:szCs w:val="24"/>
                <w:lang w:val="en-US" w:eastAsia="zh-CN"/>
              </w:rPr>
            </w:pPr>
          </w:p>
        </w:tc>
        <w:tc>
          <w:tcPr>
            <w:tcW w:w="1656" w:type="dxa"/>
            <w:vMerge w:val="continue"/>
            <w:tcBorders>
              <w:tl2br w:val="nil"/>
              <w:tr2bl w:val="nil"/>
            </w:tcBorders>
            <w:tcMar>
              <w:top w:w="57" w:type="dxa"/>
              <w:left w:w="57" w:type="dxa"/>
              <w:bottom w:w="57" w:type="dxa"/>
              <w:right w:w="57" w:type="dxa"/>
            </w:tcMar>
            <w:vAlign w:val="center"/>
          </w:tcPr>
          <w:p>
            <w:pPr>
              <w:widowControl/>
              <w:adjustRightInd w:val="0"/>
              <w:snapToGrid w:val="0"/>
              <w:textAlignment w:val="center"/>
              <w:rPr>
                <w:rFonts w:hint="default" w:ascii="仿宋_GB2312" w:hAnsi="仿宋_GB2312" w:eastAsia="仿宋_GB2312" w:cs="仿宋_GB2312"/>
                <w:color w:val="000000"/>
                <w:kern w:val="0"/>
                <w:sz w:val="24"/>
                <w:szCs w:val="24"/>
                <w:lang w:val="en-US" w:eastAsia="zh-CN"/>
              </w:rPr>
            </w:pPr>
          </w:p>
        </w:tc>
        <w:tc>
          <w:tcPr>
            <w:tcW w:w="2775" w:type="dxa"/>
            <w:tcBorders>
              <w:top w:val="single" w:color="auto" w:sz="4" w:space="0"/>
              <w:tl2br w:val="nil"/>
              <w:tr2bl w:val="nil"/>
            </w:tcBorders>
            <w:tcMar>
              <w:top w:w="57" w:type="dxa"/>
              <w:left w:w="57" w:type="dxa"/>
              <w:bottom w:w="57" w:type="dxa"/>
              <w:right w:w="57" w:type="dxa"/>
            </w:tcMar>
            <w:vAlign w:val="center"/>
          </w:tcPr>
          <w:p>
            <w:pPr>
              <w:widowControl/>
              <w:adjustRightInd w:val="0"/>
              <w:snapToGrid w:val="0"/>
              <w:textAlignment w:val="center"/>
              <w:rPr>
                <w:rFonts w:hint="eastAsia" w:ascii="仿宋_GB2312" w:hAnsi="仿宋_GB2312" w:eastAsia="仿宋_GB2312" w:cs="仿宋_GB2312"/>
                <w:color w:val="000000"/>
                <w:kern w:val="0"/>
                <w:sz w:val="24"/>
                <w:szCs w:val="24"/>
                <w:lang w:val="en-US" w:eastAsia="zh-CN"/>
              </w:rPr>
            </w:pPr>
            <w:r>
              <w:rPr>
                <w:rFonts w:hint="default" w:ascii="仿宋_GB2312" w:hAnsi="仿宋_GB2312" w:eastAsia="仿宋_GB2312" w:cs="仿宋_GB2312"/>
                <w:color w:val="000000"/>
                <w:kern w:val="0"/>
                <w:sz w:val="24"/>
                <w:szCs w:val="24"/>
                <w:lang w:val="en-US" w:eastAsia="zh-CN"/>
              </w:rPr>
              <w:t>价值八万元以上</w:t>
            </w:r>
          </w:p>
        </w:tc>
        <w:tc>
          <w:tcPr>
            <w:tcW w:w="4011" w:type="dxa"/>
            <w:tcBorders>
              <w:top w:val="single" w:color="auto" w:sz="4" w:space="0"/>
              <w:tl2br w:val="nil"/>
              <w:tr2bl w:val="nil"/>
            </w:tcBorders>
            <w:tcMar>
              <w:top w:w="57" w:type="dxa"/>
              <w:left w:w="57" w:type="dxa"/>
              <w:bottom w:w="57" w:type="dxa"/>
              <w:right w:w="57" w:type="dxa"/>
            </w:tcMar>
            <w:vAlign w:val="center"/>
          </w:tcPr>
          <w:p>
            <w:pPr>
              <w:widowControl/>
              <w:adjustRightInd w:val="0"/>
              <w:snapToGrid w:val="0"/>
              <w:textAlignment w:val="center"/>
              <w:rPr>
                <w:rFonts w:hint="eastAsia" w:ascii="仿宋_GB2312" w:hAnsi="仿宋_GB2312" w:eastAsia="仿宋_GB2312" w:cs="仿宋_GB2312"/>
                <w:color w:val="000000"/>
                <w:kern w:val="0"/>
                <w:sz w:val="24"/>
                <w:szCs w:val="24"/>
                <w:lang w:val="en-US" w:eastAsia="zh-CN"/>
              </w:rPr>
            </w:pPr>
            <w:r>
              <w:rPr>
                <w:rFonts w:hint="default" w:ascii="仿宋_GB2312" w:hAnsi="仿宋_GB2312" w:eastAsia="仿宋_GB2312" w:cs="仿宋_GB2312"/>
                <w:color w:val="000000"/>
                <w:kern w:val="0"/>
                <w:sz w:val="24"/>
                <w:szCs w:val="24"/>
                <w:lang w:val="en-US" w:eastAsia="zh-CN"/>
              </w:rPr>
              <w:t>没收水生野生动物及其制品、违法所得，并处水生野生动物及其制品价值九倍以上不超过十倍罚款</w:t>
            </w:r>
          </w:p>
        </w:tc>
      </w:tr>
    </w:tbl>
    <w:p>
      <w:pPr>
        <w:pStyle w:val="2"/>
      </w:pPr>
    </w:p>
    <w:p>
      <w:pPr>
        <w:pStyle w:val="2"/>
      </w:pPr>
    </w:p>
    <w:p>
      <w:pPr>
        <w:pStyle w:val="2"/>
      </w:pPr>
    </w:p>
    <w:p>
      <w:pPr>
        <w:pStyle w:val="2"/>
      </w:pPr>
    </w:p>
    <w:tbl>
      <w:tblPr>
        <w:tblStyle w:val="7"/>
        <w:tblW w:w="140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21"/>
        <w:gridCol w:w="1098"/>
        <w:gridCol w:w="3221"/>
        <w:gridCol w:w="818"/>
        <w:gridCol w:w="1656"/>
        <w:gridCol w:w="2775"/>
        <w:gridCol w:w="401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tblHeader/>
          <w:jc w:val="center"/>
        </w:trPr>
        <w:tc>
          <w:tcPr>
            <w:tcW w:w="421"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黑体" w:hAnsi="黑体" w:eastAsia="黑体" w:cs="黑体"/>
                <w:color w:val="000000"/>
                <w:sz w:val="24"/>
                <w:szCs w:val="24"/>
              </w:rPr>
            </w:pPr>
            <w:r>
              <w:rPr>
                <w:rFonts w:hint="eastAsia" w:ascii="黑体" w:hAnsi="黑体" w:eastAsia="黑体" w:cs="黑体"/>
                <w:color w:val="000000"/>
                <w:kern w:val="0"/>
                <w:sz w:val="24"/>
                <w:szCs w:val="24"/>
              </w:rPr>
              <w:t>序号</w:t>
            </w:r>
          </w:p>
        </w:tc>
        <w:tc>
          <w:tcPr>
            <w:tcW w:w="1098"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黑体" w:hAnsi="黑体" w:eastAsia="黑体" w:cs="黑体"/>
                <w:color w:val="000000"/>
                <w:sz w:val="24"/>
                <w:szCs w:val="24"/>
              </w:rPr>
            </w:pPr>
            <w:r>
              <w:rPr>
                <w:rFonts w:hint="eastAsia" w:ascii="黑体" w:hAnsi="黑体" w:eastAsia="黑体" w:cs="黑体"/>
                <w:color w:val="000000"/>
                <w:kern w:val="0"/>
                <w:sz w:val="24"/>
                <w:szCs w:val="24"/>
              </w:rPr>
              <w:t>违法行为</w:t>
            </w:r>
          </w:p>
        </w:tc>
        <w:tc>
          <w:tcPr>
            <w:tcW w:w="3221"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黑体" w:hAnsi="黑体" w:eastAsia="黑体" w:cs="黑体"/>
                <w:color w:val="000000"/>
                <w:sz w:val="24"/>
                <w:szCs w:val="24"/>
              </w:rPr>
            </w:pPr>
            <w:r>
              <w:rPr>
                <w:rFonts w:hint="eastAsia" w:ascii="黑体" w:hAnsi="黑体" w:eastAsia="黑体" w:cs="黑体"/>
                <w:color w:val="000000"/>
                <w:kern w:val="0"/>
                <w:sz w:val="24"/>
                <w:szCs w:val="24"/>
              </w:rPr>
              <w:t>处罚依据</w:t>
            </w:r>
          </w:p>
        </w:tc>
        <w:tc>
          <w:tcPr>
            <w:tcW w:w="818"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黑体" w:hAnsi="黑体" w:eastAsia="黑体" w:cs="黑体"/>
                <w:color w:val="000000"/>
                <w:sz w:val="24"/>
                <w:szCs w:val="24"/>
              </w:rPr>
            </w:pPr>
            <w:r>
              <w:rPr>
                <w:rFonts w:hint="eastAsia" w:ascii="黑体" w:hAnsi="黑体" w:eastAsia="黑体" w:cs="黑体"/>
                <w:color w:val="000000"/>
                <w:kern w:val="0"/>
                <w:sz w:val="24"/>
                <w:szCs w:val="24"/>
              </w:rPr>
              <w:t>违法程度</w:t>
            </w:r>
          </w:p>
        </w:tc>
        <w:tc>
          <w:tcPr>
            <w:tcW w:w="1656"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黑体" w:hAnsi="黑体" w:eastAsia="黑体" w:cs="黑体"/>
                <w:color w:val="000000"/>
                <w:sz w:val="24"/>
                <w:szCs w:val="24"/>
              </w:rPr>
            </w:pPr>
            <w:r>
              <w:rPr>
                <w:rFonts w:hint="eastAsia" w:ascii="黑体" w:hAnsi="黑体" w:eastAsia="黑体" w:cs="黑体"/>
                <w:color w:val="000000"/>
                <w:kern w:val="0"/>
                <w:sz w:val="24"/>
                <w:szCs w:val="24"/>
              </w:rPr>
              <w:t>违法情节</w:t>
            </w:r>
          </w:p>
        </w:tc>
        <w:tc>
          <w:tcPr>
            <w:tcW w:w="6786" w:type="dxa"/>
            <w:gridSpan w:val="2"/>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黑体" w:hAnsi="黑体" w:eastAsia="黑体" w:cs="黑体"/>
                <w:color w:val="000000"/>
                <w:sz w:val="24"/>
                <w:szCs w:val="24"/>
              </w:rPr>
            </w:pPr>
            <w:r>
              <w:rPr>
                <w:rFonts w:hint="eastAsia" w:ascii="黑体" w:hAnsi="黑体" w:eastAsia="黑体" w:cs="黑体"/>
                <w:color w:val="000000"/>
                <w:kern w:val="0"/>
                <w:sz w:val="24"/>
                <w:szCs w:val="24"/>
              </w:rPr>
              <w:t>裁量标准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5" w:hRule="atLeast"/>
          <w:jc w:val="center"/>
        </w:trPr>
        <w:tc>
          <w:tcPr>
            <w:tcW w:w="421" w:type="dxa"/>
            <w:vMerge w:val="restart"/>
            <w:tcBorders>
              <w:tl2br w:val="nil"/>
              <w:tr2bl w:val="nil"/>
            </w:tcBorders>
            <w:tcMar>
              <w:top w:w="57" w:type="dxa"/>
              <w:left w:w="57" w:type="dxa"/>
              <w:bottom w:w="57" w:type="dxa"/>
              <w:right w:w="57" w:type="dxa"/>
            </w:tcMar>
            <w:vAlign w:val="center"/>
          </w:tcPr>
          <w:p>
            <w:pPr>
              <w:widowControl/>
              <w:adjustRightInd w:val="0"/>
              <w:snapToGrid w:val="0"/>
              <w:textAlignment w:val="center"/>
              <w:rPr>
                <w:rFonts w:hint="default"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16</w:t>
            </w:r>
          </w:p>
        </w:tc>
        <w:tc>
          <w:tcPr>
            <w:tcW w:w="1098" w:type="dxa"/>
            <w:vMerge w:val="restart"/>
            <w:tcBorders>
              <w:tl2br w:val="nil"/>
              <w:tr2bl w:val="nil"/>
            </w:tcBorders>
            <w:tcMar>
              <w:top w:w="57" w:type="dxa"/>
              <w:left w:w="57" w:type="dxa"/>
              <w:bottom w:w="57" w:type="dxa"/>
              <w:right w:w="57" w:type="dxa"/>
            </w:tcMar>
            <w:vAlign w:val="center"/>
          </w:tcPr>
          <w:p>
            <w:pPr>
              <w:widowControl/>
              <w:adjustRightInd w:val="0"/>
              <w:snapToGrid w:val="0"/>
              <w:textAlignment w:val="center"/>
              <w:rPr>
                <w:rFonts w:hint="default" w:ascii="仿宋_GB2312" w:hAnsi="仿宋_GB2312" w:eastAsia="仿宋_GB2312" w:cs="仿宋_GB2312"/>
                <w:color w:val="000000"/>
                <w:kern w:val="0"/>
                <w:sz w:val="24"/>
                <w:szCs w:val="24"/>
                <w:lang w:val="en-US" w:eastAsia="zh-CN"/>
              </w:rPr>
            </w:pPr>
            <w:r>
              <w:rPr>
                <w:rFonts w:hint="default" w:ascii="仿宋_GB2312" w:hAnsi="仿宋_GB2312" w:eastAsia="仿宋_GB2312" w:cs="仿宋_GB2312"/>
                <w:color w:val="000000"/>
                <w:kern w:val="0"/>
                <w:sz w:val="24"/>
                <w:szCs w:val="24"/>
                <w:lang w:val="en-US" w:eastAsia="zh-CN"/>
              </w:rPr>
              <w:t>未取得特许猎捕证猎捕、杀害国家重点保护水生野生动物</w:t>
            </w:r>
          </w:p>
        </w:tc>
        <w:tc>
          <w:tcPr>
            <w:tcW w:w="3221" w:type="dxa"/>
            <w:vMerge w:val="restart"/>
            <w:tcBorders>
              <w:tl2br w:val="nil"/>
              <w:tr2bl w:val="nil"/>
            </w:tcBorders>
            <w:tcMar>
              <w:top w:w="57" w:type="dxa"/>
              <w:left w:w="57" w:type="dxa"/>
              <w:bottom w:w="57" w:type="dxa"/>
              <w:right w:w="57" w:type="dxa"/>
            </w:tcMar>
            <w:vAlign w:val="center"/>
          </w:tcPr>
          <w:p>
            <w:pPr>
              <w:widowControl/>
              <w:adjustRightInd w:val="0"/>
              <w:snapToGrid w:val="0"/>
              <w:textAlignment w:val="center"/>
              <w:rPr>
                <w:rFonts w:hint="eastAsia" w:ascii="仿宋_GB2312" w:hAnsi="仿宋_GB2312" w:eastAsia="仿宋_GB2312" w:cs="仿宋_GB2312"/>
                <w:color w:val="000000"/>
                <w:kern w:val="0"/>
                <w:sz w:val="24"/>
                <w:szCs w:val="24"/>
                <w:lang w:val="en-US" w:eastAsia="zh-CN"/>
              </w:rPr>
            </w:pPr>
            <w:r>
              <w:rPr>
                <w:rFonts w:hint="default" w:ascii="仿宋_GB2312" w:hAnsi="仿宋_GB2312" w:eastAsia="仿宋_GB2312" w:cs="仿宋_GB2312"/>
                <w:color w:val="000000"/>
                <w:kern w:val="0"/>
                <w:sz w:val="24"/>
                <w:szCs w:val="24"/>
                <w:lang w:val="en-US" w:eastAsia="zh-CN"/>
              </w:rPr>
              <w:t>《中华人民共和国野生动物保护法》第四十五条，违反本法第二十条、第二十一条、第二十三条第一款、第二十四条第一款规定，在相关自然保护区域、禁猎（渔）区、禁猎（渔）期猎捕国家重点保护野生动物，未取得特许猎捕证、未按照特许猎捕证规定猎捕、杀害国家重点保护野生动物，或者使用禁用的工具、方法猎捕国家重点保护野生动物的，由县级以上人民政府野生动物保护主管部门、海洋执法部门或者有关保护区域管理机构按照职责分工没收猎获物、猎捕工具和违法所得，吊销特许猎捕证，并处猎获物价值二倍以上十倍以下的罚款；没有猎获物的，并处一万元以上五万元以下的罚款；构成犯罪的，依法追究刑事责任。</w:t>
            </w:r>
          </w:p>
        </w:tc>
        <w:tc>
          <w:tcPr>
            <w:tcW w:w="818" w:type="dxa"/>
            <w:vMerge w:val="restart"/>
            <w:tcBorders>
              <w:tl2br w:val="nil"/>
              <w:tr2bl w:val="nil"/>
            </w:tcBorders>
            <w:tcMar>
              <w:top w:w="57" w:type="dxa"/>
              <w:left w:w="57" w:type="dxa"/>
              <w:bottom w:w="57" w:type="dxa"/>
              <w:right w:w="57" w:type="dxa"/>
            </w:tcMar>
            <w:vAlign w:val="center"/>
          </w:tcPr>
          <w:p>
            <w:pPr>
              <w:widowControl/>
              <w:adjustRightInd w:val="0"/>
              <w:snapToGrid w:val="0"/>
              <w:textAlignment w:val="center"/>
              <w:rPr>
                <w:rFonts w:hint="eastAsia" w:ascii="仿宋_GB2312" w:hAnsi="仿宋_GB2312" w:eastAsia="仿宋_GB2312" w:cs="仿宋_GB2312"/>
                <w:color w:val="000000"/>
                <w:kern w:val="0"/>
                <w:sz w:val="24"/>
                <w:szCs w:val="24"/>
                <w:lang w:val="en-US" w:eastAsia="zh-CN"/>
              </w:rPr>
            </w:pPr>
            <w:r>
              <w:rPr>
                <w:rFonts w:hint="default" w:ascii="仿宋_GB2312" w:hAnsi="仿宋_GB2312" w:eastAsia="仿宋_GB2312" w:cs="仿宋_GB2312"/>
                <w:color w:val="000000"/>
                <w:kern w:val="0"/>
                <w:sz w:val="24"/>
                <w:szCs w:val="24"/>
                <w:lang w:val="en-US" w:eastAsia="zh-CN"/>
              </w:rPr>
              <w:t>较轻</w:t>
            </w:r>
          </w:p>
        </w:tc>
        <w:tc>
          <w:tcPr>
            <w:tcW w:w="1656" w:type="dxa"/>
            <w:vMerge w:val="restart"/>
            <w:tcBorders>
              <w:tl2br w:val="nil"/>
              <w:tr2bl w:val="nil"/>
            </w:tcBorders>
            <w:tcMar>
              <w:top w:w="57" w:type="dxa"/>
              <w:left w:w="57" w:type="dxa"/>
              <w:bottom w:w="57" w:type="dxa"/>
              <w:right w:w="57" w:type="dxa"/>
            </w:tcMar>
            <w:vAlign w:val="center"/>
          </w:tcPr>
          <w:p>
            <w:pPr>
              <w:widowControl/>
              <w:adjustRightInd w:val="0"/>
              <w:snapToGrid w:val="0"/>
              <w:textAlignment w:val="center"/>
              <w:rPr>
                <w:rFonts w:hint="eastAsia" w:ascii="仿宋_GB2312" w:hAnsi="仿宋_GB2312" w:eastAsia="仿宋_GB2312" w:cs="仿宋_GB2312"/>
                <w:color w:val="000000"/>
                <w:kern w:val="0"/>
                <w:sz w:val="24"/>
                <w:szCs w:val="24"/>
                <w:lang w:val="en-US" w:eastAsia="zh-CN"/>
              </w:rPr>
            </w:pPr>
            <w:r>
              <w:rPr>
                <w:rFonts w:hint="default" w:ascii="仿宋_GB2312" w:hAnsi="仿宋_GB2312" w:eastAsia="仿宋_GB2312" w:cs="仿宋_GB2312"/>
                <w:color w:val="000000"/>
                <w:kern w:val="0"/>
                <w:sz w:val="24"/>
                <w:szCs w:val="24"/>
                <w:lang w:val="en-US" w:eastAsia="zh-CN"/>
              </w:rPr>
              <w:t>没有猎获物</w:t>
            </w:r>
          </w:p>
        </w:tc>
        <w:tc>
          <w:tcPr>
            <w:tcW w:w="2775" w:type="dxa"/>
            <w:tcBorders>
              <w:bottom w:val="single" w:color="auto" w:sz="4" w:space="0"/>
              <w:tl2br w:val="nil"/>
              <w:tr2bl w:val="nil"/>
            </w:tcBorders>
            <w:tcMar>
              <w:top w:w="57" w:type="dxa"/>
              <w:left w:w="57" w:type="dxa"/>
              <w:bottom w:w="57" w:type="dxa"/>
              <w:right w:w="57" w:type="dxa"/>
            </w:tcMar>
            <w:vAlign w:val="center"/>
          </w:tcPr>
          <w:p>
            <w:pPr>
              <w:widowControl/>
              <w:adjustRightInd w:val="0"/>
              <w:snapToGrid w:val="0"/>
              <w:textAlignment w:val="center"/>
              <w:rPr>
                <w:rFonts w:hint="eastAsia" w:ascii="仿宋_GB2312" w:hAnsi="仿宋_GB2312" w:eastAsia="仿宋_GB2312" w:cs="仿宋_GB2312"/>
                <w:color w:val="000000"/>
                <w:kern w:val="0"/>
                <w:sz w:val="24"/>
                <w:szCs w:val="24"/>
                <w:lang w:val="en-US" w:eastAsia="zh-CN"/>
              </w:rPr>
            </w:pPr>
            <w:r>
              <w:rPr>
                <w:rFonts w:hint="default" w:ascii="仿宋_GB2312" w:hAnsi="仿宋_GB2312" w:eastAsia="仿宋_GB2312" w:cs="仿宋_GB2312"/>
                <w:color w:val="000000"/>
                <w:kern w:val="0"/>
                <w:sz w:val="24"/>
                <w:szCs w:val="24"/>
                <w:lang w:val="en-US" w:eastAsia="zh-CN"/>
              </w:rPr>
              <w:t>未使用禁用的工具，方法，也未在相关自然保护区域、禁渔区、禁渔期进行猎捕</w:t>
            </w:r>
          </w:p>
        </w:tc>
        <w:tc>
          <w:tcPr>
            <w:tcW w:w="4011" w:type="dxa"/>
            <w:tcBorders>
              <w:bottom w:val="single" w:color="auto" w:sz="4" w:space="0"/>
              <w:tl2br w:val="nil"/>
              <w:tr2bl w:val="nil"/>
            </w:tcBorders>
            <w:tcMar>
              <w:top w:w="57" w:type="dxa"/>
              <w:left w:w="57" w:type="dxa"/>
              <w:bottom w:w="57" w:type="dxa"/>
              <w:right w:w="57" w:type="dxa"/>
            </w:tcMar>
            <w:vAlign w:val="center"/>
          </w:tcPr>
          <w:p>
            <w:pPr>
              <w:widowControl/>
              <w:adjustRightInd w:val="0"/>
              <w:snapToGrid w:val="0"/>
              <w:textAlignment w:val="center"/>
              <w:rPr>
                <w:rFonts w:hint="eastAsia" w:ascii="仿宋_GB2312" w:hAnsi="仿宋_GB2312" w:eastAsia="仿宋_GB2312" w:cs="仿宋_GB2312"/>
                <w:color w:val="000000"/>
                <w:kern w:val="0"/>
                <w:sz w:val="24"/>
                <w:szCs w:val="24"/>
                <w:lang w:val="en-US" w:eastAsia="zh-CN"/>
              </w:rPr>
            </w:pPr>
            <w:r>
              <w:rPr>
                <w:rFonts w:hint="default" w:ascii="仿宋_GB2312" w:hAnsi="仿宋_GB2312" w:eastAsia="仿宋_GB2312" w:cs="仿宋_GB2312"/>
                <w:color w:val="000000"/>
                <w:kern w:val="0"/>
                <w:sz w:val="24"/>
                <w:szCs w:val="24"/>
                <w:lang w:val="en-US" w:eastAsia="zh-CN"/>
              </w:rPr>
              <w:t>没收猎捕工具，并处一万元以上三万元以下罚款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 w:hRule="atLeast"/>
          <w:jc w:val="center"/>
        </w:trPr>
        <w:tc>
          <w:tcPr>
            <w:tcW w:w="421" w:type="dxa"/>
            <w:vMerge w:val="continue"/>
            <w:tcBorders>
              <w:tl2br w:val="nil"/>
              <w:tr2bl w:val="nil"/>
            </w:tcBorders>
            <w:tcMar>
              <w:top w:w="57" w:type="dxa"/>
              <w:left w:w="57" w:type="dxa"/>
              <w:bottom w:w="57" w:type="dxa"/>
              <w:right w:w="57" w:type="dxa"/>
            </w:tcMar>
            <w:vAlign w:val="center"/>
          </w:tcPr>
          <w:p>
            <w:pPr>
              <w:widowControl/>
              <w:adjustRightInd w:val="0"/>
              <w:snapToGrid w:val="0"/>
              <w:textAlignment w:val="center"/>
              <w:rPr>
                <w:rFonts w:hint="eastAsia" w:ascii="仿宋_GB2312" w:hAnsi="仿宋_GB2312" w:eastAsia="仿宋_GB2312" w:cs="仿宋_GB2312"/>
                <w:color w:val="000000"/>
                <w:kern w:val="0"/>
                <w:sz w:val="24"/>
                <w:szCs w:val="24"/>
                <w:lang w:val="en-US" w:eastAsia="zh-CN"/>
              </w:rPr>
            </w:pPr>
          </w:p>
        </w:tc>
        <w:tc>
          <w:tcPr>
            <w:tcW w:w="1098" w:type="dxa"/>
            <w:vMerge w:val="continue"/>
            <w:tcBorders>
              <w:tl2br w:val="nil"/>
              <w:tr2bl w:val="nil"/>
            </w:tcBorders>
            <w:tcMar>
              <w:top w:w="57" w:type="dxa"/>
              <w:left w:w="57" w:type="dxa"/>
              <w:bottom w:w="57" w:type="dxa"/>
              <w:right w:w="57" w:type="dxa"/>
            </w:tcMar>
            <w:vAlign w:val="center"/>
          </w:tcPr>
          <w:p>
            <w:pPr>
              <w:widowControl/>
              <w:adjustRightInd w:val="0"/>
              <w:snapToGrid w:val="0"/>
              <w:textAlignment w:val="center"/>
              <w:rPr>
                <w:rFonts w:hint="default" w:ascii="仿宋_GB2312" w:hAnsi="仿宋_GB2312" w:eastAsia="仿宋_GB2312" w:cs="仿宋_GB2312"/>
                <w:color w:val="000000"/>
                <w:kern w:val="0"/>
                <w:sz w:val="24"/>
                <w:szCs w:val="24"/>
                <w:lang w:val="en-US" w:eastAsia="zh-CN"/>
              </w:rPr>
            </w:pPr>
          </w:p>
        </w:tc>
        <w:tc>
          <w:tcPr>
            <w:tcW w:w="3221" w:type="dxa"/>
            <w:vMerge w:val="continue"/>
            <w:tcBorders>
              <w:tl2br w:val="nil"/>
              <w:tr2bl w:val="nil"/>
            </w:tcBorders>
            <w:tcMar>
              <w:top w:w="57" w:type="dxa"/>
              <w:left w:w="57" w:type="dxa"/>
              <w:bottom w:w="57" w:type="dxa"/>
              <w:right w:w="57" w:type="dxa"/>
            </w:tcMar>
            <w:vAlign w:val="center"/>
          </w:tcPr>
          <w:p>
            <w:pPr>
              <w:widowControl/>
              <w:adjustRightInd w:val="0"/>
              <w:snapToGrid w:val="0"/>
              <w:textAlignment w:val="center"/>
              <w:rPr>
                <w:rFonts w:hint="default" w:ascii="仿宋_GB2312" w:hAnsi="仿宋_GB2312" w:eastAsia="仿宋_GB2312" w:cs="仿宋_GB2312"/>
                <w:color w:val="000000"/>
                <w:kern w:val="0"/>
                <w:sz w:val="24"/>
                <w:szCs w:val="24"/>
                <w:lang w:val="en-US" w:eastAsia="zh-CN"/>
              </w:rPr>
            </w:pPr>
          </w:p>
        </w:tc>
        <w:tc>
          <w:tcPr>
            <w:tcW w:w="818" w:type="dxa"/>
            <w:vMerge w:val="continue"/>
            <w:tcBorders>
              <w:bottom w:val="single" w:color="auto" w:sz="4" w:space="0"/>
              <w:tl2br w:val="nil"/>
              <w:tr2bl w:val="nil"/>
            </w:tcBorders>
            <w:tcMar>
              <w:top w:w="57" w:type="dxa"/>
              <w:left w:w="57" w:type="dxa"/>
              <w:bottom w:w="57" w:type="dxa"/>
              <w:right w:w="57" w:type="dxa"/>
            </w:tcMar>
            <w:vAlign w:val="center"/>
          </w:tcPr>
          <w:p>
            <w:pPr>
              <w:widowControl/>
              <w:adjustRightInd w:val="0"/>
              <w:snapToGrid w:val="0"/>
              <w:textAlignment w:val="center"/>
              <w:rPr>
                <w:rFonts w:hint="default" w:ascii="仿宋_GB2312" w:hAnsi="仿宋_GB2312" w:eastAsia="仿宋_GB2312" w:cs="仿宋_GB2312"/>
                <w:color w:val="000000"/>
                <w:kern w:val="0"/>
                <w:sz w:val="24"/>
                <w:szCs w:val="24"/>
                <w:lang w:val="en-US" w:eastAsia="zh-CN"/>
              </w:rPr>
            </w:pPr>
          </w:p>
        </w:tc>
        <w:tc>
          <w:tcPr>
            <w:tcW w:w="1656" w:type="dxa"/>
            <w:vMerge w:val="continue"/>
            <w:tcBorders>
              <w:bottom w:val="single" w:color="auto" w:sz="4" w:space="0"/>
              <w:tl2br w:val="nil"/>
              <w:tr2bl w:val="nil"/>
            </w:tcBorders>
            <w:tcMar>
              <w:top w:w="57" w:type="dxa"/>
              <w:left w:w="57" w:type="dxa"/>
              <w:bottom w:w="57" w:type="dxa"/>
              <w:right w:w="57" w:type="dxa"/>
            </w:tcMar>
            <w:vAlign w:val="center"/>
          </w:tcPr>
          <w:p>
            <w:pPr>
              <w:widowControl/>
              <w:adjustRightInd w:val="0"/>
              <w:snapToGrid w:val="0"/>
              <w:textAlignment w:val="center"/>
              <w:rPr>
                <w:rFonts w:hint="default" w:ascii="仿宋_GB2312" w:hAnsi="仿宋_GB2312" w:eastAsia="仿宋_GB2312" w:cs="仿宋_GB2312"/>
                <w:color w:val="000000"/>
                <w:kern w:val="0"/>
                <w:sz w:val="24"/>
                <w:szCs w:val="24"/>
                <w:lang w:val="en-US" w:eastAsia="zh-CN"/>
              </w:rPr>
            </w:pPr>
          </w:p>
        </w:tc>
        <w:tc>
          <w:tcPr>
            <w:tcW w:w="2775" w:type="dxa"/>
            <w:tcBorders>
              <w:top w:val="single" w:color="auto" w:sz="4" w:space="0"/>
              <w:bottom w:val="single" w:color="auto" w:sz="4" w:space="0"/>
              <w:tl2br w:val="nil"/>
              <w:tr2bl w:val="nil"/>
            </w:tcBorders>
            <w:tcMar>
              <w:top w:w="57" w:type="dxa"/>
              <w:left w:w="57" w:type="dxa"/>
              <w:bottom w:w="57" w:type="dxa"/>
              <w:right w:w="57" w:type="dxa"/>
            </w:tcMar>
            <w:vAlign w:val="center"/>
          </w:tcPr>
          <w:p>
            <w:pPr>
              <w:widowControl/>
              <w:adjustRightInd w:val="0"/>
              <w:snapToGrid w:val="0"/>
              <w:textAlignment w:val="center"/>
              <w:rPr>
                <w:rFonts w:hint="eastAsia" w:ascii="仿宋_GB2312" w:hAnsi="仿宋_GB2312" w:eastAsia="仿宋_GB2312" w:cs="仿宋_GB2312"/>
                <w:color w:val="000000"/>
                <w:kern w:val="0"/>
                <w:sz w:val="24"/>
                <w:szCs w:val="24"/>
                <w:lang w:val="en-US" w:eastAsia="zh-CN"/>
              </w:rPr>
            </w:pPr>
            <w:r>
              <w:rPr>
                <w:rFonts w:hint="default" w:ascii="仿宋_GB2312" w:hAnsi="仿宋_GB2312" w:eastAsia="仿宋_GB2312" w:cs="仿宋_GB2312"/>
                <w:color w:val="000000"/>
                <w:kern w:val="0"/>
                <w:sz w:val="24"/>
                <w:szCs w:val="24"/>
                <w:lang w:val="en-US" w:eastAsia="zh-CN"/>
              </w:rPr>
              <w:t>使用禁用的工具、方法，或在相关自然保护区、禁渔区、禁渔期进行猎捕</w:t>
            </w:r>
          </w:p>
        </w:tc>
        <w:tc>
          <w:tcPr>
            <w:tcW w:w="4011" w:type="dxa"/>
            <w:tcBorders>
              <w:top w:val="single" w:color="auto" w:sz="4" w:space="0"/>
              <w:bottom w:val="single" w:color="auto" w:sz="4" w:space="0"/>
              <w:tl2br w:val="nil"/>
              <w:tr2bl w:val="nil"/>
            </w:tcBorders>
            <w:tcMar>
              <w:top w:w="57" w:type="dxa"/>
              <w:left w:w="57" w:type="dxa"/>
              <w:bottom w:w="57" w:type="dxa"/>
              <w:right w:w="57" w:type="dxa"/>
            </w:tcMar>
            <w:vAlign w:val="center"/>
          </w:tcPr>
          <w:p>
            <w:pPr>
              <w:widowControl/>
              <w:adjustRightInd w:val="0"/>
              <w:snapToGrid w:val="0"/>
              <w:textAlignment w:val="center"/>
              <w:rPr>
                <w:rFonts w:hint="eastAsia" w:ascii="仿宋_GB2312" w:hAnsi="仿宋_GB2312" w:eastAsia="仿宋_GB2312" w:cs="仿宋_GB2312"/>
                <w:color w:val="000000"/>
                <w:kern w:val="0"/>
                <w:sz w:val="24"/>
                <w:szCs w:val="24"/>
                <w:lang w:val="en-US" w:eastAsia="zh-CN"/>
              </w:rPr>
            </w:pPr>
            <w:r>
              <w:rPr>
                <w:rFonts w:hint="default" w:ascii="仿宋_GB2312" w:hAnsi="仿宋_GB2312" w:eastAsia="仿宋_GB2312" w:cs="仿宋_GB2312"/>
                <w:color w:val="000000"/>
                <w:kern w:val="0"/>
                <w:sz w:val="24"/>
                <w:szCs w:val="24"/>
                <w:lang w:val="en-US" w:eastAsia="zh-CN"/>
              </w:rPr>
              <w:t>没收猎捕工具，并处上三万元以上不超过五万元罚款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8" w:hRule="atLeast"/>
          <w:jc w:val="center"/>
        </w:trPr>
        <w:tc>
          <w:tcPr>
            <w:tcW w:w="421" w:type="dxa"/>
            <w:vMerge w:val="continue"/>
            <w:tcBorders>
              <w:tl2br w:val="nil"/>
              <w:tr2bl w:val="nil"/>
            </w:tcBorders>
            <w:tcMar>
              <w:top w:w="57" w:type="dxa"/>
              <w:left w:w="57" w:type="dxa"/>
              <w:bottom w:w="57" w:type="dxa"/>
              <w:right w:w="57" w:type="dxa"/>
            </w:tcMar>
            <w:vAlign w:val="center"/>
          </w:tcPr>
          <w:p>
            <w:pPr>
              <w:widowControl/>
              <w:adjustRightInd w:val="0"/>
              <w:snapToGrid w:val="0"/>
              <w:textAlignment w:val="center"/>
              <w:rPr>
                <w:rFonts w:hint="eastAsia" w:ascii="仿宋_GB2312" w:hAnsi="仿宋_GB2312" w:eastAsia="仿宋_GB2312" w:cs="仿宋_GB2312"/>
                <w:color w:val="000000"/>
                <w:kern w:val="0"/>
                <w:sz w:val="24"/>
                <w:szCs w:val="24"/>
                <w:lang w:val="en-US" w:eastAsia="zh-CN"/>
              </w:rPr>
            </w:pPr>
          </w:p>
        </w:tc>
        <w:tc>
          <w:tcPr>
            <w:tcW w:w="1098" w:type="dxa"/>
            <w:vMerge w:val="continue"/>
            <w:tcBorders>
              <w:tl2br w:val="nil"/>
              <w:tr2bl w:val="nil"/>
            </w:tcBorders>
            <w:tcMar>
              <w:top w:w="57" w:type="dxa"/>
              <w:left w:w="57" w:type="dxa"/>
              <w:bottom w:w="57" w:type="dxa"/>
              <w:right w:w="57" w:type="dxa"/>
            </w:tcMar>
            <w:vAlign w:val="center"/>
          </w:tcPr>
          <w:p>
            <w:pPr>
              <w:widowControl/>
              <w:adjustRightInd w:val="0"/>
              <w:snapToGrid w:val="0"/>
              <w:textAlignment w:val="center"/>
              <w:rPr>
                <w:rFonts w:hint="default" w:ascii="仿宋_GB2312" w:hAnsi="仿宋_GB2312" w:eastAsia="仿宋_GB2312" w:cs="仿宋_GB2312"/>
                <w:color w:val="000000"/>
                <w:kern w:val="0"/>
                <w:sz w:val="24"/>
                <w:szCs w:val="24"/>
                <w:lang w:val="en-US" w:eastAsia="zh-CN"/>
              </w:rPr>
            </w:pPr>
          </w:p>
        </w:tc>
        <w:tc>
          <w:tcPr>
            <w:tcW w:w="3221" w:type="dxa"/>
            <w:vMerge w:val="continue"/>
            <w:tcBorders>
              <w:tl2br w:val="nil"/>
              <w:tr2bl w:val="nil"/>
            </w:tcBorders>
            <w:tcMar>
              <w:top w:w="57" w:type="dxa"/>
              <w:left w:w="57" w:type="dxa"/>
              <w:bottom w:w="57" w:type="dxa"/>
              <w:right w:w="57" w:type="dxa"/>
            </w:tcMar>
            <w:vAlign w:val="center"/>
          </w:tcPr>
          <w:p>
            <w:pPr>
              <w:widowControl/>
              <w:adjustRightInd w:val="0"/>
              <w:snapToGrid w:val="0"/>
              <w:textAlignment w:val="center"/>
              <w:rPr>
                <w:rFonts w:hint="default" w:ascii="仿宋_GB2312" w:hAnsi="仿宋_GB2312" w:eastAsia="仿宋_GB2312" w:cs="仿宋_GB2312"/>
                <w:color w:val="000000"/>
                <w:kern w:val="0"/>
                <w:sz w:val="24"/>
                <w:szCs w:val="24"/>
                <w:lang w:val="en-US" w:eastAsia="zh-CN"/>
              </w:rPr>
            </w:pPr>
          </w:p>
        </w:tc>
        <w:tc>
          <w:tcPr>
            <w:tcW w:w="818" w:type="dxa"/>
            <w:vMerge w:val="restart"/>
            <w:tcBorders>
              <w:top w:val="single" w:color="auto" w:sz="4" w:space="0"/>
              <w:tl2br w:val="nil"/>
              <w:tr2bl w:val="nil"/>
            </w:tcBorders>
            <w:tcMar>
              <w:top w:w="57" w:type="dxa"/>
              <w:left w:w="57" w:type="dxa"/>
              <w:bottom w:w="57" w:type="dxa"/>
              <w:right w:w="57" w:type="dxa"/>
            </w:tcMar>
            <w:vAlign w:val="center"/>
          </w:tcPr>
          <w:p>
            <w:pPr>
              <w:widowControl/>
              <w:adjustRightInd w:val="0"/>
              <w:snapToGrid w:val="0"/>
              <w:textAlignment w:val="center"/>
              <w:rPr>
                <w:rFonts w:hint="eastAsia" w:ascii="仿宋_GB2312" w:hAnsi="仿宋_GB2312" w:eastAsia="仿宋_GB2312" w:cs="仿宋_GB2312"/>
                <w:color w:val="000000"/>
                <w:kern w:val="0"/>
                <w:sz w:val="24"/>
                <w:szCs w:val="24"/>
                <w:lang w:val="en-US" w:eastAsia="zh-CN"/>
              </w:rPr>
            </w:pPr>
            <w:r>
              <w:rPr>
                <w:rFonts w:hint="default" w:ascii="仿宋_GB2312" w:hAnsi="仿宋_GB2312" w:eastAsia="仿宋_GB2312" w:cs="仿宋_GB2312"/>
                <w:color w:val="000000"/>
                <w:kern w:val="0"/>
                <w:sz w:val="24"/>
                <w:szCs w:val="24"/>
                <w:lang w:val="en-US" w:eastAsia="zh-CN"/>
              </w:rPr>
              <w:t>一般</w:t>
            </w:r>
          </w:p>
        </w:tc>
        <w:tc>
          <w:tcPr>
            <w:tcW w:w="1656" w:type="dxa"/>
            <w:vMerge w:val="restart"/>
            <w:tcBorders>
              <w:top w:val="single" w:color="auto" w:sz="4" w:space="0"/>
              <w:tl2br w:val="nil"/>
              <w:tr2bl w:val="nil"/>
            </w:tcBorders>
            <w:tcMar>
              <w:top w:w="57" w:type="dxa"/>
              <w:left w:w="57" w:type="dxa"/>
              <w:bottom w:w="57" w:type="dxa"/>
              <w:right w:w="57" w:type="dxa"/>
            </w:tcMar>
            <w:vAlign w:val="center"/>
          </w:tcPr>
          <w:p>
            <w:pPr>
              <w:widowControl/>
              <w:adjustRightInd w:val="0"/>
              <w:snapToGrid w:val="0"/>
              <w:textAlignment w:val="center"/>
              <w:rPr>
                <w:rFonts w:hint="eastAsia" w:ascii="仿宋_GB2312" w:hAnsi="仿宋_GB2312" w:eastAsia="仿宋_GB2312" w:cs="仿宋_GB2312"/>
                <w:color w:val="000000"/>
                <w:kern w:val="0"/>
                <w:sz w:val="24"/>
                <w:szCs w:val="24"/>
                <w:lang w:val="en-US" w:eastAsia="zh-CN"/>
              </w:rPr>
            </w:pPr>
            <w:r>
              <w:rPr>
                <w:rFonts w:hint="default" w:ascii="仿宋_GB2312" w:hAnsi="仿宋_GB2312" w:eastAsia="仿宋_GB2312" w:cs="仿宋_GB2312"/>
                <w:color w:val="000000"/>
                <w:kern w:val="0"/>
                <w:sz w:val="24"/>
                <w:szCs w:val="24"/>
                <w:lang w:val="en-US" w:eastAsia="zh-CN"/>
              </w:rPr>
              <w:t>价值一万元以下</w:t>
            </w:r>
          </w:p>
        </w:tc>
        <w:tc>
          <w:tcPr>
            <w:tcW w:w="2775" w:type="dxa"/>
            <w:tcBorders>
              <w:top w:val="single" w:color="auto" w:sz="4" w:space="0"/>
              <w:bottom w:val="single" w:color="auto" w:sz="4" w:space="0"/>
              <w:tl2br w:val="nil"/>
              <w:tr2bl w:val="nil"/>
            </w:tcBorders>
            <w:tcMar>
              <w:top w:w="57" w:type="dxa"/>
              <w:left w:w="57" w:type="dxa"/>
              <w:bottom w:w="57" w:type="dxa"/>
              <w:right w:w="57" w:type="dxa"/>
            </w:tcMar>
            <w:vAlign w:val="center"/>
          </w:tcPr>
          <w:p>
            <w:pPr>
              <w:widowControl/>
              <w:adjustRightInd w:val="0"/>
              <w:snapToGrid w:val="0"/>
              <w:textAlignment w:val="center"/>
              <w:rPr>
                <w:rFonts w:hint="eastAsia" w:ascii="仿宋_GB2312" w:hAnsi="仿宋_GB2312" w:eastAsia="仿宋_GB2312" w:cs="仿宋_GB2312"/>
                <w:color w:val="000000"/>
                <w:kern w:val="0"/>
                <w:sz w:val="24"/>
                <w:szCs w:val="24"/>
                <w:lang w:val="en-US" w:eastAsia="zh-CN"/>
              </w:rPr>
            </w:pPr>
            <w:r>
              <w:rPr>
                <w:rFonts w:hint="default" w:ascii="仿宋_GB2312" w:hAnsi="仿宋_GB2312" w:eastAsia="仿宋_GB2312" w:cs="仿宋_GB2312"/>
                <w:color w:val="000000"/>
                <w:kern w:val="0"/>
                <w:sz w:val="24"/>
                <w:szCs w:val="24"/>
                <w:lang w:val="en-US" w:eastAsia="zh-CN"/>
              </w:rPr>
              <w:t>价值五千元以下</w:t>
            </w:r>
          </w:p>
        </w:tc>
        <w:tc>
          <w:tcPr>
            <w:tcW w:w="4011" w:type="dxa"/>
            <w:tcBorders>
              <w:top w:val="single" w:color="auto" w:sz="4" w:space="0"/>
              <w:bottom w:val="single" w:color="auto" w:sz="4" w:space="0"/>
              <w:tl2br w:val="nil"/>
              <w:tr2bl w:val="nil"/>
            </w:tcBorders>
            <w:tcMar>
              <w:top w:w="57" w:type="dxa"/>
              <w:left w:w="57" w:type="dxa"/>
              <w:bottom w:w="57" w:type="dxa"/>
              <w:right w:w="57" w:type="dxa"/>
            </w:tcMar>
            <w:vAlign w:val="center"/>
          </w:tcPr>
          <w:p>
            <w:pPr>
              <w:widowControl/>
              <w:adjustRightInd w:val="0"/>
              <w:snapToGrid w:val="0"/>
              <w:textAlignment w:val="center"/>
              <w:rPr>
                <w:rFonts w:hint="eastAsia" w:ascii="仿宋_GB2312" w:hAnsi="仿宋_GB2312" w:eastAsia="仿宋_GB2312" w:cs="仿宋_GB2312"/>
                <w:color w:val="000000"/>
                <w:kern w:val="0"/>
                <w:sz w:val="24"/>
                <w:szCs w:val="24"/>
                <w:lang w:val="en-US" w:eastAsia="zh-CN"/>
              </w:rPr>
            </w:pPr>
            <w:r>
              <w:rPr>
                <w:rFonts w:hint="default" w:ascii="仿宋_GB2312" w:hAnsi="仿宋_GB2312" w:eastAsia="仿宋_GB2312" w:cs="仿宋_GB2312"/>
                <w:color w:val="000000"/>
                <w:kern w:val="0"/>
                <w:sz w:val="24"/>
                <w:szCs w:val="24"/>
                <w:lang w:val="en-US" w:eastAsia="zh-CN"/>
              </w:rPr>
              <w:t>没收猎获物、猎捕工具和违法所得，并处猎获物价值二倍以上四倍以下罚款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jc w:val="center"/>
        </w:trPr>
        <w:tc>
          <w:tcPr>
            <w:tcW w:w="421" w:type="dxa"/>
            <w:vMerge w:val="continue"/>
            <w:tcBorders>
              <w:tl2br w:val="nil"/>
              <w:tr2bl w:val="nil"/>
            </w:tcBorders>
            <w:tcMar>
              <w:top w:w="57" w:type="dxa"/>
              <w:left w:w="57" w:type="dxa"/>
              <w:bottom w:w="57" w:type="dxa"/>
              <w:right w:w="57" w:type="dxa"/>
            </w:tcMar>
            <w:vAlign w:val="center"/>
          </w:tcPr>
          <w:p>
            <w:pPr>
              <w:widowControl/>
              <w:adjustRightInd w:val="0"/>
              <w:snapToGrid w:val="0"/>
              <w:textAlignment w:val="center"/>
              <w:rPr>
                <w:rFonts w:hint="eastAsia" w:ascii="仿宋_GB2312" w:hAnsi="仿宋_GB2312" w:eastAsia="仿宋_GB2312" w:cs="仿宋_GB2312"/>
                <w:color w:val="000000"/>
                <w:kern w:val="0"/>
                <w:sz w:val="24"/>
                <w:szCs w:val="24"/>
                <w:lang w:val="en-US" w:eastAsia="zh-CN"/>
              </w:rPr>
            </w:pPr>
          </w:p>
        </w:tc>
        <w:tc>
          <w:tcPr>
            <w:tcW w:w="1098" w:type="dxa"/>
            <w:vMerge w:val="continue"/>
            <w:tcBorders>
              <w:tl2br w:val="nil"/>
              <w:tr2bl w:val="nil"/>
            </w:tcBorders>
            <w:tcMar>
              <w:top w:w="57" w:type="dxa"/>
              <w:left w:w="57" w:type="dxa"/>
              <w:bottom w:w="57" w:type="dxa"/>
              <w:right w:w="57" w:type="dxa"/>
            </w:tcMar>
            <w:vAlign w:val="center"/>
          </w:tcPr>
          <w:p>
            <w:pPr>
              <w:widowControl/>
              <w:adjustRightInd w:val="0"/>
              <w:snapToGrid w:val="0"/>
              <w:textAlignment w:val="center"/>
              <w:rPr>
                <w:rFonts w:hint="default" w:ascii="仿宋_GB2312" w:hAnsi="仿宋_GB2312" w:eastAsia="仿宋_GB2312" w:cs="仿宋_GB2312"/>
                <w:color w:val="000000"/>
                <w:kern w:val="0"/>
                <w:sz w:val="24"/>
                <w:szCs w:val="24"/>
                <w:lang w:val="en-US" w:eastAsia="zh-CN"/>
              </w:rPr>
            </w:pPr>
          </w:p>
        </w:tc>
        <w:tc>
          <w:tcPr>
            <w:tcW w:w="3221" w:type="dxa"/>
            <w:vMerge w:val="continue"/>
            <w:tcBorders>
              <w:tl2br w:val="nil"/>
              <w:tr2bl w:val="nil"/>
            </w:tcBorders>
            <w:tcMar>
              <w:top w:w="57" w:type="dxa"/>
              <w:left w:w="57" w:type="dxa"/>
              <w:bottom w:w="57" w:type="dxa"/>
              <w:right w:w="57" w:type="dxa"/>
            </w:tcMar>
            <w:vAlign w:val="center"/>
          </w:tcPr>
          <w:p>
            <w:pPr>
              <w:widowControl/>
              <w:adjustRightInd w:val="0"/>
              <w:snapToGrid w:val="0"/>
              <w:textAlignment w:val="center"/>
              <w:rPr>
                <w:rFonts w:hint="default" w:ascii="仿宋_GB2312" w:hAnsi="仿宋_GB2312" w:eastAsia="仿宋_GB2312" w:cs="仿宋_GB2312"/>
                <w:color w:val="000000"/>
                <w:kern w:val="0"/>
                <w:sz w:val="24"/>
                <w:szCs w:val="24"/>
                <w:lang w:val="en-US" w:eastAsia="zh-CN"/>
              </w:rPr>
            </w:pPr>
          </w:p>
        </w:tc>
        <w:tc>
          <w:tcPr>
            <w:tcW w:w="818" w:type="dxa"/>
            <w:vMerge w:val="continue"/>
            <w:tcBorders>
              <w:bottom w:val="single" w:color="auto" w:sz="4" w:space="0"/>
              <w:tl2br w:val="nil"/>
              <w:tr2bl w:val="nil"/>
            </w:tcBorders>
            <w:tcMar>
              <w:top w:w="57" w:type="dxa"/>
              <w:left w:w="57" w:type="dxa"/>
              <w:bottom w:w="57" w:type="dxa"/>
              <w:right w:w="57" w:type="dxa"/>
            </w:tcMar>
            <w:vAlign w:val="center"/>
          </w:tcPr>
          <w:p>
            <w:pPr>
              <w:widowControl/>
              <w:adjustRightInd w:val="0"/>
              <w:snapToGrid w:val="0"/>
              <w:textAlignment w:val="center"/>
              <w:rPr>
                <w:rFonts w:hint="default" w:ascii="仿宋_GB2312" w:hAnsi="仿宋_GB2312" w:eastAsia="仿宋_GB2312" w:cs="仿宋_GB2312"/>
                <w:color w:val="000000"/>
                <w:kern w:val="0"/>
                <w:sz w:val="24"/>
                <w:szCs w:val="24"/>
                <w:lang w:val="en-US" w:eastAsia="zh-CN"/>
              </w:rPr>
            </w:pPr>
          </w:p>
        </w:tc>
        <w:tc>
          <w:tcPr>
            <w:tcW w:w="1656" w:type="dxa"/>
            <w:vMerge w:val="continue"/>
            <w:tcBorders>
              <w:bottom w:val="single" w:color="auto" w:sz="4" w:space="0"/>
              <w:tl2br w:val="nil"/>
              <w:tr2bl w:val="nil"/>
            </w:tcBorders>
            <w:tcMar>
              <w:top w:w="57" w:type="dxa"/>
              <w:left w:w="57" w:type="dxa"/>
              <w:bottom w:w="57" w:type="dxa"/>
              <w:right w:w="57" w:type="dxa"/>
            </w:tcMar>
            <w:vAlign w:val="center"/>
          </w:tcPr>
          <w:p>
            <w:pPr>
              <w:widowControl/>
              <w:adjustRightInd w:val="0"/>
              <w:snapToGrid w:val="0"/>
              <w:textAlignment w:val="center"/>
              <w:rPr>
                <w:rFonts w:hint="default" w:ascii="仿宋_GB2312" w:hAnsi="仿宋_GB2312" w:eastAsia="仿宋_GB2312" w:cs="仿宋_GB2312"/>
                <w:color w:val="000000"/>
                <w:kern w:val="0"/>
                <w:sz w:val="24"/>
                <w:szCs w:val="24"/>
                <w:lang w:val="en-US" w:eastAsia="zh-CN"/>
              </w:rPr>
            </w:pPr>
          </w:p>
        </w:tc>
        <w:tc>
          <w:tcPr>
            <w:tcW w:w="2775" w:type="dxa"/>
            <w:tcBorders>
              <w:top w:val="single" w:color="auto" w:sz="4" w:space="0"/>
              <w:bottom w:val="single" w:color="auto" w:sz="4" w:space="0"/>
              <w:tl2br w:val="nil"/>
              <w:tr2bl w:val="nil"/>
            </w:tcBorders>
            <w:tcMar>
              <w:top w:w="57" w:type="dxa"/>
              <w:left w:w="57" w:type="dxa"/>
              <w:bottom w:w="57" w:type="dxa"/>
              <w:right w:w="57" w:type="dxa"/>
            </w:tcMar>
            <w:vAlign w:val="center"/>
          </w:tcPr>
          <w:p>
            <w:pPr>
              <w:widowControl/>
              <w:adjustRightInd w:val="0"/>
              <w:snapToGrid w:val="0"/>
              <w:textAlignment w:val="center"/>
              <w:rPr>
                <w:rFonts w:hint="eastAsia" w:ascii="仿宋_GB2312" w:hAnsi="仿宋_GB2312" w:eastAsia="仿宋_GB2312" w:cs="仿宋_GB2312"/>
                <w:color w:val="000000"/>
                <w:kern w:val="0"/>
                <w:sz w:val="24"/>
                <w:szCs w:val="24"/>
                <w:lang w:val="en-US" w:eastAsia="zh-CN"/>
              </w:rPr>
            </w:pPr>
            <w:r>
              <w:rPr>
                <w:rFonts w:hint="default" w:ascii="仿宋_GB2312" w:hAnsi="仿宋_GB2312" w:eastAsia="仿宋_GB2312" w:cs="仿宋_GB2312"/>
                <w:color w:val="000000"/>
                <w:kern w:val="0"/>
                <w:sz w:val="24"/>
                <w:szCs w:val="24"/>
                <w:lang w:val="en-US" w:eastAsia="zh-CN"/>
              </w:rPr>
              <w:t>价值五千元以上一万元以下</w:t>
            </w:r>
          </w:p>
        </w:tc>
        <w:tc>
          <w:tcPr>
            <w:tcW w:w="4011" w:type="dxa"/>
            <w:tcBorders>
              <w:top w:val="single" w:color="auto" w:sz="4" w:space="0"/>
              <w:bottom w:val="single" w:color="auto" w:sz="4" w:space="0"/>
              <w:tl2br w:val="nil"/>
              <w:tr2bl w:val="nil"/>
            </w:tcBorders>
            <w:tcMar>
              <w:top w:w="57" w:type="dxa"/>
              <w:left w:w="57" w:type="dxa"/>
              <w:bottom w:w="57" w:type="dxa"/>
              <w:right w:w="57" w:type="dxa"/>
            </w:tcMar>
            <w:vAlign w:val="center"/>
          </w:tcPr>
          <w:p>
            <w:pPr>
              <w:widowControl/>
              <w:adjustRightInd w:val="0"/>
              <w:snapToGrid w:val="0"/>
              <w:textAlignment w:val="center"/>
              <w:rPr>
                <w:rFonts w:hint="eastAsia" w:ascii="仿宋_GB2312" w:hAnsi="仿宋_GB2312" w:eastAsia="仿宋_GB2312" w:cs="仿宋_GB2312"/>
                <w:color w:val="000000"/>
                <w:kern w:val="0"/>
                <w:sz w:val="24"/>
                <w:szCs w:val="24"/>
                <w:lang w:val="en-US" w:eastAsia="zh-CN"/>
              </w:rPr>
            </w:pPr>
            <w:r>
              <w:rPr>
                <w:rFonts w:hint="default" w:ascii="仿宋_GB2312" w:hAnsi="仿宋_GB2312" w:eastAsia="仿宋_GB2312" w:cs="仿宋_GB2312"/>
                <w:color w:val="000000"/>
                <w:kern w:val="0"/>
                <w:sz w:val="24"/>
                <w:szCs w:val="24"/>
                <w:lang w:val="en-US" w:eastAsia="zh-CN"/>
              </w:rPr>
              <w:t>没收猎获物、猎捕工具和违法所得，并处猎获物价值四倍以上六倍以下罚款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9" w:hRule="atLeast"/>
          <w:jc w:val="center"/>
        </w:trPr>
        <w:tc>
          <w:tcPr>
            <w:tcW w:w="421" w:type="dxa"/>
            <w:vMerge w:val="continue"/>
            <w:tcBorders>
              <w:tl2br w:val="nil"/>
              <w:tr2bl w:val="nil"/>
            </w:tcBorders>
            <w:tcMar>
              <w:top w:w="57" w:type="dxa"/>
              <w:left w:w="57" w:type="dxa"/>
              <w:bottom w:w="57" w:type="dxa"/>
              <w:right w:w="57" w:type="dxa"/>
            </w:tcMar>
            <w:vAlign w:val="center"/>
          </w:tcPr>
          <w:p>
            <w:pPr>
              <w:widowControl/>
              <w:adjustRightInd w:val="0"/>
              <w:snapToGrid w:val="0"/>
              <w:textAlignment w:val="center"/>
              <w:rPr>
                <w:rFonts w:hint="eastAsia" w:ascii="仿宋_GB2312" w:hAnsi="仿宋_GB2312" w:eastAsia="仿宋_GB2312" w:cs="仿宋_GB2312"/>
                <w:color w:val="000000"/>
                <w:kern w:val="0"/>
                <w:sz w:val="24"/>
                <w:szCs w:val="24"/>
                <w:lang w:val="en-US" w:eastAsia="zh-CN"/>
              </w:rPr>
            </w:pPr>
          </w:p>
        </w:tc>
        <w:tc>
          <w:tcPr>
            <w:tcW w:w="1098" w:type="dxa"/>
            <w:vMerge w:val="continue"/>
            <w:tcBorders>
              <w:tl2br w:val="nil"/>
              <w:tr2bl w:val="nil"/>
            </w:tcBorders>
            <w:tcMar>
              <w:top w:w="57" w:type="dxa"/>
              <w:left w:w="57" w:type="dxa"/>
              <w:bottom w:w="57" w:type="dxa"/>
              <w:right w:w="57" w:type="dxa"/>
            </w:tcMar>
            <w:vAlign w:val="center"/>
          </w:tcPr>
          <w:p>
            <w:pPr>
              <w:widowControl/>
              <w:adjustRightInd w:val="0"/>
              <w:snapToGrid w:val="0"/>
              <w:textAlignment w:val="center"/>
              <w:rPr>
                <w:rFonts w:hint="default" w:ascii="仿宋_GB2312" w:hAnsi="仿宋_GB2312" w:eastAsia="仿宋_GB2312" w:cs="仿宋_GB2312"/>
                <w:color w:val="000000"/>
                <w:kern w:val="0"/>
                <w:sz w:val="24"/>
                <w:szCs w:val="24"/>
                <w:lang w:val="en-US" w:eastAsia="zh-CN"/>
              </w:rPr>
            </w:pPr>
          </w:p>
        </w:tc>
        <w:tc>
          <w:tcPr>
            <w:tcW w:w="3221" w:type="dxa"/>
            <w:vMerge w:val="continue"/>
            <w:tcBorders>
              <w:tl2br w:val="nil"/>
              <w:tr2bl w:val="nil"/>
            </w:tcBorders>
            <w:tcMar>
              <w:top w:w="57" w:type="dxa"/>
              <w:left w:w="57" w:type="dxa"/>
              <w:bottom w:w="57" w:type="dxa"/>
              <w:right w:w="57" w:type="dxa"/>
            </w:tcMar>
            <w:vAlign w:val="center"/>
          </w:tcPr>
          <w:p>
            <w:pPr>
              <w:widowControl/>
              <w:adjustRightInd w:val="0"/>
              <w:snapToGrid w:val="0"/>
              <w:textAlignment w:val="center"/>
              <w:rPr>
                <w:rFonts w:hint="default" w:ascii="仿宋_GB2312" w:hAnsi="仿宋_GB2312" w:eastAsia="仿宋_GB2312" w:cs="仿宋_GB2312"/>
                <w:color w:val="000000"/>
                <w:kern w:val="0"/>
                <w:sz w:val="24"/>
                <w:szCs w:val="24"/>
                <w:lang w:val="en-US" w:eastAsia="zh-CN"/>
              </w:rPr>
            </w:pPr>
          </w:p>
        </w:tc>
        <w:tc>
          <w:tcPr>
            <w:tcW w:w="818" w:type="dxa"/>
            <w:vMerge w:val="restart"/>
            <w:tcBorders>
              <w:top w:val="single" w:color="auto" w:sz="4" w:space="0"/>
              <w:tl2br w:val="nil"/>
              <w:tr2bl w:val="nil"/>
            </w:tcBorders>
            <w:tcMar>
              <w:top w:w="57" w:type="dxa"/>
              <w:left w:w="57" w:type="dxa"/>
              <w:bottom w:w="57" w:type="dxa"/>
              <w:right w:w="57" w:type="dxa"/>
            </w:tcMar>
            <w:vAlign w:val="center"/>
          </w:tcPr>
          <w:p>
            <w:pPr>
              <w:widowControl/>
              <w:adjustRightInd w:val="0"/>
              <w:snapToGrid w:val="0"/>
              <w:textAlignment w:val="center"/>
              <w:rPr>
                <w:rFonts w:hint="eastAsia" w:ascii="仿宋_GB2312" w:hAnsi="仿宋_GB2312" w:eastAsia="仿宋_GB2312" w:cs="仿宋_GB2312"/>
                <w:color w:val="000000"/>
                <w:kern w:val="0"/>
                <w:sz w:val="24"/>
                <w:szCs w:val="24"/>
                <w:lang w:val="en-US" w:eastAsia="zh-CN"/>
              </w:rPr>
            </w:pPr>
            <w:r>
              <w:rPr>
                <w:rFonts w:hint="default" w:ascii="仿宋_GB2312" w:hAnsi="仿宋_GB2312" w:eastAsia="仿宋_GB2312" w:cs="仿宋_GB2312"/>
                <w:color w:val="000000"/>
                <w:kern w:val="0"/>
                <w:sz w:val="24"/>
                <w:szCs w:val="24"/>
                <w:lang w:val="en-US" w:eastAsia="zh-CN"/>
              </w:rPr>
              <w:t>严重</w:t>
            </w:r>
          </w:p>
        </w:tc>
        <w:tc>
          <w:tcPr>
            <w:tcW w:w="1656" w:type="dxa"/>
            <w:vMerge w:val="restart"/>
            <w:tcBorders>
              <w:top w:val="single" w:color="auto" w:sz="4" w:space="0"/>
              <w:tl2br w:val="nil"/>
              <w:tr2bl w:val="nil"/>
            </w:tcBorders>
            <w:tcMar>
              <w:top w:w="57" w:type="dxa"/>
              <w:left w:w="57" w:type="dxa"/>
              <w:bottom w:w="57" w:type="dxa"/>
              <w:right w:w="57" w:type="dxa"/>
            </w:tcMar>
            <w:vAlign w:val="center"/>
          </w:tcPr>
          <w:p>
            <w:pPr>
              <w:widowControl/>
              <w:adjustRightInd w:val="0"/>
              <w:snapToGrid w:val="0"/>
              <w:textAlignment w:val="center"/>
              <w:rPr>
                <w:rFonts w:hint="eastAsia" w:ascii="仿宋_GB2312" w:hAnsi="仿宋_GB2312" w:eastAsia="仿宋_GB2312" w:cs="仿宋_GB2312"/>
                <w:color w:val="000000"/>
                <w:kern w:val="0"/>
                <w:sz w:val="24"/>
                <w:szCs w:val="24"/>
                <w:lang w:val="en-US" w:eastAsia="zh-CN"/>
              </w:rPr>
            </w:pPr>
            <w:r>
              <w:rPr>
                <w:rFonts w:hint="default" w:ascii="仿宋_GB2312" w:hAnsi="仿宋_GB2312" w:eastAsia="仿宋_GB2312" w:cs="仿宋_GB2312"/>
                <w:color w:val="000000"/>
                <w:kern w:val="0"/>
                <w:sz w:val="24"/>
                <w:szCs w:val="24"/>
                <w:lang w:val="en-US" w:eastAsia="zh-CN"/>
              </w:rPr>
              <w:t>价值一万元以上</w:t>
            </w:r>
          </w:p>
        </w:tc>
        <w:tc>
          <w:tcPr>
            <w:tcW w:w="2775" w:type="dxa"/>
            <w:tcBorders>
              <w:top w:val="single" w:color="auto" w:sz="4" w:space="0"/>
              <w:bottom w:val="single" w:color="auto" w:sz="4" w:space="0"/>
              <w:tl2br w:val="nil"/>
              <w:tr2bl w:val="nil"/>
            </w:tcBorders>
            <w:tcMar>
              <w:top w:w="57" w:type="dxa"/>
              <w:left w:w="57" w:type="dxa"/>
              <w:bottom w:w="57" w:type="dxa"/>
              <w:right w:w="57" w:type="dxa"/>
            </w:tcMar>
            <w:vAlign w:val="center"/>
          </w:tcPr>
          <w:p>
            <w:pPr>
              <w:widowControl/>
              <w:adjustRightInd w:val="0"/>
              <w:snapToGrid w:val="0"/>
              <w:textAlignment w:val="center"/>
              <w:rPr>
                <w:rFonts w:hint="eastAsia" w:ascii="仿宋_GB2312" w:hAnsi="仿宋_GB2312" w:eastAsia="仿宋_GB2312" w:cs="仿宋_GB2312"/>
                <w:color w:val="000000"/>
                <w:kern w:val="0"/>
                <w:sz w:val="24"/>
                <w:szCs w:val="24"/>
                <w:lang w:val="en-US" w:eastAsia="zh-CN"/>
              </w:rPr>
            </w:pPr>
            <w:r>
              <w:rPr>
                <w:rFonts w:hint="default" w:ascii="仿宋_GB2312" w:hAnsi="仿宋_GB2312" w:eastAsia="仿宋_GB2312" w:cs="仿宋_GB2312"/>
                <w:color w:val="000000"/>
                <w:kern w:val="0"/>
                <w:sz w:val="24"/>
                <w:szCs w:val="24"/>
                <w:lang w:val="en-US" w:eastAsia="zh-CN"/>
              </w:rPr>
              <w:t>价值一万元以上二万元以下</w:t>
            </w:r>
          </w:p>
        </w:tc>
        <w:tc>
          <w:tcPr>
            <w:tcW w:w="4011" w:type="dxa"/>
            <w:tcBorders>
              <w:top w:val="single" w:color="auto" w:sz="4" w:space="0"/>
              <w:bottom w:val="single" w:color="auto" w:sz="4" w:space="0"/>
              <w:tl2br w:val="nil"/>
              <w:tr2bl w:val="nil"/>
            </w:tcBorders>
            <w:tcMar>
              <w:top w:w="57" w:type="dxa"/>
              <w:left w:w="57" w:type="dxa"/>
              <w:bottom w:w="57" w:type="dxa"/>
              <w:right w:w="57" w:type="dxa"/>
            </w:tcMar>
            <w:vAlign w:val="center"/>
          </w:tcPr>
          <w:p>
            <w:pPr>
              <w:widowControl/>
              <w:adjustRightInd w:val="0"/>
              <w:snapToGrid w:val="0"/>
              <w:textAlignment w:val="center"/>
              <w:rPr>
                <w:rFonts w:hint="eastAsia" w:ascii="仿宋_GB2312" w:hAnsi="仿宋_GB2312" w:eastAsia="仿宋_GB2312" w:cs="仿宋_GB2312"/>
                <w:color w:val="000000"/>
                <w:kern w:val="0"/>
                <w:sz w:val="24"/>
                <w:szCs w:val="24"/>
                <w:lang w:val="en-US" w:eastAsia="zh-CN"/>
              </w:rPr>
            </w:pPr>
            <w:r>
              <w:rPr>
                <w:rFonts w:hint="default" w:ascii="仿宋_GB2312" w:hAnsi="仿宋_GB2312" w:eastAsia="仿宋_GB2312" w:cs="仿宋_GB2312"/>
                <w:color w:val="000000"/>
                <w:kern w:val="0"/>
                <w:sz w:val="24"/>
                <w:szCs w:val="24"/>
                <w:lang w:val="en-US" w:eastAsia="zh-CN"/>
              </w:rPr>
              <w:t>没收猎获物、猎捕工具和违法所得，并处猎获物价值六倍以上八倍以下罚款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0" w:hRule="atLeast"/>
          <w:jc w:val="center"/>
        </w:trPr>
        <w:tc>
          <w:tcPr>
            <w:tcW w:w="421" w:type="dxa"/>
            <w:vMerge w:val="continue"/>
            <w:tcBorders>
              <w:tl2br w:val="nil"/>
              <w:tr2bl w:val="nil"/>
            </w:tcBorders>
            <w:tcMar>
              <w:top w:w="57" w:type="dxa"/>
              <w:left w:w="57" w:type="dxa"/>
              <w:bottom w:w="57" w:type="dxa"/>
              <w:right w:w="57" w:type="dxa"/>
            </w:tcMar>
            <w:vAlign w:val="center"/>
          </w:tcPr>
          <w:p>
            <w:pPr>
              <w:widowControl/>
              <w:adjustRightInd w:val="0"/>
              <w:snapToGrid w:val="0"/>
              <w:textAlignment w:val="center"/>
              <w:rPr>
                <w:rFonts w:hint="eastAsia" w:ascii="仿宋_GB2312" w:hAnsi="仿宋_GB2312" w:eastAsia="仿宋_GB2312" w:cs="仿宋_GB2312"/>
                <w:color w:val="000000"/>
                <w:kern w:val="0"/>
                <w:sz w:val="24"/>
                <w:szCs w:val="24"/>
                <w:lang w:val="en-US" w:eastAsia="zh-CN"/>
              </w:rPr>
            </w:pPr>
          </w:p>
        </w:tc>
        <w:tc>
          <w:tcPr>
            <w:tcW w:w="1098" w:type="dxa"/>
            <w:vMerge w:val="continue"/>
            <w:tcBorders>
              <w:tl2br w:val="nil"/>
              <w:tr2bl w:val="nil"/>
            </w:tcBorders>
            <w:tcMar>
              <w:top w:w="57" w:type="dxa"/>
              <w:left w:w="57" w:type="dxa"/>
              <w:bottom w:w="57" w:type="dxa"/>
              <w:right w:w="57" w:type="dxa"/>
            </w:tcMar>
            <w:vAlign w:val="center"/>
          </w:tcPr>
          <w:p>
            <w:pPr>
              <w:widowControl/>
              <w:adjustRightInd w:val="0"/>
              <w:snapToGrid w:val="0"/>
              <w:textAlignment w:val="center"/>
              <w:rPr>
                <w:rFonts w:hint="default" w:ascii="仿宋_GB2312" w:hAnsi="仿宋_GB2312" w:eastAsia="仿宋_GB2312" w:cs="仿宋_GB2312"/>
                <w:color w:val="000000"/>
                <w:kern w:val="0"/>
                <w:sz w:val="24"/>
                <w:szCs w:val="24"/>
                <w:lang w:val="en-US" w:eastAsia="zh-CN"/>
              </w:rPr>
            </w:pPr>
          </w:p>
        </w:tc>
        <w:tc>
          <w:tcPr>
            <w:tcW w:w="3221" w:type="dxa"/>
            <w:vMerge w:val="continue"/>
            <w:tcBorders>
              <w:tl2br w:val="nil"/>
              <w:tr2bl w:val="nil"/>
            </w:tcBorders>
            <w:tcMar>
              <w:top w:w="57" w:type="dxa"/>
              <w:left w:w="57" w:type="dxa"/>
              <w:bottom w:w="57" w:type="dxa"/>
              <w:right w:w="57" w:type="dxa"/>
            </w:tcMar>
            <w:vAlign w:val="center"/>
          </w:tcPr>
          <w:p>
            <w:pPr>
              <w:widowControl/>
              <w:adjustRightInd w:val="0"/>
              <w:snapToGrid w:val="0"/>
              <w:textAlignment w:val="center"/>
              <w:rPr>
                <w:rFonts w:hint="default" w:ascii="仿宋_GB2312" w:hAnsi="仿宋_GB2312" w:eastAsia="仿宋_GB2312" w:cs="仿宋_GB2312"/>
                <w:color w:val="000000"/>
                <w:kern w:val="0"/>
                <w:sz w:val="24"/>
                <w:szCs w:val="24"/>
                <w:lang w:val="en-US" w:eastAsia="zh-CN"/>
              </w:rPr>
            </w:pPr>
          </w:p>
        </w:tc>
        <w:tc>
          <w:tcPr>
            <w:tcW w:w="818" w:type="dxa"/>
            <w:vMerge w:val="continue"/>
            <w:tcBorders>
              <w:tl2br w:val="nil"/>
              <w:tr2bl w:val="nil"/>
            </w:tcBorders>
            <w:tcMar>
              <w:top w:w="57" w:type="dxa"/>
              <w:left w:w="57" w:type="dxa"/>
              <w:bottom w:w="57" w:type="dxa"/>
              <w:right w:w="57" w:type="dxa"/>
            </w:tcMar>
            <w:vAlign w:val="center"/>
          </w:tcPr>
          <w:p>
            <w:pPr>
              <w:widowControl/>
              <w:adjustRightInd w:val="0"/>
              <w:snapToGrid w:val="0"/>
              <w:textAlignment w:val="center"/>
              <w:rPr>
                <w:rFonts w:hint="default" w:ascii="仿宋_GB2312" w:hAnsi="仿宋_GB2312" w:eastAsia="仿宋_GB2312" w:cs="仿宋_GB2312"/>
                <w:color w:val="000000"/>
                <w:kern w:val="0"/>
                <w:sz w:val="24"/>
                <w:szCs w:val="24"/>
                <w:lang w:val="en-US" w:eastAsia="zh-CN"/>
              </w:rPr>
            </w:pPr>
          </w:p>
        </w:tc>
        <w:tc>
          <w:tcPr>
            <w:tcW w:w="1656" w:type="dxa"/>
            <w:vMerge w:val="continue"/>
            <w:tcBorders>
              <w:tl2br w:val="nil"/>
              <w:tr2bl w:val="nil"/>
            </w:tcBorders>
            <w:tcMar>
              <w:top w:w="57" w:type="dxa"/>
              <w:left w:w="57" w:type="dxa"/>
              <w:bottom w:w="57" w:type="dxa"/>
              <w:right w:w="57" w:type="dxa"/>
            </w:tcMar>
            <w:vAlign w:val="center"/>
          </w:tcPr>
          <w:p>
            <w:pPr>
              <w:widowControl/>
              <w:adjustRightInd w:val="0"/>
              <w:snapToGrid w:val="0"/>
              <w:textAlignment w:val="center"/>
              <w:rPr>
                <w:rFonts w:hint="default" w:ascii="仿宋_GB2312" w:hAnsi="仿宋_GB2312" w:eastAsia="仿宋_GB2312" w:cs="仿宋_GB2312"/>
                <w:color w:val="000000"/>
                <w:kern w:val="0"/>
                <w:sz w:val="24"/>
                <w:szCs w:val="24"/>
                <w:lang w:val="en-US" w:eastAsia="zh-CN"/>
              </w:rPr>
            </w:pPr>
          </w:p>
        </w:tc>
        <w:tc>
          <w:tcPr>
            <w:tcW w:w="2775" w:type="dxa"/>
            <w:tcBorders>
              <w:top w:val="single" w:color="auto" w:sz="4" w:space="0"/>
              <w:tl2br w:val="nil"/>
              <w:tr2bl w:val="nil"/>
            </w:tcBorders>
            <w:tcMar>
              <w:top w:w="57" w:type="dxa"/>
              <w:left w:w="57" w:type="dxa"/>
              <w:bottom w:w="57" w:type="dxa"/>
              <w:right w:w="57" w:type="dxa"/>
            </w:tcMar>
            <w:vAlign w:val="center"/>
          </w:tcPr>
          <w:p>
            <w:pPr>
              <w:widowControl/>
              <w:adjustRightInd w:val="0"/>
              <w:snapToGrid w:val="0"/>
              <w:textAlignment w:val="center"/>
              <w:rPr>
                <w:rFonts w:hint="eastAsia" w:ascii="仿宋_GB2312" w:hAnsi="仿宋_GB2312" w:eastAsia="仿宋_GB2312" w:cs="仿宋_GB2312"/>
                <w:color w:val="000000"/>
                <w:kern w:val="0"/>
                <w:sz w:val="24"/>
                <w:szCs w:val="24"/>
                <w:lang w:val="en-US" w:eastAsia="zh-CN"/>
              </w:rPr>
            </w:pPr>
            <w:r>
              <w:rPr>
                <w:rFonts w:hint="default" w:ascii="仿宋_GB2312" w:hAnsi="仿宋_GB2312" w:eastAsia="仿宋_GB2312" w:cs="仿宋_GB2312"/>
                <w:color w:val="000000"/>
                <w:kern w:val="0"/>
                <w:sz w:val="24"/>
                <w:szCs w:val="24"/>
                <w:lang w:val="en-US" w:eastAsia="zh-CN"/>
              </w:rPr>
              <w:t>价值二万元以上</w:t>
            </w:r>
          </w:p>
        </w:tc>
        <w:tc>
          <w:tcPr>
            <w:tcW w:w="4011" w:type="dxa"/>
            <w:tcBorders>
              <w:top w:val="single" w:color="auto" w:sz="4" w:space="0"/>
              <w:tl2br w:val="nil"/>
              <w:tr2bl w:val="nil"/>
            </w:tcBorders>
            <w:tcMar>
              <w:top w:w="57" w:type="dxa"/>
              <w:left w:w="57" w:type="dxa"/>
              <w:bottom w:w="57" w:type="dxa"/>
              <w:right w:w="57" w:type="dxa"/>
            </w:tcMar>
            <w:vAlign w:val="center"/>
          </w:tcPr>
          <w:p>
            <w:pPr>
              <w:widowControl/>
              <w:adjustRightInd w:val="0"/>
              <w:snapToGrid w:val="0"/>
              <w:textAlignment w:val="center"/>
              <w:rPr>
                <w:rFonts w:hint="eastAsia" w:ascii="仿宋_GB2312" w:hAnsi="仿宋_GB2312" w:eastAsia="仿宋_GB2312" w:cs="仿宋_GB2312"/>
                <w:color w:val="000000"/>
                <w:kern w:val="0"/>
                <w:sz w:val="24"/>
                <w:szCs w:val="24"/>
                <w:lang w:val="en-US" w:eastAsia="zh-CN"/>
              </w:rPr>
            </w:pPr>
            <w:r>
              <w:rPr>
                <w:rFonts w:hint="default" w:ascii="仿宋_GB2312" w:hAnsi="仿宋_GB2312" w:eastAsia="仿宋_GB2312" w:cs="仿宋_GB2312"/>
                <w:color w:val="000000"/>
                <w:kern w:val="0"/>
                <w:sz w:val="24"/>
                <w:szCs w:val="24"/>
                <w:lang w:val="en-US" w:eastAsia="zh-CN"/>
              </w:rPr>
              <w:t>没收猎获物、猎捕工具和违法所得，并处猎获物价值八倍以上不超过十倍罚款</w:t>
            </w:r>
          </w:p>
        </w:tc>
      </w:tr>
    </w:tbl>
    <w:p>
      <w:pPr>
        <w:pStyle w:val="2"/>
      </w:pPr>
    </w:p>
    <w:p>
      <w:pPr>
        <w:pStyle w:val="2"/>
      </w:pPr>
    </w:p>
    <w:tbl>
      <w:tblPr>
        <w:tblStyle w:val="7"/>
        <w:tblW w:w="140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21"/>
        <w:gridCol w:w="1098"/>
        <w:gridCol w:w="3221"/>
        <w:gridCol w:w="818"/>
        <w:gridCol w:w="1656"/>
        <w:gridCol w:w="2775"/>
        <w:gridCol w:w="401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tblHeader/>
          <w:jc w:val="center"/>
        </w:trPr>
        <w:tc>
          <w:tcPr>
            <w:tcW w:w="421"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黑体" w:hAnsi="黑体" w:eastAsia="黑体" w:cs="黑体"/>
                <w:color w:val="000000"/>
                <w:sz w:val="24"/>
                <w:szCs w:val="24"/>
              </w:rPr>
            </w:pPr>
            <w:r>
              <w:rPr>
                <w:rFonts w:hint="eastAsia" w:ascii="黑体" w:hAnsi="黑体" w:eastAsia="黑体" w:cs="黑体"/>
                <w:color w:val="000000"/>
                <w:kern w:val="0"/>
                <w:sz w:val="24"/>
                <w:szCs w:val="24"/>
              </w:rPr>
              <w:t>序号</w:t>
            </w:r>
          </w:p>
        </w:tc>
        <w:tc>
          <w:tcPr>
            <w:tcW w:w="1098"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黑体" w:hAnsi="黑体" w:eastAsia="黑体" w:cs="黑体"/>
                <w:color w:val="000000"/>
                <w:sz w:val="24"/>
                <w:szCs w:val="24"/>
              </w:rPr>
            </w:pPr>
            <w:r>
              <w:rPr>
                <w:rFonts w:hint="eastAsia" w:ascii="黑体" w:hAnsi="黑体" w:eastAsia="黑体" w:cs="黑体"/>
                <w:color w:val="000000"/>
                <w:kern w:val="0"/>
                <w:sz w:val="24"/>
                <w:szCs w:val="24"/>
              </w:rPr>
              <w:t>违法行为</w:t>
            </w:r>
          </w:p>
        </w:tc>
        <w:tc>
          <w:tcPr>
            <w:tcW w:w="3221"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黑体" w:hAnsi="黑体" w:eastAsia="黑体" w:cs="黑体"/>
                <w:color w:val="000000"/>
                <w:sz w:val="24"/>
                <w:szCs w:val="24"/>
              </w:rPr>
            </w:pPr>
            <w:r>
              <w:rPr>
                <w:rFonts w:hint="eastAsia" w:ascii="黑体" w:hAnsi="黑体" w:eastAsia="黑体" w:cs="黑体"/>
                <w:color w:val="000000"/>
                <w:kern w:val="0"/>
                <w:sz w:val="24"/>
                <w:szCs w:val="24"/>
              </w:rPr>
              <w:t>处罚依据</w:t>
            </w:r>
          </w:p>
        </w:tc>
        <w:tc>
          <w:tcPr>
            <w:tcW w:w="818"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黑体" w:hAnsi="黑体" w:eastAsia="黑体" w:cs="黑体"/>
                <w:color w:val="000000"/>
                <w:sz w:val="24"/>
                <w:szCs w:val="24"/>
              </w:rPr>
            </w:pPr>
            <w:r>
              <w:rPr>
                <w:rFonts w:hint="eastAsia" w:ascii="黑体" w:hAnsi="黑体" w:eastAsia="黑体" w:cs="黑体"/>
                <w:color w:val="000000"/>
                <w:kern w:val="0"/>
                <w:sz w:val="24"/>
                <w:szCs w:val="24"/>
              </w:rPr>
              <w:t>违法程度</w:t>
            </w:r>
          </w:p>
        </w:tc>
        <w:tc>
          <w:tcPr>
            <w:tcW w:w="1656"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黑体" w:hAnsi="黑体" w:eastAsia="黑体" w:cs="黑体"/>
                <w:color w:val="000000"/>
                <w:sz w:val="24"/>
                <w:szCs w:val="24"/>
              </w:rPr>
            </w:pPr>
            <w:r>
              <w:rPr>
                <w:rFonts w:hint="eastAsia" w:ascii="黑体" w:hAnsi="黑体" w:eastAsia="黑体" w:cs="黑体"/>
                <w:color w:val="000000"/>
                <w:kern w:val="0"/>
                <w:sz w:val="24"/>
                <w:szCs w:val="24"/>
              </w:rPr>
              <w:t>违法情节</w:t>
            </w:r>
          </w:p>
        </w:tc>
        <w:tc>
          <w:tcPr>
            <w:tcW w:w="6786" w:type="dxa"/>
            <w:gridSpan w:val="2"/>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黑体" w:hAnsi="黑体" w:eastAsia="黑体" w:cs="黑体"/>
                <w:color w:val="000000"/>
                <w:sz w:val="24"/>
                <w:szCs w:val="24"/>
              </w:rPr>
            </w:pPr>
            <w:r>
              <w:rPr>
                <w:rFonts w:hint="eastAsia" w:ascii="黑体" w:hAnsi="黑体" w:eastAsia="黑体" w:cs="黑体"/>
                <w:color w:val="000000"/>
                <w:kern w:val="0"/>
                <w:sz w:val="24"/>
                <w:szCs w:val="24"/>
              </w:rPr>
              <w:t>裁量标准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5" w:hRule="atLeast"/>
          <w:jc w:val="center"/>
        </w:trPr>
        <w:tc>
          <w:tcPr>
            <w:tcW w:w="421" w:type="dxa"/>
            <w:vMerge w:val="restart"/>
            <w:tcBorders>
              <w:tl2br w:val="nil"/>
              <w:tr2bl w:val="nil"/>
            </w:tcBorders>
            <w:tcMar>
              <w:top w:w="57" w:type="dxa"/>
              <w:left w:w="57" w:type="dxa"/>
              <w:bottom w:w="57" w:type="dxa"/>
              <w:right w:w="57" w:type="dxa"/>
            </w:tcMar>
            <w:vAlign w:val="center"/>
          </w:tcPr>
          <w:p>
            <w:pPr>
              <w:widowControl/>
              <w:adjustRightInd w:val="0"/>
              <w:snapToGrid w:val="0"/>
              <w:textAlignment w:val="center"/>
              <w:rPr>
                <w:rFonts w:hint="default"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17</w:t>
            </w:r>
          </w:p>
        </w:tc>
        <w:tc>
          <w:tcPr>
            <w:tcW w:w="1098" w:type="dxa"/>
            <w:vMerge w:val="restart"/>
            <w:tcBorders>
              <w:tl2br w:val="nil"/>
              <w:tr2bl w:val="nil"/>
            </w:tcBorders>
            <w:tcMar>
              <w:top w:w="57" w:type="dxa"/>
              <w:left w:w="57" w:type="dxa"/>
              <w:bottom w:w="57" w:type="dxa"/>
              <w:right w:w="57" w:type="dxa"/>
            </w:tcMar>
            <w:vAlign w:val="center"/>
          </w:tcPr>
          <w:p>
            <w:pPr>
              <w:widowControl/>
              <w:adjustRightInd w:val="0"/>
              <w:snapToGrid w:val="0"/>
              <w:textAlignment w:val="center"/>
              <w:rPr>
                <w:rFonts w:hint="default" w:ascii="仿宋_GB2312" w:hAnsi="仿宋_GB2312" w:eastAsia="仿宋_GB2312" w:cs="仿宋_GB2312"/>
                <w:color w:val="000000"/>
                <w:kern w:val="0"/>
                <w:sz w:val="24"/>
                <w:szCs w:val="24"/>
                <w:lang w:val="en-US" w:eastAsia="zh-CN"/>
              </w:rPr>
            </w:pPr>
            <w:r>
              <w:rPr>
                <w:rFonts w:hint="default" w:ascii="仿宋_GB2312" w:hAnsi="仿宋_GB2312" w:eastAsia="仿宋_GB2312" w:cs="仿宋_GB2312"/>
                <w:color w:val="000000"/>
                <w:kern w:val="0"/>
                <w:sz w:val="24"/>
                <w:szCs w:val="24"/>
                <w:lang w:val="en-US" w:eastAsia="zh-CN"/>
              </w:rPr>
              <w:t>在相关自然保护区域、禁渔区、禁渔期猎捕国家重点保护水生野生动物</w:t>
            </w:r>
          </w:p>
        </w:tc>
        <w:tc>
          <w:tcPr>
            <w:tcW w:w="3221" w:type="dxa"/>
            <w:vMerge w:val="restart"/>
            <w:tcBorders>
              <w:tl2br w:val="nil"/>
              <w:tr2bl w:val="nil"/>
            </w:tcBorders>
            <w:tcMar>
              <w:top w:w="57" w:type="dxa"/>
              <w:left w:w="57" w:type="dxa"/>
              <w:bottom w:w="57" w:type="dxa"/>
              <w:right w:w="57" w:type="dxa"/>
            </w:tcMar>
            <w:vAlign w:val="center"/>
          </w:tcPr>
          <w:p>
            <w:pPr>
              <w:widowControl/>
              <w:adjustRightInd w:val="0"/>
              <w:snapToGrid w:val="0"/>
              <w:textAlignment w:val="center"/>
              <w:rPr>
                <w:rFonts w:hint="eastAsia" w:ascii="仿宋_GB2312" w:hAnsi="仿宋_GB2312" w:eastAsia="仿宋_GB2312" w:cs="仿宋_GB2312"/>
                <w:color w:val="000000"/>
                <w:kern w:val="0"/>
                <w:sz w:val="24"/>
                <w:szCs w:val="24"/>
                <w:lang w:val="en-US" w:eastAsia="zh-CN"/>
              </w:rPr>
            </w:pPr>
            <w:r>
              <w:rPr>
                <w:rFonts w:hint="default" w:ascii="仿宋_GB2312" w:hAnsi="仿宋_GB2312" w:eastAsia="仿宋_GB2312" w:cs="仿宋_GB2312"/>
                <w:color w:val="000000"/>
                <w:kern w:val="0"/>
                <w:sz w:val="24"/>
                <w:szCs w:val="24"/>
                <w:lang w:val="en-US" w:eastAsia="zh-CN"/>
              </w:rPr>
              <w:t>《中华人民共和国野生动物保护法》第四十五条，违反本法第二十条、第二十一条、第二十三条第一款、第二十四条第一款规定，在相关自然保护区域、禁猎（渔）区、禁猎（渔）期猎捕国家重点保护野生动物，未取得特许猎捕证、未按照特许猎捕证规定猎捕、杀害国家重点保护野生动物，或者使用禁用的工具、方法猎捕国家重点保护野生动物的，由县级以上人民政府野生动物保护主管部门、海洋执法部门或者有关保护区域管理机构按照职责分工没收猎获物、猎捕工具和违法所得，吊销特许猎捕证，并处猎获物价值二倍以上十倍以下的罚款；没有猎获物的，并处一万元以上五万元以下的罚款；构成犯罪的，依法追究刑事责任。</w:t>
            </w:r>
          </w:p>
        </w:tc>
        <w:tc>
          <w:tcPr>
            <w:tcW w:w="818" w:type="dxa"/>
            <w:vMerge w:val="restart"/>
            <w:tcBorders>
              <w:tl2br w:val="nil"/>
              <w:tr2bl w:val="nil"/>
            </w:tcBorders>
            <w:tcMar>
              <w:top w:w="57" w:type="dxa"/>
              <w:left w:w="57" w:type="dxa"/>
              <w:bottom w:w="57" w:type="dxa"/>
              <w:right w:w="57" w:type="dxa"/>
            </w:tcMar>
            <w:vAlign w:val="center"/>
          </w:tcPr>
          <w:p>
            <w:pPr>
              <w:widowControl/>
              <w:adjustRightInd w:val="0"/>
              <w:snapToGrid w:val="0"/>
              <w:textAlignment w:val="center"/>
              <w:rPr>
                <w:rFonts w:hint="eastAsia" w:ascii="仿宋_GB2312" w:hAnsi="仿宋_GB2312" w:eastAsia="仿宋_GB2312" w:cs="仿宋_GB2312"/>
                <w:color w:val="000000"/>
                <w:kern w:val="0"/>
                <w:sz w:val="24"/>
                <w:szCs w:val="24"/>
                <w:lang w:val="en-US" w:eastAsia="zh-CN"/>
              </w:rPr>
            </w:pPr>
            <w:r>
              <w:rPr>
                <w:rFonts w:hint="default" w:ascii="仿宋_GB2312" w:hAnsi="仿宋_GB2312" w:eastAsia="仿宋_GB2312" w:cs="仿宋_GB2312"/>
                <w:color w:val="000000"/>
                <w:kern w:val="0"/>
                <w:sz w:val="24"/>
                <w:szCs w:val="24"/>
                <w:lang w:val="en-US" w:eastAsia="zh-CN"/>
              </w:rPr>
              <w:t>较轻</w:t>
            </w:r>
          </w:p>
        </w:tc>
        <w:tc>
          <w:tcPr>
            <w:tcW w:w="1656" w:type="dxa"/>
            <w:vMerge w:val="restart"/>
            <w:tcBorders>
              <w:tl2br w:val="nil"/>
              <w:tr2bl w:val="nil"/>
            </w:tcBorders>
            <w:tcMar>
              <w:top w:w="57" w:type="dxa"/>
              <w:left w:w="57" w:type="dxa"/>
              <w:bottom w:w="57" w:type="dxa"/>
              <w:right w:w="57" w:type="dxa"/>
            </w:tcMar>
            <w:vAlign w:val="center"/>
          </w:tcPr>
          <w:p>
            <w:pPr>
              <w:widowControl/>
              <w:adjustRightInd w:val="0"/>
              <w:snapToGrid w:val="0"/>
              <w:textAlignment w:val="center"/>
              <w:rPr>
                <w:rFonts w:hint="eastAsia" w:ascii="仿宋_GB2312" w:hAnsi="仿宋_GB2312" w:eastAsia="仿宋_GB2312" w:cs="仿宋_GB2312"/>
                <w:color w:val="000000"/>
                <w:kern w:val="0"/>
                <w:sz w:val="24"/>
                <w:szCs w:val="24"/>
                <w:lang w:val="en-US" w:eastAsia="zh-CN"/>
              </w:rPr>
            </w:pPr>
            <w:r>
              <w:rPr>
                <w:rFonts w:hint="default" w:ascii="仿宋_GB2312" w:hAnsi="仿宋_GB2312" w:eastAsia="仿宋_GB2312" w:cs="仿宋_GB2312"/>
                <w:color w:val="000000"/>
                <w:kern w:val="0"/>
                <w:sz w:val="24"/>
                <w:szCs w:val="24"/>
                <w:lang w:val="en-US" w:eastAsia="zh-CN"/>
              </w:rPr>
              <w:t>没有猎获物</w:t>
            </w:r>
          </w:p>
        </w:tc>
        <w:tc>
          <w:tcPr>
            <w:tcW w:w="2775" w:type="dxa"/>
            <w:tcBorders>
              <w:bottom w:val="single" w:color="auto" w:sz="4" w:space="0"/>
              <w:tl2br w:val="nil"/>
              <w:tr2bl w:val="nil"/>
            </w:tcBorders>
            <w:tcMar>
              <w:top w:w="57" w:type="dxa"/>
              <w:left w:w="57" w:type="dxa"/>
              <w:bottom w:w="57" w:type="dxa"/>
              <w:right w:w="57" w:type="dxa"/>
            </w:tcMar>
            <w:vAlign w:val="center"/>
          </w:tcPr>
          <w:p>
            <w:pPr>
              <w:widowControl/>
              <w:adjustRightInd w:val="0"/>
              <w:snapToGrid w:val="0"/>
              <w:textAlignment w:val="center"/>
              <w:rPr>
                <w:rFonts w:hint="eastAsia" w:ascii="仿宋_GB2312" w:hAnsi="仿宋_GB2312" w:eastAsia="仿宋_GB2312" w:cs="仿宋_GB2312"/>
                <w:color w:val="000000"/>
                <w:kern w:val="0"/>
                <w:sz w:val="24"/>
                <w:szCs w:val="24"/>
                <w:lang w:val="en-US" w:eastAsia="zh-CN"/>
              </w:rPr>
            </w:pPr>
            <w:r>
              <w:rPr>
                <w:rFonts w:hint="default" w:ascii="仿宋_GB2312" w:hAnsi="仿宋_GB2312" w:eastAsia="仿宋_GB2312" w:cs="仿宋_GB2312"/>
                <w:color w:val="000000"/>
                <w:kern w:val="0"/>
                <w:sz w:val="24"/>
                <w:szCs w:val="24"/>
                <w:lang w:val="en-US" w:eastAsia="zh-CN"/>
              </w:rPr>
              <w:t>持有特许猎捕证，</w:t>
            </w:r>
            <w:r>
              <w:rPr>
                <w:rFonts w:hint="default" w:ascii="仿宋_GB2312" w:hAnsi="仿宋_GB2312" w:eastAsia="仿宋_GB2312" w:cs="仿宋_GB2312"/>
                <w:color w:val="000000"/>
                <w:kern w:val="0"/>
                <w:sz w:val="24"/>
                <w:szCs w:val="24"/>
                <w:lang w:val="en-US" w:eastAsia="zh-CN"/>
              </w:rPr>
              <w:br w:type="textWrapping"/>
            </w:r>
            <w:r>
              <w:rPr>
                <w:rFonts w:hint="default" w:ascii="仿宋_GB2312" w:hAnsi="仿宋_GB2312" w:eastAsia="仿宋_GB2312" w:cs="仿宋_GB2312"/>
                <w:color w:val="000000"/>
                <w:kern w:val="0"/>
                <w:sz w:val="24"/>
                <w:szCs w:val="24"/>
                <w:lang w:val="en-US" w:eastAsia="zh-CN"/>
              </w:rPr>
              <w:t>并且未使用禁用的工具、方法进行猎捕</w:t>
            </w:r>
          </w:p>
        </w:tc>
        <w:tc>
          <w:tcPr>
            <w:tcW w:w="4011" w:type="dxa"/>
            <w:tcBorders>
              <w:bottom w:val="single" w:color="auto" w:sz="4" w:space="0"/>
              <w:tl2br w:val="nil"/>
              <w:tr2bl w:val="nil"/>
            </w:tcBorders>
            <w:tcMar>
              <w:top w:w="57" w:type="dxa"/>
              <w:left w:w="57" w:type="dxa"/>
              <w:bottom w:w="57" w:type="dxa"/>
              <w:right w:w="57" w:type="dxa"/>
            </w:tcMar>
            <w:vAlign w:val="center"/>
          </w:tcPr>
          <w:p>
            <w:pPr>
              <w:widowControl/>
              <w:adjustRightInd w:val="0"/>
              <w:snapToGrid w:val="0"/>
              <w:textAlignment w:val="center"/>
              <w:rPr>
                <w:rFonts w:hint="eastAsia" w:ascii="仿宋_GB2312" w:hAnsi="仿宋_GB2312" w:eastAsia="仿宋_GB2312" w:cs="仿宋_GB2312"/>
                <w:color w:val="000000"/>
                <w:kern w:val="0"/>
                <w:sz w:val="24"/>
                <w:szCs w:val="24"/>
                <w:lang w:val="en-US" w:eastAsia="zh-CN"/>
              </w:rPr>
            </w:pPr>
            <w:r>
              <w:rPr>
                <w:rFonts w:hint="default" w:ascii="仿宋_GB2312" w:hAnsi="仿宋_GB2312" w:eastAsia="仿宋_GB2312" w:cs="仿宋_GB2312"/>
                <w:color w:val="000000"/>
                <w:kern w:val="0"/>
                <w:sz w:val="24"/>
                <w:szCs w:val="24"/>
                <w:lang w:val="en-US" w:eastAsia="zh-CN"/>
              </w:rPr>
              <w:t>没收猎捕工具，并处一万元以上三万元以下罚款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 w:hRule="atLeast"/>
          <w:jc w:val="center"/>
        </w:trPr>
        <w:tc>
          <w:tcPr>
            <w:tcW w:w="421" w:type="dxa"/>
            <w:vMerge w:val="continue"/>
            <w:tcBorders>
              <w:tl2br w:val="nil"/>
              <w:tr2bl w:val="nil"/>
            </w:tcBorders>
            <w:tcMar>
              <w:top w:w="57" w:type="dxa"/>
              <w:left w:w="57" w:type="dxa"/>
              <w:bottom w:w="57" w:type="dxa"/>
              <w:right w:w="57" w:type="dxa"/>
            </w:tcMar>
            <w:vAlign w:val="center"/>
          </w:tcPr>
          <w:p>
            <w:pPr>
              <w:widowControl/>
              <w:adjustRightInd w:val="0"/>
              <w:snapToGrid w:val="0"/>
              <w:textAlignment w:val="center"/>
              <w:rPr>
                <w:rFonts w:hint="eastAsia" w:ascii="仿宋_GB2312" w:hAnsi="仿宋_GB2312" w:eastAsia="仿宋_GB2312" w:cs="仿宋_GB2312"/>
                <w:color w:val="000000"/>
                <w:kern w:val="0"/>
                <w:sz w:val="24"/>
                <w:szCs w:val="24"/>
                <w:lang w:val="en-US" w:eastAsia="zh-CN"/>
              </w:rPr>
            </w:pPr>
          </w:p>
        </w:tc>
        <w:tc>
          <w:tcPr>
            <w:tcW w:w="1098" w:type="dxa"/>
            <w:vMerge w:val="continue"/>
            <w:tcBorders>
              <w:tl2br w:val="nil"/>
              <w:tr2bl w:val="nil"/>
            </w:tcBorders>
            <w:tcMar>
              <w:top w:w="57" w:type="dxa"/>
              <w:left w:w="57" w:type="dxa"/>
              <w:bottom w:w="57" w:type="dxa"/>
              <w:right w:w="57" w:type="dxa"/>
            </w:tcMar>
            <w:vAlign w:val="center"/>
          </w:tcPr>
          <w:p>
            <w:pPr>
              <w:widowControl/>
              <w:adjustRightInd w:val="0"/>
              <w:snapToGrid w:val="0"/>
              <w:textAlignment w:val="center"/>
              <w:rPr>
                <w:rFonts w:hint="default" w:ascii="仿宋_GB2312" w:hAnsi="仿宋_GB2312" w:eastAsia="仿宋_GB2312" w:cs="仿宋_GB2312"/>
                <w:color w:val="000000"/>
                <w:kern w:val="0"/>
                <w:sz w:val="24"/>
                <w:szCs w:val="24"/>
                <w:lang w:val="en-US" w:eastAsia="zh-CN"/>
              </w:rPr>
            </w:pPr>
          </w:p>
        </w:tc>
        <w:tc>
          <w:tcPr>
            <w:tcW w:w="3221" w:type="dxa"/>
            <w:vMerge w:val="continue"/>
            <w:tcBorders>
              <w:tl2br w:val="nil"/>
              <w:tr2bl w:val="nil"/>
            </w:tcBorders>
            <w:tcMar>
              <w:top w:w="57" w:type="dxa"/>
              <w:left w:w="57" w:type="dxa"/>
              <w:bottom w:w="57" w:type="dxa"/>
              <w:right w:w="57" w:type="dxa"/>
            </w:tcMar>
            <w:vAlign w:val="center"/>
          </w:tcPr>
          <w:p>
            <w:pPr>
              <w:widowControl/>
              <w:adjustRightInd w:val="0"/>
              <w:snapToGrid w:val="0"/>
              <w:textAlignment w:val="center"/>
              <w:rPr>
                <w:rFonts w:hint="default" w:ascii="仿宋_GB2312" w:hAnsi="仿宋_GB2312" w:eastAsia="仿宋_GB2312" w:cs="仿宋_GB2312"/>
                <w:color w:val="000000"/>
                <w:kern w:val="0"/>
                <w:sz w:val="24"/>
                <w:szCs w:val="24"/>
                <w:lang w:val="en-US" w:eastAsia="zh-CN"/>
              </w:rPr>
            </w:pPr>
          </w:p>
        </w:tc>
        <w:tc>
          <w:tcPr>
            <w:tcW w:w="818" w:type="dxa"/>
            <w:vMerge w:val="continue"/>
            <w:tcBorders>
              <w:bottom w:val="single" w:color="auto" w:sz="4" w:space="0"/>
              <w:tl2br w:val="nil"/>
              <w:tr2bl w:val="nil"/>
            </w:tcBorders>
            <w:tcMar>
              <w:top w:w="57" w:type="dxa"/>
              <w:left w:w="57" w:type="dxa"/>
              <w:bottom w:w="57" w:type="dxa"/>
              <w:right w:w="57" w:type="dxa"/>
            </w:tcMar>
            <w:vAlign w:val="center"/>
          </w:tcPr>
          <w:p>
            <w:pPr>
              <w:widowControl/>
              <w:adjustRightInd w:val="0"/>
              <w:snapToGrid w:val="0"/>
              <w:textAlignment w:val="center"/>
              <w:rPr>
                <w:rFonts w:hint="default" w:ascii="仿宋_GB2312" w:hAnsi="仿宋_GB2312" w:eastAsia="仿宋_GB2312" w:cs="仿宋_GB2312"/>
                <w:color w:val="000000"/>
                <w:kern w:val="0"/>
                <w:sz w:val="24"/>
                <w:szCs w:val="24"/>
                <w:lang w:val="en-US" w:eastAsia="zh-CN"/>
              </w:rPr>
            </w:pPr>
          </w:p>
        </w:tc>
        <w:tc>
          <w:tcPr>
            <w:tcW w:w="1656" w:type="dxa"/>
            <w:vMerge w:val="continue"/>
            <w:tcBorders>
              <w:bottom w:val="single" w:color="auto" w:sz="4" w:space="0"/>
              <w:tl2br w:val="nil"/>
              <w:tr2bl w:val="nil"/>
            </w:tcBorders>
            <w:tcMar>
              <w:top w:w="57" w:type="dxa"/>
              <w:left w:w="57" w:type="dxa"/>
              <w:bottom w:w="57" w:type="dxa"/>
              <w:right w:w="57" w:type="dxa"/>
            </w:tcMar>
            <w:vAlign w:val="center"/>
          </w:tcPr>
          <w:p>
            <w:pPr>
              <w:widowControl/>
              <w:adjustRightInd w:val="0"/>
              <w:snapToGrid w:val="0"/>
              <w:textAlignment w:val="center"/>
              <w:rPr>
                <w:rFonts w:hint="default" w:ascii="仿宋_GB2312" w:hAnsi="仿宋_GB2312" w:eastAsia="仿宋_GB2312" w:cs="仿宋_GB2312"/>
                <w:color w:val="000000"/>
                <w:kern w:val="0"/>
                <w:sz w:val="24"/>
                <w:szCs w:val="24"/>
                <w:lang w:val="en-US" w:eastAsia="zh-CN"/>
              </w:rPr>
            </w:pPr>
          </w:p>
        </w:tc>
        <w:tc>
          <w:tcPr>
            <w:tcW w:w="2775" w:type="dxa"/>
            <w:tcBorders>
              <w:top w:val="single" w:color="auto" w:sz="4" w:space="0"/>
              <w:bottom w:val="single" w:color="auto" w:sz="4" w:space="0"/>
              <w:tl2br w:val="nil"/>
              <w:tr2bl w:val="nil"/>
            </w:tcBorders>
            <w:tcMar>
              <w:top w:w="57" w:type="dxa"/>
              <w:left w:w="57" w:type="dxa"/>
              <w:bottom w:w="57" w:type="dxa"/>
              <w:right w:w="57" w:type="dxa"/>
            </w:tcMar>
            <w:vAlign w:val="center"/>
          </w:tcPr>
          <w:p>
            <w:pPr>
              <w:widowControl/>
              <w:adjustRightInd w:val="0"/>
              <w:snapToGrid w:val="0"/>
              <w:textAlignment w:val="center"/>
              <w:rPr>
                <w:rFonts w:hint="eastAsia" w:ascii="仿宋_GB2312" w:hAnsi="仿宋_GB2312" w:eastAsia="仿宋_GB2312" w:cs="仿宋_GB2312"/>
                <w:color w:val="000000"/>
                <w:kern w:val="0"/>
                <w:sz w:val="24"/>
                <w:szCs w:val="24"/>
                <w:lang w:val="en-US" w:eastAsia="zh-CN"/>
              </w:rPr>
            </w:pPr>
            <w:r>
              <w:rPr>
                <w:rFonts w:hint="default" w:ascii="仿宋_GB2312" w:hAnsi="仿宋_GB2312" w:eastAsia="仿宋_GB2312" w:cs="仿宋_GB2312"/>
                <w:color w:val="000000"/>
                <w:kern w:val="0"/>
                <w:sz w:val="24"/>
                <w:szCs w:val="24"/>
                <w:lang w:val="en-US" w:eastAsia="zh-CN"/>
              </w:rPr>
              <w:t>未持有特许猎捕证，</w:t>
            </w:r>
            <w:r>
              <w:rPr>
                <w:rFonts w:hint="default" w:ascii="仿宋_GB2312" w:hAnsi="仿宋_GB2312" w:eastAsia="仿宋_GB2312" w:cs="仿宋_GB2312"/>
                <w:color w:val="000000"/>
                <w:kern w:val="0"/>
                <w:sz w:val="24"/>
                <w:szCs w:val="24"/>
                <w:lang w:val="en-US" w:eastAsia="zh-CN"/>
              </w:rPr>
              <w:br w:type="textWrapping"/>
            </w:r>
            <w:r>
              <w:rPr>
                <w:rFonts w:hint="default" w:ascii="仿宋_GB2312" w:hAnsi="仿宋_GB2312" w:eastAsia="仿宋_GB2312" w:cs="仿宋_GB2312"/>
                <w:color w:val="000000"/>
                <w:kern w:val="0"/>
                <w:sz w:val="24"/>
                <w:szCs w:val="24"/>
                <w:lang w:val="en-US" w:eastAsia="zh-CN"/>
              </w:rPr>
              <w:t>或使用禁用工具、方法进行猎捕</w:t>
            </w:r>
          </w:p>
        </w:tc>
        <w:tc>
          <w:tcPr>
            <w:tcW w:w="4011" w:type="dxa"/>
            <w:tcBorders>
              <w:top w:val="single" w:color="auto" w:sz="4" w:space="0"/>
              <w:bottom w:val="single" w:color="auto" w:sz="4" w:space="0"/>
              <w:tl2br w:val="nil"/>
              <w:tr2bl w:val="nil"/>
            </w:tcBorders>
            <w:tcMar>
              <w:top w:w="57" w:type="dxa"/>
              <w:left w:w="57" w:type="dxa"/>
              <w:bottom w:w="57" w:type="dxa"/>
              <w:right w:w="57" w:type="dxa"/>
            </w:tcMar>
            <w:vAlign w:val="center"/>
          </w:tcPr>
          <w:p>
            <w:pPr>
              <w:widowControl/>
              <w:adjustRightInd w:val="0"/>
              <w:snapToGrid w:val="0"/>
              <w:textAlignment w:val="center"/>
              <w:rPr>
                <w:rFonts w:hint="eastAsia" w:ascii="仿宋_GB2312" w:hAnsi="仿宋_GB2312" w:eastAsia="仿宋_GB2312" w:cs="仿宋_GB2312"/>
                <w:color w:val="000000"/>
                <w:kern w:val="0"/>
                <w:sz w:val="24"/>
                <w:szCs w:val="24"/>
                <w:lang w:val="en-US" w:eastAsia="zh-CN"/>
              </w:rPr>
            </w:pPr>
            <w:r>
              <w:rPr>
                <w:rFonts w:hint="default" w:ascii="仿宋_GB2312" w:hAnsi="仿宋_GB2312" w:eastAsia="仿宋_GB2312" w:cs="仿宋_GB2312"/>
                <w:color w:val="000000"/>
                <w:kern w:val="0"/>
                <w:sz w:val="24"/>
                <w:szCs w:val="24"/>
                <w:lang w:val="en-US" w:eastAsia="zh-CN"/>
              </w:rPr>
              <w:t>没收猎捕工具，并处三万元以上不超过五万元罚款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8" w:hRule="atLeast"/>
          <w:jc w:val="center"/>
        </w:trPr>
        <w:tc>
          <w:tcPr>
            <w:tcW w:w="421" w:type="dxa"/>
            <w:vMerge w:val="continue"/>
            <w:tcBorders>
              <w:tl2br w:val="nil"/>
              <w:tr2bl w:val="nil"/>
            </w:tcBorders>
            <w:tcMar>
              <w:top w:w="57" w:type="dxa"/>
              <w:left w:w="57" w:type="dxa"/>
              <w:bottom w:w="57" w:type="dxa"/>
              <w:right w:w="57" w:type="dxa"/>
            </w:tcMar>
            <w:vAlign w:val="center"/>
          </w:tcPr>
          <w:p>
            <w:pPr>
              <w:widowControl/>
              <w:adjustRightInd w:val="0"/>
              <w:snapToGrid w:val="0"/>
              <w:textAlignment w:val="center"/>
              <w:rPr>
                <w:rFonts w:hint="eastAsia" w:ascii="仿宋_GB2312" w:hAnsi="仿宋_GB2312" w:eastAsia="仿宋_GB2312" w:cs="仿宋_GB2312"/>
                <w:color w:val="000000"/>
                <w:kern w:val="0"/>
                <w:sz w:val="24"/>
                <w:szCs w:val="24"/>
                <w:lang w:val="en-US" w:eastAsia="zh-CN"/>
              </w:rPr>
            </w:pPr>
          </w:p>
        </w:tc>
        <w:tc>
          <w:tcPr>
            <w:tcW w:w="1098" w:type="dxa"/>
            <w:vMerge w:val="continue"/>
            <w:tcBorders>
              <w:tl2br w:val="nil"/>
              <w:tr2bl w:val="nil"/>
            </w:tcBorders>
            <w:tcMar>
              <w:top w:w="57" w:type="dxa"/>
              <w:left w:w="57" w:type="dxa"/>
              <w:bottom w:w="57" w:type="dxa"/>
              <w:right w:w="57" w:type="dxa"/>
            </w:tcMar>
            <w:vAlign w:val="center"/>
          </w:tcPr>
          <w:p>
            <w:pPr>
              <w:widowControl/>
              <w:adjustRightInd w:val="0"/>
              <w:snapToGrid w:val="0"/>
              <w:textAlignment w:val="center"/>
              <w:rPr>
                <w:rFonts w:hint="default" w:ascii="仿宋_GB2312" w:hAnsi="仿宋_GB2312" w:eastAsia="仿宋_GB2312" w:cs="仿宋_GB2312"/>
                <w:color w:val="000000"/>
                <w:kern w:val="0"/>
                <w:sz w:val="24"/>
                <w:szCs w:val="24"/>
                <w:lang w:val="en-US" w:eastAsia="zh-CN"/>
              </w:rPr>
            </w:pPr>
          </w:p>
        </w:tc>
        <w:tc>
          <w:tcPr>
            <w:tcW w:w="3221" w:type="dxa"/>
            <w:vMerge w:val="continue"/>
            <w:tcBorders>
              <w:tl2br w:val="nil"/>
              <w:tr2bl w:val="nil"/>
            </w:tcBorders>
            <w:tcMar>
              <w:top w:w="57" w:type="dxa"/>
              <w:left w:w="57" w:type="dxa"/>
              <w:bottom w:w="57" w:type="dxa"/>
              <w:right w:w="57" w:type="dxa"/>
            </w:tcMar>
            <w:vAlign w:val="center"/>
          </w:tcPr>
          <w:p>
            <w:pPr>
              <w:widowControl/>
              <w:adjustRightInd w:val="0"/>
              <w:snapToGrid w:val="0"/>
              <w:textAlignment w:val="center"/>
              <w:rPr>
                <w:rFonts w:hint="default" w:ascii="仿宋_GB2312" w:hAnsi="仿宋_GB2312" w:eastAsia="仿宋_GB2312" w:cs="仿宋_GB2312"/>
                <w:color w:val="000000"/>
                <w:kern w:val="0"/>
                <w:sz w:val="24"/>
                <w:szCs w:val="24"/>
                <w:lang w:val="en-US" w:eastAsia="zh-CN"/>
              </w:rPr>
            </w:pPr>
          </w:p>
        </w:tc>
        <w:tc>
          <w:tcPr>
            <w:tcW w:w="818" w:type="dxa"/>
            <w:vMerge w:val="restart"/>
            <w:tcBorders>
              <w:top w:val="single" w:color="auto" w:sz="4" w:space="0"/>
              <w:tl2br w:val="nil"/>
              <w:tr2bl w:val="nil"/>
            </w:tcBorders>
            <w:tcMar>
              <w:top w:w="57" w:type="dxa"/>
              <w:left w:w="57" w:type="dxa"/>
              <w:bottom w:w="57" w:type="dxa"/>
              <w:right w:w="57" w:type="dxa"/>
            </w:tcMar>
            <w:vAlign w:val="center"/>
          </w:tcPr>
          <w:p>
            <w:pPr>
              <w:widowControl/>
              <w:adjustRightInd w:val="0"/>
              <w:snapToGrid w:val="0"/>
              <w:textAlignment w:val="center"/>
              <w:rPr>
                <w:rFonts w:hint="eastAsia" w:ascii="仿宋_GB2312" w:hAnsi="仿宋_GB2312" w:eastAsia="仿宋_GB2312" w:cs="仿宋_GB2312"/>
                <w:color w:val="000000"/>
                <w:kern w:val="0"/>
                <w:sz w:val="24"/>
                <w:szCs w:val="24"/>
                <w:lang w:val="en-US" w:eastAsia="zh-CN"/>
              </w:rPr>
            </w:pPr>
            <w:r>
              <w:rPr>
                <w:rFonts w:hint="default" w:ascii="仿宋_GB2312" w:hAnsi="仿宋_GB2312" w:eastAsia="仿宋_GB2312" w:cs="仿宋_GB2312"/>
                <w:color w:val="000000"/>
                <w:kern w:val="0"/>
                <w:sz w:val="24"/>
                <w:szCs w:val="24"/>
                <w:lang w:val="en-US" w:eastAsia="zh-CN"/>
              </w:rPr>
              <w:t>一般</w:t>
            </w:r>
          </w:p>
        </w:tc>
        <w:tc>
          <w:tcPr>
            <w:tcW w:w="1656" w:type="dxa"/>
            <w:vMerge w:val="restart"/>
            <w:tcBorders>
              <w:top w:val="single" w:color="auto" w:sz="4" w:space="0"/>
              <w:tl2br w:val="nil"/>
              <w:tr2bl w:val="nil"/>
            </w:tcBorders>
            <w:tcMar>
              <w:top w:w="57" w:type="dxa"/>
              <w:left w:w="57" w:type="dxa"/>
              <w:bottom w:w="57" w:type="dxa"/>
              <w:right w:w="57" w:type="dxa"/>
            </w:tcMar>
            <w:vAlign w:val="center"/>
          </w:tcPr>
          <w:p>
            <w:pPr>
              <w:widowControl/>
              <w:adjustRightInd w:val="0"/>
              <w:snapToGrid w:val="0"/>
              <w:textAlignment w:val="center"/>
              <w:rPr>
                <w:rFonts w:hint="eastAsia" w:ascii="仿宋_GB2312" w:hAnsi="仿宋_GB2312" w:eastAsia="仿宋_GB2312" w:cs="仿宋_GB2312"/>
                <w:color w:val="000000"/>
                <w:kern w:val="0"/>
                <w:sz w:val="24"/>
                <w:szCs w:val="24"/>
                <w:lang w:val="en-US" w:eastAsia="zh-CN"/>
              </w:rPr>
            </w:pPr>
            <w:r>
              <w:rPr>
                <w:rFonts w:hint="default" w:ascii="仿宋_GB2312" w:hAnsi="仿宋_GB2312" w:eastAsia="仿宋_GB2312" w:cs="仿宋_GB2312"/>
                <w:color w:val="000000"/>
                <w:kern w:val="0"/>
                <w:sz w:val="24"/>
                <w:szCs w:val="24"/>
                <w:lang w:val="en-US" w:eastAsia="zh-CN"/>
              </w:rPr>
              <w:t>价值一万元以下</w:t>
            </w:r>
          </w:p>
        </w:tc>
        <w:tc>
          <w:tcPr>
            <w:tcW w:w="2775" w:type="dxa"/>
            <w:tcBorders>
              <w:top w:val="single" w:color="auto" w:sz="4" w:space="0"/>
              <w:bottom w:val="single" w:color="auto" w:sz="4" w:space="0"/>
              <w:tl2br w:val="nil"/>
              <w:tr2bl w:val="nil"/>
            </w:tcBorders>
            <w:tcMar>
              <w:top w:w="57" w:type="dxa"/>
              <w:left w:w="57" w:type="dxa"/>
              <w:bottom w:w="57" w:type="dxa"/>
              <w:right w:w="57" w:type="dxa"/>
            </w:tcMar>
            <w:vAlign w:val="center"/>
          </w:tcPr>
          <w:p>
            <w:pPr>
              <w:widowControl/>
              <w:adjustRightInd w:val="0"/>
              <w:snapToGrid w:val="0"/>
              <w:textAlignment w:val="center"/>
              <w:rPr>
                <w:rFonts w:hint="eastAsia" w:ascii="仿宋_GB2312" w:hAnsi="仿宋_GB2312" w:eastAsia="仿宋_GB2312" w:cs="仿宋_GB2312"/>
                <w:color w:val="000000"/>
                <w:kern w:val="0"/>
                <w:sz w:val="24"/>
                <w:szCs w:val="24"/>
                <w:lang w:val="en-US" w:eastAsia="zh-CN"/>
              </w:rPr>
            </w:pPr>
            <w:r>
              <w:rPr>
                <w:rFonts w:hint="default" w:ascii="仿宋_GB2312" w:hAnsi="仿宋_GB2312" w:eastAsia="仿宋_GB2312" w:cs="仿宋_GB2312"/>
                <w:color w:val="000000"/>
                <w:kern w:val="0"/>
                <w:sz w:val="24"/>
                <w:szCs w:val="24"/>
                <w:lang w:val="en-US" w:eastAsia="zh-CN"/>
              </w:rPr>
              <w:t>价值五千以下</w:t>
            </w:r>
          </w:p>
        </w:tc>
        <w:tc>
          <w:tcPr>
            <w:tcW w:w="4011" w:type="dxa"/>
            <w:tcBorders>
              <w:top w:val="single" w:color="auto" w:sz="4" w:space="0"/>
              <w:bottom w:val="single" w:color="auto" w:sz="4" w:space="0"/>
              <w:tl2br w:val="nil"/>
              <w:tr2bl w:val="nil"/>
            </w:tcBorders>
            <w:tcMar>
              <w:top w:w="57" w:type="dxa"/>
              <w:left w:w="57" w:type="dxa"/>
              <w:bottom w:w="57" w:type="dxa"/>
              <w:right w:w="57" w:type="dxa"/>
            </w:tcMar>
            <w:vAlign w:val="center"/>
          </w:tcPr>
          <w:p>
            <w:pPr>
              <w:widowControl/>
              <w:adjustRightInd w:val="0"/>
              <w:snapToGrid w:val="0"/>
              <w:textAlignment w:val="center"/>
              <w:rPr>
                <w:rFonts w:hint="eastAsia" w:ascii="仿宋_GB2312" w:hAnsi="仿宋_GB2312" w:eastAsia="仿宋_GB2312" w:cs="仿宋_GB2312"/>
                <w:color w:val="000000"/>
                <w:kern w:val="0"/>
                <w:sz w:val="24"/>
                <w:szCs w:val="24"/>
                <w:lang w:val="en-US" w:eastAsia="zh-CN"/>
              </w:rPr>
            </w:pPr>
            <w:r>
              <w:rPr>
                <w:rFonts w:hint="default" w:ascii="仿宋_GB2312" w:hAnsi="仿宋_GB2312" w:eastAsia="仿宋_GB2312" w:cs="仿宋_GB2312"/>
                <w:color w:val="000000"/>
                <w:kern w:val="0"/>
                <w:sz w:val="24"/>
                <w:szCs w:val="24"/>
                <w:lang w:val="en-US" w:eastAsia="zh-CN"/>
              </w:rPr>
              <w:t>没收猎获物、猎捕工具和违法所得，吊销特许猎捕证，并处猎获物价值二倍以上四倍以下罚款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jc w:val="center"/>
        </w:trPr>
        <w:tc>
          <w:tcPr>
            <w:tcW w:w="421" w:type="dxa"/>
            <w:vMerge w:val="continue"/>
            <w:tcBorders>
              <w:tl2br w:val="nil"/>
              <w:tr2bl w:val="nil"/>
            </w:tcBorders>
            <w:tcMar>
              <w:top w:w="57" w:type="dxa"/>
              <w:left w:w="57" w:type="dxa"/>
              <w:bottom w:w="57" w:type="dxa"/>
              <w:right w:w="57" w:type="dxa"/>
            </w:tcMar>
            <w:vAlign w:val="center"/>
          </w:tcPr>
          <w:p>
            <w:pPr>
              <w:widowControl/>
              <w:adjustRightInd w:val="0"/>
              <w:snapToGrid w:val="0"/>
              <w:textAlignment w:val="center"/>
              <w:rPr>
                <w:rFonts w:hint="eastAsia" w:ascii="仿宋_GB2312" w:hAnsi="仿宋_GB2312" w:eastAsia="仿宋_GB2312" w:cs="仿宋_GB2312"/>
                <w:color w:val="000000"/>
                <w:kern w:val="0"/>
                <w:sz w:val="24"/>
                <w:szCs w:val="24"/>
                <w:lang w:val="en-US" w:eastAsia="zh-CN"/>
              </w:rPr>
            </w:pPr>
          </w:p>
        </w:tc>
        <w:tc>
          <w:tcPr>
            <w:tcW w:w="1098" w:type="dxa"/>
            <w:vMerge w:val="continue"/>
            <w:tcBorders>
              <w:tl2br w:val="nil"/>
              <w:tr2bl w:val="nil"/>
            </w:tcBorders>
            <w:tcMar>
              <w:top w:w="57" w:type="dxa"/>
              <w:left w:w="57" w:type="dxa"/>
              <w:bottom w:w="57" w:type="dxa"/>
              <w:right w:w="57" w:type="dxa"/>
            </w:tcMar>
            <w:vAlign w:val="center"/>
          </w:tcPr>
          <w:p>
            <w:pPr>
              <w:widowControl/>
              <w:adjustRightInd w:val="0"/>
              <w:snapToGrid w:val="0"/>
              <w:textAlignment w:val="center"/>
              <w:rPr>
                <w:rFonts w:hint="default" w:ascii="仿宋_GB2312" w:hAnsi="仿宋_GB2312" w:eastAsia="仿宋_GB2312" w:cs="仿宋_GB2312"/>
                <w:color w:val="000000"/>
                <w:kern w:val="0"/>
                <w:sz w:val="24"/>
                <w:szCs w:val="24"/>
                <w:lang w:val="en-US" w:eastAsia="zh-CN"/>
              </w:rPr>
            </w:pPr>
          </w:p>
        </w:tc>
        <w:tc>
          <w:tcPr>
            <w:tcW w:w="3221" w:type="dxa"/>
            <w:vMerge w:val="continue"/>
            <w:tcBorders>
              <w:tl2br w:val="nil"/>
              <w:tr2bl w:val="nil"/>
            </w:tcBorders>
            <w:tcMar>
              <w:top w:w="57" w:type="dxa"/>
              <w:left w:w="57" w:type="dxa"/>
              <w:bottom w:w="57" w:type="dxa"/>
              <w:right w:w="57" w:type="dxa"/>
            </w:tcMar>
            <w:vAlign w:val="center"/>
          </w:tcPr>
          <w:p>
            <w:pPr>
              <w:widowControl/>
              <w:adjustRightInd w:val="0"/>
              <w:snapToGrid w:val="0"/>
              <w:textAlignment w:val="center"/>
              <w:rPr>
                <w:rFonts w:hint="default" w:ascii="仿宋_GB2312" w:hAnsi="仿宋_GB2312" w:eastAsia="仿宋_GB2312" w:cs="仿宋_GB2312"/>
                <w:color w:val="000000"/>
                <w:kern w:val="0"/>
                <w:sz w:val="24"/>
                <w:szCs w:val="24"/>
                <w:lang w:val="en-US" w:eastAsia="zh-CN"/>
              </w:rPr>
            </w:pPr>
          </w:p>
        </w:tc>
        <w:tc>
          <w:tcPr>
            <w:tcW w:w="818" w:type="dxa"/>
            <w:vMerge w:val="continue"/>
            <w:tcBorders>
              <w:bottom w:val="single" w:color="auto" w:sz="4" w:space="0"/>
              <w:tl2br w:val="nil"/>
              <w:tr2bl w:val="nil"/>
            </w:tcBorders>
            <w:tcMar>
              <w:top w:w="57" w:type="dxa"/>
              <w:left w:w="57" w:type="dxa"/>
              <w:bottom w:w="57" w:type="dxa"/>
              <w:right w:w="57" w:type="dxa"/>
            </w:tcMar>
            <w:vAlign w:val="center"/>
          </w:tcPr>
          <w:p>
            <w:pPr>
              <w:widowControl/>
              <w:adjustRightInd w:val="0"/>
              <w:snapToGrid w:val="0"/>
              <w:textAlignment w:val="center"/>
              <w:rPr>
                <w:rFonts w:hint="default" w:ascii="仿宋_GB2312" w:hAnsi="仿宋_GB2312" w:eastAsia="仿宋_GB2312" w:cs="仿宋_GB2312"/>
                <w:color w:val="000000"/>
                <w:kern w:val="0"/>
                <w:sz w:val="24"/>
                <w:szCs w:val="24"/>
                <w:lang w:val="en-US" w:eastAsia="zh-CN"/>
              </w:rPr>
            </w:pPr>
          </w:p>
        </w:tc>
        <w:tc>
          <w:tcPr>
            <w:tcW w:w="1656" w:type="dxa"/>
            <w:vMerge w:val="continue"/>
            <w:tcBorders>
              <w:bottom w:val="single" w:color="auto" w:sz="4" w:space="0"/>
              <w:tl2br w:val="nil"/>
              <w:tr2bl w:val="nil"/>
            </w:tcBorders>
            <w:tcMar>
              <w:top w:w="57" w:type="dxa"/>
              <w:left w:w="57" w:type="dxa"/>
              <w:bottom w:w="57" w:type="dxa"/>
              <w:right w:w="57" w:type="dxa"/>
            </w:tcMar>
            <w:vAlign w:val="center"/>
          </w:tcPr>
          <w:p>
            <w:pPr>
              <w:widowControl/>
              <w:adjustRightInd w:val="0"/>
              <w:snapToGrid w:val="0"/>
              <w:textAlignment w:val="center"/>
              <w:rPr>
                <w:rFonts w:hint="default" w:ascii="仿宋_GB2312" w:hAnsi="仿宋_GB2312" w:eastAsia="仿宋_GB2312" w:cs="仿宋_GB2312"/>
                <w:color w:val="000000"/>
                <w:kern w:val="0"/>
                <w:sz w:val="24"/>
                <w:szCs w:val="24"/>
                <w:lang w:val="en-US" w:eastAsia="zh-CN"/>
              </w:rPr>
            </w:pPr>
          </w:p>
        </w:tc>
        <w:tc>
          <w:tcPr>
            <w:tcW w:w="2775" w:type="dxa"/>
            <w:tcBorders>
              <w:top w:val="single" w:color="auto" w:sz="4" w:space="0"/>
              <w:bottom w:val="single" w:color="auto" w:sz="4" w:space="0"/>
              <w:tl2br w:val="nil"/>
              <w:tr2bl w:val="nil"/>
            </w:tcBorders>
            <w:tcMar>
              <w:top w:w="57" w:type="dxa"/>
              <w:left w:w="57" w:type="dxa"/>
              <w:bottom w:w="57" w:type="dxa"/>
              <w:right w:w="57" w:type="dxa"/>
            </w:tcMar>
            <w:vAlign w:val="center"/>
          </w:tcPr>
          <w:p>
            <w:pPr>
              <w:widowControl/>
              <w:adjustRightInd w:val="0"/>
              <w:snapToGrid w:val="0"/>
              <w:textAlignment w:val="center"/>
              <w:rPr>
                <w:rFonts w:hint="eastAsia" w:ascii="仿宋_GB2312" w:hAnsi="仿宋_GB2312" w:eastAsia="仿宋_GB2312" w:cs="仿宋_GB2312"/>
                <w:color w:val="000000"/>
                <w:kern w:val="0"/>
                <w:sz w:val="24"/>
                <w:szCs w:val="24"/>
                <w:lang w:val="en-US" w:eastAsia="zh-CN"/>
              </w:rPr>
            </w:pPr>
            <w:r>
              <w:rPr>
                <w:rFonts w:hint="default" w:ascii="仿宋_GB2312" w:hAnsi="仿宋_GB2312" w:eastAsia="仿宋_GB2312" w:cs="仿宋_GB2312"/>
                <w:color w:val="000000"/>
                <w:kern w:val="0"/>
                <w:sz w:val="24"/>
                <w:szCs w:val="24"/>
                <w:lang w:val="en-US" w:eastAsia="zh-CN"/>
              </w:rPr>
              <w:t>价值五千以上一万元以下</w:t>
            </w:r>
          </w:p>
        </w:tc>
        <w:tc>
          <w:tcPr>
            <w:tcW w:w="4011" w:type="dxa"/>
            <w:tcBorders>
              <w:top w:val="single" w:color="auto" w:sz="4" w:space="0"/>
              <w:bottom w:val="single" w:color="auto" w:sz="4" w:space="0"/>
              <w:tl2br w:val="nil"/>
              <w:tr2bl w:val="nil"/>
            </w:tcBorders>
            <w:tcMar>
              <w:top w:w="57" w:type="dxa"/>
              <w:left w:w="57" w:type="dxa"/>
              <w:bottom w:w="57" w:type="dxa"/>
              <w:right w:w="57" w:type="dxa"/>
            </w:tcMar>
            <w:vAlign w:val="center"/>
          </w:tcPr>
          <w:p>
            <w:pPr>
              <w:widowControl/>
              <w:adjustRightInd w:val="0"/>
              <w:snapToGrid w:val="0"/>
              <w:textAlignment w:val="center"/>
              <w:rPr>
                <w:rFonts w:hint="eastAsia" w:ascii="仿宋_GB2312" w:hAnsi="仿宋_GB2312" w:eastAsia="仿宋_GB2312" w:cs="仿宋_GB2312"/>
                <w:color w:val="000000"/>
                <w:kern w:val="0"/>
                <w:sz w:val="24"/>
                <w:szCs w:val="24"/>
                <w:lang w:val="en-US" w:eastAsia="zh-CN"/>
              </w:rPr>
            </w:pPr>
            <w:r>
              <w:rPr>
                <w:rFonts w:hint="default" w:ascii="仿宋_GB2312" w:hAnsi="仿宋_GB2312" w:eastAsia="仿宋_GB2312" w:cs="仿宋_GB2312"/>
                <w:color w:val="000000"/>
                <w:kern w:val="0"/>
                <w:sz w:val="24"/>
                <w:szCs w:val="24"/>
                <w:lang w:val="en-US" w:eastAsia="zh-CN"/>
              </w:rPr>
              <w:t>没收猎获物、猎捕工具和违法所得，吊销特许猎捕证，并处猎获物价值四倍以上六倍以下罚款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9" w:hRule="atLeast"/>
          <w:jc w:val="center"/>
        </w:trPr>
        <w:tc>
          <w:tcPr>
            <w:tcW w:w="421" w:type="dxa"/>
            <w:vMerge w:val="continue"/>
            <w:tcBorders>
              <w:tl2br w:val="nil"/>
              <w:tr2bl w:val="nil"/>
            </w:tcBorders>
            <w:tcMar>
              <w:top w:w="57" w:type="dxa"/>
              <w:left w:w="57" w:type="dxa"/>
              <w:bottom w:w="57" w:type="dxa"/>
              <w:right w:w="57" w:type="dxa"/>
            </w:tcMar>
            <w:vAlign w:val="center"/>
          </w:tcPr>
          <w:p>
            <w:pPr>
              <w:widowControl/>
              <w:adjustRightInd w:val="0"/>
              <w:snapToGrid w:val="0"/>
              <w:textAlignment w:val="center"/>
              <w:rPr>
                <w:rFonts w:hint="eastAsia" w:ascii="仿宋_GB2312" w:hAnsi="仿宋_GB2312" w:eastAsia="仿宋_GB2312" w:cs="仿宋_GB2312"/>
                <w:color w:val="000000"/>
                <w:kern w:val="0"/>
                <w:sz w:val="24"/>
                <w:szCs w:val="24"/>
                <w:lang w:val="en-US" w:eastAsia="zh-CN"/>
              </w:rPr>
            </w:pPr>
          </w:p>
        </w:tc>
        <w:tc>
          <w:tcPr>
            <w:tcW w:w="1098" w:type="dxa"/>
            <w:vMerge w:val="continue"/>
            <w:tcBorders>
              <w:tl2br w:val="nil"/>
              <w:tr2bl w:val="nil"/>
            </w:tcBorders>
            <w:tcMar>
              <w:top w:w="57" w:type="dxa"/>
              <w:left w:w="57" w:type="dxa"/>
              <w:bottom w:w="57" w:type="dxa"/>
              <w:right w:w="57" w:type="dxa"/>
            </w:tcMar>
            <w:vAlign w:val="center"/>
          </w:tcPr>
          <w:p>
            <w:pPr>
              <w:widowControl/>
              <w:adjustRightInd w:val="0"/>
              <w:snapToGrid w:val="0"/>
              <w:textAlignment w:val="center"/>
              <w:rPr>
                <w:rFonts w:hint="default" w:ascii="仿宋_GB2312" w:hAnsi="仿宋_GB2312" w:eastAsia="仿宋_GB2312" w:cs="仿宋_GB2312"/>
                <w:color w:val="000000"/>
                <w:kern w:val="0"/>
                <w:sz w:val="24"/>
                <w:szCs w:val="24"/>
                <w:lang w:val="en-US" w:eastAsia="zh-CN"/>
              </w:rPr>
            </w:pPr>
          </w:p>
        </w:tc>
        <w:tc>
          <w:tcPr>
            <w:tcW w:w="3221" w:type="dxa"/>
            <w:vMerge w:val="continue"/>
            <w:tcBorders>
              <w:tl2br w:val="nil"/>
              <w:tr2bl w:val="nil"/>
            </w:tcBorders>
            <w:tcMar>
              <w:top w:w="57" w:type="dxa"/>
              <w:left w:w="57" w:type="dxa"/>
              <w:bottom w:w="57" w:type="dxa"/>
              <w:right w:w="57" w:type="dxa"/>
            </w:tcMar>
            <w:vAlign w:val="center"/>
          </w:tcPr>
          <w:p>
            <w:pPr>
              <w:widowControl/>
              <w:adjustRightInd w:val="0"/>
              <w:snapToGrid w:val="0"/>
              <w:textAlignment w:val="center"/>
              <w:rPr>
                <w:rFonts w:hint="default" w:ascii="仿宋_GB2312" w:hAnsi="仿宋_GB2312" w:eastAsia="仿宋_GB2312" w:cs="仿宋_GB2312"/>
                <w:color w:val="000000"/>
                <w:kern w:val="0"/>
                <w:sz w:val="24"/>
                <w:szCs w:val="24"/>
                <w:lang w:val="en-US" w:eastAsia="zh-CN"/>
              </w:rPr>
            </w:pPr>
          </w:p>
        </w:tc>
        <w:tc>
          <w:tcPr>
            <w:tcW w:w="818" w:type="dxa"/>
            <w:vMerge w:val="restart"/>
            <w:tcBorders>
              <w:top w:val="single" w:color="auto" w:sz="4" w:space="0"/>
              <w:tl2br w:val="nil"/>
              <w:tr2bl w:val="nil"/>
            </w:tcBorders>
            <w:tcMar>
              <w:top w:w="57" w:type="dxa"/>
              <w:left w:w="57" w:type="dxa"/>
              <w:bottom w:w="57" w:type="dxa"/>
              <w:right w:w="57" w:type="dxa"/>
            </w:tcMar>
            <w:vAlign w:val="center"/>
          </w:tcPr>
          <w:p>
            <w:pPr>
              <w:widowControl/>
              <w:adjustRightInd w:val="0"/>
              <w:snapToGrid w:val="0"/>
              <w:textAlignment w:val="center"/>
              <w:rPr>
                <w:rFonts w:hint="eastAsia" w:ascii="仿宋_GB2312" w:hAnsi="仿宋_GB2312" w:eastAsia="仿宋_GB2312" w:cs="仿宋_GB2312"/>
                <w:color w:val="000000"/>
                <w:kern w:val="0"/>
                <w:sz w:val="24"/>
                <w:szCs w:val="24"/>
                <w:lang w:val="en-US" w:eastAsia="zh-CN"/>
              </w:rPr>
            </w:pPr>
            <w:r>
              <w:rPr>
                <w:rFonts w:hint="default" w:ascii="仿宋_GB2312" w:hAnsi="仿宋_GB2312" w:eastAsia="仿宋_GB2312" w:cs="仿宋_GB2312"/>
                <w:color w:val="000000"/>
                <w:kern w:val="0"/>
                <w:sz w:val="24"/>
                <w:szCs w:val="24"/>
                <w:lang w:val="en-US" w:eastAsia="zh-CN"/>
              </w:rPr>
              <w:t>严重</w:t>
            </w:r>
          </w:p>
        </w:tc>
        <w:tc>
          <w:tcPr>
            <w:tcW w:w="1656" w:type="dxa"/>
            <w:vMerge w:val="restart"/>
            <w:tcBorders>
              <w:top w:val="single" w:color="auto" w:sz="4" w:space="0"/>
              <w:tl2br w:val="nil"/>
              <w:tr2bl w:val="nil"/>
            </w:tcBorders>
            <w:tcMar>
              <w:top w:w="57" w:type="dxa"/>
              <w:left w:w="57" w:type="dxa"/>
              <w:bottom w:w="57" w:type="dxa"/>
              <w:right w:w="57" w:type="dxa"/>
            </w:tcMar>
            <w:vAlign w:val="center"/>
          </w:tcPr>
          <w:p>
            <w:pPr>
              <w:widowControl/>
              <w:adjustRightInd w:val="0"/>
              <w:snapToGrid w:val="0"/>
              <w:textAlignment w:val="center"/>
              <w:rPr>
                <w:rFonts w:hint="eastAsia" w:ascii="仿宋_GB2312" w:hAnsi="仿宋_GB2312" w:eastAsia="仿宋_GB2312" w:cs="仿宋_GB2312"/>
                <w:color w:val="000000"/>
                <w:kern w:val="0"/>
                <w:sz w:val="24"/>
                <w:szCs w:val="24"/>
                <w:lang w:val="en-US" w:eastAsia="zh-CN"/>
              </w:rPr>
            </w:pPr>
            <w:r>
              <w:rPr>
                <w:rFonts w:hint="default" w:ascii="仿宋_GB2312" w:hAnsi="仿宋_GB2312" w:eastAsia="仿宋_GB2312" w:cs="仿宋_GB2312"/>
                <w:color w:val="000000"/>
                <w:kern w:val="0"/>
                <w:sz w:val="24"/>
                <w:szCs w:val="24"/>
                <w:lang w:val="en-US" w:eastAsia="zh-CN"/>
              </w:rPr>
              <w:t>价值一万元以上</w:t>
            </w:r>
          </w:p>
        </w:tc>
        <w:tc>
          <w:tcPr>
            <w:tcW w:w="2775" w:type="dxa"/>
            <w:tcBorders>
              <w:top w:val="single" w:color="auto" w:sz="4" w:space="0"/>
              <w:bottom w:val="single" w:color="auto" w:sz="4" w:space="0"/>
              <w:tl2br w:val="nil"/>
              <w:tr2bl w:val="nil"/>
            </w:tcBorders>
            <w:tcMar>
              <w:top w:w="57" w:type="dxa"/>
              <w:left w:w="57" w:type="dxa"/>
              <w:bottom w:w="57" w:type="dxa"/>
              <w:right w:w="57" w:type="dxa"/>
            </w:tcMar>
            <w:vAlign w:val="center"/>
          </w:tcPr>
          <w:p>
            <w:pPr>
              <w:widowControl/>
              <w:adjustRightInd w:val="0"/>
              <w:snapToGrid w:val="0"/>
              <w:textAlignment w:val="center"/>
              <w:rPr>
                <w:rFonts w:hint="eastAsia" w:ascii="仿宋_GB2312" w:hAnsi="仿宋_GB2312" w:eastAsia="仿宋_GB2312" w:cs="仿宋_GB2312"/>
                <w:color w:val="000000"/>
                <w:kern w:val="0"/>
                <w:sz w:val="24"/>
                <w:szCs w:val="24"/>
                <w:lang w:val="en-US" w:eastAsia="zh-CN"/>
              </w:rPr>
            </w:pPr>
            <w:r>
              <w:rPr>
                <w:rFonts w:hint="default" w:ascii="仿宋_GB2312" w:hAnsi="仿宋_GB2312" w:eastAsia="仿宋_GB2312" w:cs="仿宋_GB2312"/>
                <w:color w:val="000000"/>
                <w:kern w:val="0"/>
                <w:sz w:val="24"/>
                <w:szCs w:val="24"/>
                <w:lang w:val="en-US" w:eastAsia="zh-CN"/>
              </w:rPr>
              <w:t>价值一万元以上二万元以下</w:t>
            </w:r>
          </w:p>
        </w:tc>
        <w:tc>
          <w:tcPr>
            <w:tcW w:w="4011" w:type="dxa"/>
            <w:tcBorders>
              <w:top w:val="single" w:color="auto" w:sz="4" w:space="0"/>
              <w:bottom w:val="single" w:color="auto" w:sz="4" w:space="0"/>
              <w:tl2br w:val="nil"/>
              <w:tr2bl w:val="nil"/>
            </w:tcBorders>
            <w:tcMar>
              <w:top w:w="57" w:type="dxa"/>
              <w:left w:w="57" w:type="dxa"/>
              <w:bottom w:w="57" w:type="dxa"/>
              <w:right w:w="57" w:type="dxa"/>
            </w:tcMar>
            <w:vAlign w:val="center"/>
          </w:tcPr>
          <w:p>
            <w:pPr>
              <w:widowControl/>
              <w:adjustRightInd w:val="0"/>
              <w:snapToGrid w:val="0"/>
              <w:textAlignment w:val="center"/>
              <w:rPr>
                <w:rFonts w:hint="eastAsia" w:ascii="仿宋_GB2312" w:hAnsi="仿宋_GB2312" w:eastAsia="仿宋_GB2312" w:cs="仿宋_GB2312"/>
                <w:color w:val="000000"/>
                <w:kern w:val="0"/>
                <w:sz w:val="24"/>
                <w:szCs w:val="24"/>
                <w:lang w:val="en-US" w:eastAsia="zh-CN"/>
              </w:rPr>
            </w:pPr>
            <w:r>
              <w:rPr>
                <w:rFonts w:hint="default" w:ascii="仿宋_GB2312" w:hAnsi="仿宋_GB2312" w:eastAsia="仿宋_GB2312" w:cs="仿宋_GB2312"/>
                <w:color w:val="000000"/>
                <w:kern w:val="0"/>
                <w:sz w:val="24"/>
                <w:szCs w:val="24"/>
                <w:lang w:val="en-US" w:eastAsia="zh-CN"/>
              </w:rPr>
              <w:t>没收猎获物、猎捕工具和违法所得，吊销特许猎捕证，并处猎获物价值六倍以上八倍以下罚款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0" w:hRule="atLeast"/>
          <w:jc w:val="center"/>
        </w:trPr>
        <w:tc>
          <w:tcPr>
            <w:tcW w:w="421" w:type="dxa"/>
            <w:vMerge w:val="continue"/>
            <w:tcBorders>
              <w:tl2br w:val="nil"/>
              <w:tr2bl w:val="nil"/>
            </w:tcBorders>
            <w:tcMar>
              <w:top w:w="57" w:type="dxa"/>
              <w:left w:w="57" w:type="dxa"/>
              <w:bottom w:w="57" w:type="dxa"/>
              <w:right w:w="57" w:type="dxa"/>
            </w:tcMar>
            <w:vAlign w:val="center"/>
          </w:tcPr>
          <w:p>
            <w:pPr>
              <w:widowControl/>
              <w:adjustRightInd w:val="0"/>
              <w:snapToGrid w:val="0"/>
              <w:textAlignment w:val="center"/>
              <w:rPr>
                <w:rFonts w:hint="eastAsia" w:ascii="仿宋_GB2312" w:hAnsi="仿宋_GB2312" w:eastAsia="仿宋_GB2312" w:cs="仿宋_GB2312"/>
                <w:color w:val="000000"/>
                <w:kern w:val="0"/>
                <w:sz w:val="24"/>
                <w:szCs w:val="24"/>
                <w:lang w:val="en-US" w:eastAsia="zh-CN"/>
              </w:rPr>
            </w:pPr>
          </w:p>
        </w:tc>
        <w:tc>
          <w:tcPr>
            <w:tcW w:w="1098" w:type="dxa"/>
            <w:vMerge w:val="continue"/>
            <w:tcBorders>
              <w:tl2br w:val="nil"/>
              <w:tr2bl w:val="nil"/>
            </w:tcBorders>
            <w:tcMar>
              <w:top w:w="57" w:type="dxa"/>
              <w:left w:w="57" w:type="dxa"/>
              <w:bottom w:w="57" w:type="dxa"/>
              <w:right w:w="57" w:type="dxa"/>
            </w:tcMar>
            <w:vAlign w:val="center"/>
          </w:tcPr>
          <w:p>
            <w:pPr>
              <w:widowControl/>
              <w:adjustRightInd w:val="0"/>
              <w:snapToGrid w:val="0"/>
              <w:textAlignment w:val="center"/>
              <w:rPr>
                <w:rFonts w:hint="default" w:ascii="仿宋_GB2312" w:hAnsi="仿宋_GB2312" w:eastAsia="仿宋_GB2312" w:cs="仿宋_GB2312"/>
                <w:color w:val="000000"/>
                <w:kern w:val="0"/>
                <w:sz w:val="24"/>
                <w:szCs w:val="24"/>
                <w:lang w:val="en-US" w:eastAsia="zh-CN"/>
              </w:rPr>
            </w:pPr>
          </w:p>
        </w:tc>
        <w:tc>
          <w:tcPr>
            <w:tcW w:w="3221" w:type="dxa"/>
            <w:vMerge w:val="continue"/>
            <w:tcBorders>
              <w:tl2br w:val="nil"/>
              <w:tr2bl w:val="nil"/>
            </w:tcBorders>
            <w:tcMar>
              <w:top w:w="57" w:type="dxa"/>
              <w:left w:w="57" w:type="dxa"/>
              <w:bottom w:w="57" w:type="dxa"/>
              <w:right w:w="57" w:type="dxa"/>
            </w:tcMar>
            <w:vAlign w:val="center"/>
          </w:tcPr>
          <w:p>
            <w:pPr>
              <w:widowControl/>
              <w:adjustRightInd w:val="0"/>
              <w:snapToGrid w:val="0"/>
              <w:textAlignment w:val="center"/>
              <w:rPr>
                <w:rFonts w:hint="default" w:ascii="仿宋_GB2312" w:hAnsi="仿宋_GB2312" w:eastAsia="仿宋_GB2312" w:cs="仿宋_GB2312"/>
                <w:color w:val="000000"/>
                <w:kern w:val="0"/>
                <w:sz w:val="24"/>
                <w:szCs w:val="24"/>
                <w:lang w:val="en-US" w:eastAsia="zh-CN"/>
              </w:rPr>
            </w:pPr>
          </w:p>
        </w:tc>
        <w:tc>
          <w:tcPr>
            <w:tcW w:w="818" w:type="dxa"/>
            <w:vMerge w:val="continue"/>
            <w:tcBorders>
              <w:tl2br w:val="nil"/>
              <w:tr2bl w:val="nil"/>
            </w:tcBorders>
            <w:tcMar>
              <w:top w:w="57" w:type="dxa"/>
              <w:left w:w="57" w:type="dxa"/>
              <w:bottom w:w="57" w:type="dxa"/>
              <w:right w:w="57" w:type="dxa"/>
            </w:tcMar>
            <w:vAlign w:val="center"/>
          </w:tcPr>
          <w:p>
            <w:pPr>
              <w:widowControl/>
              <w:adjustRightInd w:val="0"/>
              <w:snapToGrid w:val="0"/>
              <w:textAlignment w:val="center"/>
              <w:rPr>
                <w:rFonts w:hint="default" w:ascii="仿宋_GB2312" w:hAnsi="仿宋_GB2312" w:eastAsia="仿宋_GB2312" w:cs="仿宋_GB2312"/>
                <w:color w:val="000000"/>
                <w:kern w:val="0"/>
                <w:sz w:val="24"/>
                <w:szCs w:val="24"/>
                <w:lang w:val="en-US" w:eastAsia="zh-CN"/>
              </w:rPr>
            </w:pPr>
          </w:p>
        </w:tc>
        <w:tc>
          <w:tcPr>
            <w:tcW w:w="1656" w:type="dxa"/>
            <w:vMerge w:val="continue"/>
            <w:tcBorders>
              <w:tl2br w:val="nil"/>
              <w:tr2bl w:val="nil"/>
            </w:tcBorders>
            <w:tcMar>
              <w:top w:w="57" w:type="dxa"/>
              <w:left w:w="57" w:type="dxa"/>
              <w:bottom w:w="57" w:type="dxa"/>
              <w:right w:w="57" w:type="dxa"/>
            </w:tcMar>
            <w:vAlign w:val="center"/>
          </w:tcPr>
          <w:p>
            <w:pPr>
              <w:widowControl/>
              <w:adjustRightInd w:val="0"/>
              <w:snapToGrid w:val="0"/>
              <w:textAlignment w:val="center"/>
              <w:rPr>
                <w:rFonts w:hint="default" w:ascii="仿宋_GB2312" w:hAnsi="仿宋_GB2312" w:eastAsia="仿宋_GB2312" w:cs="仿宋_GB2312"/>
                <w:color w:val="000000"/>
                <w:kern w:val="0"/>
                <w:sz w:val="24"/>
                <w:szCs w:val="24"/>
                <w:lang w:val="en-US" w:eastAsia="zh-CN"/>
              </w:rPr>
            </w:pPr>
          </w:p>
        </w:tc>
        <w:tc>
          <w:tcPr>
            <w:tcW w:w="2775" w:type="dxa"/>
            <w:tcBorders>
              <w:top w:val="single" w:color="auto" w:sz="4" w:space="0"/>
              <w:tl2br w:val="nil"/>
              <w:tr2bl w:val="nil"/>
            </w:tcBorders>
            <w:tcMar>
              <w:top w:w="57" w:type="dxa"/>
              <w:left w:w="57" w:type="dxa"/>
              <w:bottom w:w="57" w:type="dxa"/>
              <w:right w:w="57" w:type="dxa"/>
            </w:tcMar>
            <w:vAlign w:val="center"/>
          </w:tcPr>
          <w:p>
            <w:pPr>
              <w:widowControl/>
              <w:adjustRightInd w:val="0"/>
              <w:snapToGrid w:val="0"/>
              <w:textAlignment w:val="center"/>
              <w:rPr>
                <w:rFonts w:hint="eastAsia" w:ascii="仿宋_GB2312" w:hAnsi="仿宋_GB2312" w:eastAsia="仿宋_GB2312" w:cs="仿宋_GB2312"/>
                <w:color w:val="000000"/>
                <w:kern w:val="0"/>
                <w:sz w:val="24"/>
                <w:szCs w:val="24"/>
                <w:lang w:val="en-US" w:eastAsia="zh-CN"/>
              </w:rPr>
            </w:pPr>
            <w:r>
              <w:rPr>
                <w:rFonts w:hint="default" w:ascii="仿宋_GB2312" w:hAnsi="仿宋_GB2312" w:eastAsia="仿宋_GB2312" w:cs="仿宋_GB2312"/>
                <w:color w:val="000000"/>
                <w:kern w:val="0"/>
                <w:sz w:val="24"/>
                <w:szCs w:val="24"/>
                <w:lang w:val="en-US" w:eastAsia="zh-CN"/>
              </w:rPr>
              <w:t>价值二万元以上</w:t>
            </w:r>
          </w:p>
        </w:tc>
        <w:tc>
          <w:tcPr>
            <w:tcW w:w="4011" w:type="dxa"/>
            <w:tcBorders>
              <w:top w:val="single" w:color="auto" w:sz="4" w:space="0"/>
              <w:tl2br w:val="nil"/>
              <w:tr2bl w:val="nil"/>
            </w:tcBorders>
            <w:tcMar>
              <w:top w:w="57" w:type="dxa"/>
              <w:left w:w="57" w:type="dxa"/>
              <w:bottom w:w="57" w:type="dxa"/>
              <w:right w:w="57" w:type="dxa"/>
            </w:tcMar>
            <w:vAlign w:val="center"/>
          </w:tcPr>
          <w:p>
            <w:pPr>
              <w:widowControl/>
              <w:adjustRightInd w:val="0"/>
              <w:snapToGrid w:val="0"/>
              <w:textAlignment w:val="center"/>
              <w:rPr>
                <w:rFonts w:hint="eastAsia" w:ascii="仿宋_GB2312" w:hAnsi="仿宋_GB2312" w:eastAsia="仿宋_GB2312" w:cs="仿宋_GB2312"/>
                <w:color w:val="000000"/>
                <w:kern w:val="0"/>
                <w:sz w:val="24"/>
                <w:szCs w:val="24"/>
                <w:lang w:val="en-US" w:eastAsia="zh-CN"/>
              </w:rPr>
            </w:pPr>
            <w:r>
              <w:rPr>
                <w:rFonts w:hint="default" w:ascii="仿宋_GB2312" w:hAnsi="仿宋_GB2312" w:eastAsia="仿宋_GB2312" w:cs="仿宋_GB2312"/>
                <w:color w:val="000000"/>
                <w:kern w:val="0"/>
                <w:sz w:val="24"/>
                <w:szCs w:val="24"/>
                <w:lang w:val="en-US" w:eastAsia="zh-CN"/>
              </w:rPr>
              <w:t>没收猎获物、猎捕工具和违法所得，吊销特许猎捕证，并处猎获物价值八倍以上不超过十倍罚款</w:t>
            </w:r>
          </w:p>
        </w:tc>
      </w:tr>
    </w:tbl>
    <w:p>
      <w:pPr>
        <w:pStyle w:val="2"/>
      </w:pPr>
    </w:p>
    <w:p>
      <w:pPr>
        <w:pStyle w:val="2"/>
      </w:pPr>
    </w:p>
    <w:tbl>
      <w:tblPr>
        <w:tblStyle w:val="7"/>
        <w:tblW w:w="140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21"/>
        <w:gridCol w:w="1098"/>
        <w:gridCol w:w="3221"/>
        <w:gridCol w:w="818"/>
        <w:gridCol w:w="1656"/>
        <w:gridCol w:w="2775"/>
        <w:gridCol w:w="401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tblHeader/>
          <w:jc w:val="center"/>
        </w:trPr>
        <w:tc>
          <w:tcPr>
            <w:tcW w:w="421"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黑体" w:hAnsi="黑体" w:eastAsia="黑体" w:cs="黑体"/>
                <w:color w:val="000000"/>
                <w:sz w:val="24"/>
                <w:szCs w:val="24"/>
              </w:rPr>
            </w:pPr>
            <w:r>
              <w:rPr>
                <w:rFonts w:hint="eastAsia" w:ascii="黑体" w:hAnsi="黑体" w:eastAsia="黑体" w:cs="黑体"/>
                <w:color w:val="000000"/>
                <w:kern w:val="0"/>
                <w:sz w:val="24"/>
                <w:szCs w:val="24"/>
              </w:rPr>
              <w:t>序号</w:t>
            </w:r>
          </w:p>
        </w:tc>
        <w:tc>
          <w:tcPr>
            <w:tcW w:w="1098"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黑体" w:hAnsi="黑体" w:eastAsia="黑体" w:cs="黑体"/>
                <w:color w:val="000000"/>
                <w:sz w:val="24"/>
                <w:szCs w:val="24"/>
              </w:rPr>
            </w:pPr>
            <w:r>
              <w:rPr>
                <w:rFonts w:hint="eastAsia" w:ascii="黑体" w:hAnsi="黑体" w:eastAsia="黑体" w:cs="黑体"/>
                <w:color w:val="000000"/>
                <w:kern w:val="0"/>
                <w:sz w:val="24"/>
                <w:szCs w:val="24"/>
              </w:rPr>
              <w:t>违法行为</w:t>
            </w:r>
          </w:p>
        </w:tc>
        <w:tc>
          <w:tcPr>
            <w:tcW w:w="3221"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黑体" w:hAnsi="黑体" w:eastAsia="黑体" w:cs="黑体"/>
                <w:color w:val="000000"/>
                <w:sz w:val="24"/>
                <w:szCs w:val="24"/>
              </w:rPr>
            </w:pPr>
            <w:r>
              <w:rPr>
                <w:rFonts w:hint="eastAsia" w:ascii="黑体" w:hAnsi="黑体" w:eastAsia="黑体" w:cs="黑体"/>
                <w:color w:val="000000"/>
                <w:kern w:val="0"/>
                <w:sz w:val="24"/>
                <w:szCs w:val="24"/>
              </w:rPr>
              <w:t>处罚依据</w:t>
            </w:r>
          </w:p>
        </w:tc>
        <w:tc>
          <w:tcPr>
            <w:tcW w:w="818"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黑体" w:hAnsi="黑体" w:eastAsia="黑体" w:cs="黑体"/>
                <w:color w:val="000000"/>
                <w:sz w:val="24"/>
                <w:szCs w:val="24"/>
              </w:rPr>
            </w:pPr>
            <w:r>
              <w:rPr>
                <w:rFonts w:hint="eastAsia" w:ascii="黑体" w:hAnsi="黑体" w:eastAsia="黑体" w:cs="黑体"/>
                <w:color w:val="000000"/>
                <w:kern w:val="0"/>
                <w:sz w:val="24"/>
                <w:szCs w:val="24"/>
              </w:rPr>
              <w:t>违法程度</w:t>
            </w:r>
          </w:p>
        </w:tc>
        <w:tc>
          <w:tcPr>
            <w:tcW w:w="1656"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黑体" w:hAnsi="黑体" w:eastAsia="黑体" w:cs="黑体"/>
                <w:color w:val="000000"/>
                <w:sz w:val="24"/>
                <w:szCs w:val="24"/>
              </w:rPr>
            </w:pPr>
            <w:r>
              <w:rPr>
                <w:rFonts w:hint="eastAsia" w:ascii="黑体" w:hAnsi="黑体" w:eastAsia="黑体" w:cs="黑体"/>
                <w:color w:val="000000"/>
                <w:kern w:val="0"/>
                <w:sz w:val="24"/>
                <w:szCs w:val="24"/>
              </w:rPr>
              <w:t>违法情节</w:t>
            </w:r>
          </w:p>
        </w:tc>
        <w:tc>
          <w:tcPr>
            <w:tcW w:w="6786" w:type="dxa"/>
            <w:gridSpan w:val="2"/>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黑体" w:hAnsi="黑体" w:eastAsia="黑体" w:cs="黑体"/>
                <w:color w:val="000000"/>
                <w:sz w:val="24"/>
                <w:szCs w:val="24"/>
              </w:rPr>
            </w:pPr>
            <w:r>
              <w:rPr>
                <w:rFonts w:hint="eastAsia" w:ascii="黑体" w:hAnsi="黑体" w:eastAsia="黑体" w:cs="黑体"/>
                <w:color w:val="000000"/>
                <w:kern w:val="0"/>
                <w:sz w:val="24"/>
                <w:szCs w:val="24"/>
              </w:rPr>
              <w:t>裁量标准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5" w:hRule="atLeast"/>
          <w:jc w:val="center"/>
        </w:trPr>
        <w:tc>
          <w:tcPr>
            <w:tcW w:w="421" w:type="dxa"/>
            <w:vMerge w:val="restart"/>
            <w:tcBorders>
              <w:tl2br w:val="nil"/>
              <w:tr2bl w:val="nil"/>
            </w:tcBorders>
            <w:tcMar>
              <w:top w:w="57" w:type="dxa"/>
              <w:left w:w="57" w:type="dxa"/>
              <w:bottom w:w="57" w:type="dxa"/>
              <w:right w:w="57" w:type="dxa"/>
            </w:tcMar>
            <w:vAlign w:val="center"/>
          </w:tcPr>
          <w:p>
            <w:pPr>
              <w:widowControl/>
              <w:adjustRightInd w:val="0"/>
              <w:snapToGrid w:val="0"/>
              <w:textAlignment w:val="center"/>
              <w:rPr>
                <w:rFonts w:hint="default"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18</w:t>
            </w:r>
          </w:p>
        </w:tc>
        <w:tc>
          <w:tcPr>
            <w:tcW w:w="1098" w:type="dxa"/>
            <w:vMerge w:val="restart"/>
            <w:tcBorders>
              <w:tl2br w:val="nil"/>
              <w:tr2bl w:val="nil"/>
            </w:tcBorders>
            <w:tcMar>
              <w:top w:w="57" w:type="dxa"/>
              <w:left w:w="57" w:type="dxa"/>
              <w:bottom w:w="57" w:type="dxa"/>
              <w:right w:w="57" w:type="dxa"/>
            </w:tcMar>
            <w:vAlign w:val="center"/>
          </w:tcPr>
          <w:p>
            <w:pPr>
              <w:widowControl/>
              <w:adjustRightInd w:val="0"/>
              <w:snapToGrid w:val="0"/>
              <w:textAlignment w:val="center"/>
              <w:rPr>
                <w:rFonts w:hint="default" w:ascii="仿宋_GB2312" w:hAnsi="仿宋_GB2312" w:eastAsia="仿宋_GB2312" w:cs="仿宋_GB2312"/>
                <w:color w:val="000000"/>
                <w:kern w:val="0"/>
                <w:sz w:val="24"/>
                <w:szCs w:val="24"/>
                <w:lang w:val="en-US" w:eastAsia="zh-CN"/>
              </w:rPr>
            </w:pPr>
            <w:r>
              <w:rPr>
                <w:rFonts w:hint="default" w:ascii="仿宋_GB2312" w:hAnsi="仿宋_GB2312" w:eastAsia="仿宋_GB2312" w:cs="仿宋_GB2312"/>
                <w:color w:val="000000"/>
                <w:kern w:val="0"/>
                <w:sz w:val="24"/>
                <w:szCs w:val="24"/>
                <w:lang w:val="en-US" w:eastAsia="zh-CN"/>
              </w:rPr>
              <w:t>使用禁用的工具、方法猎捕国家重点保护水生野生动物</w:t>
            </w:r>
          </w:p>
        </w:tc>
        <w:tc>
          <w:tcPr>
            <w:tcW w:w="3221" w:type="dxa"/>
            <w:vMerge w:val="restart"/>
            <w:tcBorders>
              <w:tl2br w:val="nil"/>
              <w:tr2bl w:val="nil"/>
            </w:tcBorders>
            <w:tcMar>
              <w:top w:w="57" w:type="dxa"/>
              <w:left w:w="57" w:type="dxa"/>
              <w:bottom w:w="57" w:type="dxa"/>
              <w:right w:w="57" w:type="dxa"/>
            </w:tcMar>
            <w:vAlign w:val="center"/>
          </w:tcPr>
          <w:p>
            <w:pPr>
              <w:widowControl/>
              <w:adjustRightInd w:val="0"/>
              <w:snapToGrid w:val="0"/>
              <w:textAlignment w:val="center"/>
              <w:rPr>
                <w:rFonts w:hint="eastAsia" w:ascii="仿宋_GB2312" w:hAnsi="仿宋_GB2312" w:eastAsia="仿宋_GB2312" w:cs="仿宋_GB2312"/>
                <w:color w:val="000000"/>
                <w:kern w:val="0"/>
                <w:sz w:val="24"/>
                <w:szCs w:val="24"/>
                <w:lang w:val="en-US" w:eastAsia="zh-CN"/>
              </w:rPr>
            </w:pPr>
            <w:r>
              <w:rPr>
                <w:rFonts w:hint="default" w:ascii="仿宋_GB2312" w:hAnsi="仿宋_GB2312" w:eastAsia="仿宋_GB2312" w:cs="仿宋_GB2312"/>
                <w:color w:val="000000"/>
                <w:kern w:val="0"/>
                <w:sz w:val="24"/>
                <w:szCs w:val="24"/>
                <w:lang w:val="en-US" w:eastAsia="zh-CN"/>
              </w:rPr>
              <w:t>《中华人民共和国野生动物保护法》第四十五条，违反本法第二十条、第二十一条、第二十三条第一款、第二十四条第一款规定，在相关自然保护区域、禁猎（渔）区、禁猎（渔）期猎捕国家重点保护野生动物，未取得特许猎捕证、未按照特许猎捕证规定猎捕、杀害国家重点保护野生动物，或者使用禁用的工具、方法猎捕国家重点保护野生动物的，由县级以上人民政府野生动物保护主管部门、海洋执法部门或者有关保护区域管理机构按照职责分工没收猎获物、猎捕工具和违法所得，吊销特许猎捕证，并处猎获物价值二倍以上十倍以下的罚款；没有猎获物的，并处一万元以上五万元以下的罚款；构成犯罪的，依法追究刑事责任。</w:t>
            </w:r>
          </w:p>
        </w:tc>
        <w:tc>
          <w:tcPr>
            <w:tcW w:w="818" w:type="dxa"/>
            <w:vMerge w:val="restart"/>
            <w:tcBorders>
              <w:tl2br w:val="nil"/>
              <w:tr2bl w:val="nil"/>
            </w:tcBorders>
            <w:tcMar>
              <w:top w:w="57" w:type="dxa"/>
              <w:left w:w="57" w:type="dxa"/>
              <w:bottom w:w="57" w:type="dxa"/>
              <w:right w:w="57" w:type="dxa"/>
            </w:tcMar>
            <w:vAlign w:val="center"/>
          </w:tcPr>
          <w:p>
            <w:pPr>
              <w:widowControl/>
              <w:adjustRightInd w:val="0"/>
              <w:snapToGrid w:val="0"/>
              <w:textAlignment w:val="center"/>
              <w:rPr>
                <w:rFonts w:hint="eastAsia" w:ascii="仿宋_GB2312" w:hAnsi="仿宋_GB2312" w:eastAsia="仿宋_GB2312" w:cs="仿宋_GB2312"/>
                <w:color w:val="000000"/>
                <w:kern w:val="0"/>
                <w:sz w:val="24"/>
                <w:szCs w:val="24"/>
                <w:lang w:val="en-US" w:eastAsia="zh-CN"/>
              </w:rPr>
            </w:pPr>
            <w:r>
              <w:rPr>
                <w:rFonts w:hint="default" w:ascii="仿宋_GB2312" w:hAnsi="仿宋_GB2312" w:eastAsia="仿宋_GB2312" w:cs="仿宋_GB2312"/>
                <w:color w:val="000000"/>
                <w:kern w:val="0"/>
                <w:sz w:val="24"/>
                <w:szCs w:val="24"/>
                <w:lang w:val="en-US" w:eastAsia="zh-CN"/>
              </w:rPr>
              <w:t>较轻</w:t>
            </w:r>
          </w:p>
        </w:tc>
        <w:tc>
          <w:tcPr>
            <w:tcW w:w="1656" w:type="dxa"/>
            <w:vMerge w:val="restart"/>
            <w:tcBorders>
              <w:tl2br w:val="nil"/>
              <w:tr2bl w:val="nil"/>
            </w:tcBorders>
            <w:tcMar>
              <w:top w:w="57" w:type="dxa"/>
              <w:left w:w="57" w:type="dxa"/>
              <w:bottom w:w="57" w:type="dxa"/>
              <w:right w:w="57" w:type="dxa"/>
            </w:tcMar>
            <w:vAlign w:val="center"/>
          </w:tcPr>
          <w:p>
            <w:pPr>
              <w:widowControl/>
              <w:adjustRightInd w:val="0"/>
              <w:snapToGrid w:val="0"/>
              <w:textAlignment w:val="center"/>
              <w:rPr>
                <w:rFonts w:hint="eastAsia" w:ascii="仿宋_GB2312" w:hAnsi="仿宋_GB2312" w:eastAsia="仿宋_GB2312" w:cs="仿宋_GB2312"/>
                <w:color w:val="000000"/>
                <w:kern w:val="0"/>
                <w:sz w:val="24"/>
                <w:szCs w:val="24"/>
                <w:lang w:val="en-US" w:eastAsia="zh-CN"/>
              </w:rPr>
            </w:pPr>
            <w:r>
              <w:rPr>
                <w:rFonts w:hint="default" w:ascii="仿宋_GB2312" w:hAnsi="仿宋_GB2312" w:eastAsia="仿宋_GB2312" w:cs="仿宋_GB2312"/>
                <w:color w:val="000000"/>
                <w:kern w:val="0"/>
                <w:sz w:val="24"/>
                <w:szCs w:val="24"/>
                <w:lang w:val="en-US" w:eastAsia="zh-CN"/>
              </w:rPr>
              <w:t>没有猎获物</w:t>
            </w:r>
          </w:p>
        </w:tc>
        <w:tc>
          <w:tcPr>
            <w:tcW w:w="2775" w:type="dxa"/>
            <w:tcBorders>
              <w:bottom w:val="single" w:color="auto" w:sz="4" w:space="0"/>
              <w:tl2br w:val="nil"/>
              <w:tr2bl w:val="nil"/>
            </w:tcBorders>
            <w:tcMar>
              <w:top w:w="57" w:type="dxa"/>
              <w:left w:w="57" w:type="dxa"/>
              <w:bottom w:w="57" w:type="dxa"/>
              <w:right w:w="57" w:type="dxa"/>
            </w:tcMar>
            <w:vAlign w:val="center"/>
          </w:tcPr>
          <w:p>
            <w:pPr>
              <w:widowControl/>
              <w:adjustRightInd w:val="0"/>
              <w:snapToGrid w:val="0"/>
              <w:textAlignment w:val="center"/>
              <w:rPr>
                <w:rFonts w:hint="eastAsia" w:ascii="仿宋_GB2312" w:hAnsi="仿宋_GB2312" w:eastAsia="仿宋_GB2312" w:cs="仿宋_GB2312"/>
                <w:color w:val="000000"/>
                <w:kern w:val="0"/>
                <w:sz w:val="24"/>
                <w:szCs w:val="24"/>
                <w:lang w:val="en-US" w:eastAsia="zh-CN"/>
              </w:rPr>
            </w:pPr>
            <w:r>
              <w:rPr>
                <w:rFonts w:hint="default" w:ascii="仿宋_GB2312" w:hAnsi="仿宋_GB2312" w:eastAsia="仿宋_GB2312" w:cs="仿宋_GB2312"/>
                <w:color w:val="000000"/>
                <w:kern w:val="0"/>
                <w:sz w:val="24"/>
                <w:szCs w:val="24"/>
                <w:lang w:val="en-US" w:eastAsia="zh-CN"/>
              </w:rPr>
              <w:t>持有特许猎捕证，并且未在相关自然保护区域、禁渔区、禁渔期进行猎捕</w:t>
            </w:r>
          </w:p>
        </w:tc>
        <w:tc>
          <w:tcPr>
            <w:tcW w:w="4011" w:type="dxa"/>
            <w:tcBorders>
              <w:bottom w:val="single" w:color="auto" w:sz="4" w:space="0"/>
              <w:tl2br w:val="nil"/>
              <w:tr2bl w:val="nil"/>
            </w:tcBorders>
            <w:tcMar>
              <w:top w:w="57" w:type="dxa"/>
              <w:left w:w="57" w:type="dxa"/>
              <w:bottom w:w="57" w:type="dxa"/>
              <w:right w:w="57" w:type="dxa"/>
            </w:tcMar>
            <w:vAlign w:val="center"/>
          </w:tcPr>
          <w:p>
            <w:pPr>
              <w:widowControl/>
              <w:adjustRightInd w:val="0"/>
              <w:snapToGrid w:val="0"/>
              <w:textAlignment w:val="center"/>
              <w:rPr>
                <w:rFonts w:hint="eastAsia" w:ascii="仿宋_GB2312" w:hAnsi="仿宋_GB2312" w:eastAsia="仿宋_GB2312" w:cs="仿宋_GB2312"/>
                <w:color w:val="000000"/>
                <w:kern w:val="0"/>
                <w:sz w:val="24"/>
                <w:szCs w:val="24"/>
                <w:lang w:val="en-US" w:eastAsia="zh-CN"/>
              </w:rPr>
            </w:pPr>
            <w:r>
              <w:rPr>
                <w:rFonts w:hint="default" w:ascii="仿宋_GB2312" w:hAnsi="仿宋_GB2312" w:eastAsia="仿宋_GB2312" w:cs="仿宋_GB2312"/>
                <w:color w:val="000000"/>
                <w:kern w:val="0"/>
                <w:sz w:val="24"/>
                <w:szCs w:val="24"/>
                <w:lang w:val="en-US" w:eastAsia="zh-CN"/>
              </w:rPr>
              <w:t>没收猎捕工具，并处一万元以上三万元以下罚款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 w:hRule="atLeast"/>
          <w:jc w:val="center"/>
        </w:trPr>
        <w:tc>
          <w:tcPr>
            <w:tcW w:w="421" w:type="dxa"/>
            <w:vMerge w:val="continue"/>
            <w:tcBorders>
              <w:tl2br w:val="nil"/>
              <w:tr2bl w:val="nil"/>
            </w:tcBorders>
            <w:tcMar>
              <w:top w:w="57" w:type="dxa"/>
              <w:left w:w="57" w:type="dxa"/>
              <w:bottom w:w="57" w:type="dxa"/>
              <w:right w:w="57" w:type="dxa"/>
            </w:tcMar>
            <w:vAlign w:val="center"/>
          </w:tcPr>
          <w:p>
            <w:pPr>
              <w:widowControl/>
              <w:adjustRightInd w:val="0"/>
              <w:snapToGrid w:val="0"/>
              <w:textAlignment w:val="center"/>
              <w:rPr>
                <w:rFonts w:hint="eastAsia" w:ascii="仿宋_GB2312" w:hAnsi="仿宋_GB2312" w:eastAsia="仿宋_GB2312" w:cs="仿宋_GB2312"/>
                <w:color w:val="000000"/>
                <w:kern w:val="0"/>
                <w:sz w:val="24"/>
                <w:szCs w:val="24"/>
                <w:lang w:val="en-US" w:eastAsia="zh-CN"/>
              </w:rPr>
            </w:pPr>
          </w:p>
        </w:tc>
        <w:tc>
          <w:tcPr>
            <w:tcW w:w="1098" w:type="dxa"/>
            <w:vMerge w:val="continue"/>
            <w:tcBorders>
              <w:tl2br w:val="nil"/>
              <w:tr2bl w:val="nil"/>
            </w:tcBorders>
            <w:tcMar>
              <w:top w:w="57" w:type="dxa"/>
              <w:left w:w="57" w:type="dxa"/>
              <w:bottom w:w="57" w:type="dxa"/>
              <w:right w:w="57" w:type="dxa"/>
            </w:tcMar>
            <w:vAlign w:val="center"/>
          </w:tcPr>
          <w:p>
            <w:pPr>
              <w:widowControl/>
              <w:adjustRightInd w:val="0"/>
              <w:snapToGrid w:val="0"/>
              <w:textAlignment w:val="center"/>
              <w:rPr>
                <w:rFonts w:hint="default" w:ascii="仿宋_GB2312" w:hAnsi="仿宋_GB2312" w:eastAsia="仿宋_GB2312" w:cs="仿宋_GB2312"/>
                <w:color w:val="000000"/>
                <w:kern w:val="0"/>
                <w:sz w:val="24"/>
                <w:szCs w:val="24"/>
                <w:lang w:val="en-US" w:eastAsia="zh-CN"/>
              </w:rPr>
            </w:pPr>
          </w:p>
        </w:tc>
        <w:tc>
          <w:tcPr>
            <w:tcW w:w="3221" w:type="dxa"/>
            <w:vMerge w:val="continue"/>
            <w:tcBorders>
              <w:tl2br w:val="nil"/>
              <w:tr2bl w:val="nil"/>
            </w:tcBorders>
            <w:tcMar>
              <w:top w:w="57" w:type="dxa"/>
              <w:left w:w="57" w:type="dxa"/>
              <w:bottom w:w="57" w:type="dxa"/>
              <w:right w:w="57" w:type="dxa"/>
            </w:tcMar>
            <w:vAlign w:val="center"/>
          </w:tcPr>
          <w:p>
            <w:pPr>
              <w:widowControl/>
              <w:adjustRightInd w:val="0"/>
              <w:snapToGrid w:val="0"/>
              <w:textAlignment w:val="center"/>
              <w:rPr>
                <w:rFonts w:hint="default" w:ascii="仿宋_GB2312" w:hAnsi="仿宋_GB2312" w:eastAsia="仿宋_GB2312" w:cs="仿宋_GB2312"/>
                <w:color w:val="000000"/>
                <w:kern w:val="0"/>
                <w:sz w:val="24"/>
                <w:szCs w:val="24"/>
                <w:lang w:val="en-US" w:eastAsia="zh-CN"/>
              </w:rPr>
            </w:pPr>
          </w:p>
        </w:tc>
        <w:tc>
          <w:tcPr>
            <w:tcW w:w="818" w:type="dxa"/>
            <w:vMerge w:val="continue"/>
            <w:tcBorders>
              <w:bottom w:val="single" w:color="auto" w:sz="4" w:space="0"/>
              <w:tl2br w:val="nil"/>
              <w:tr2bl w:val="nil"/>
            </w:tcBorders>
            <w:tcMar>
              <w:top w:w="57" w:type="dxa"/>
              <w:left w:w="57" w:type="dxa"/>
              <w:bottom w:w="57" w:type="dxa"/>
              <w:right w:w="57" w:type="dxa"/>
            </w:tcMar>
            <w:vAlign w:val="center"/>
          </w:tcPr>
          <w:p>
            <w:pPr>
              <w:widowControl/>
              <w:adjustRightInd w:val="0"/>
              <w:snapToGrid w:val="0"/>
              <w:textAlignment w:val="center"/>
              <w:rPr>
                <w:rFonts w:hint="default" w:ascii="仿宋_GB2312" w:hAnsi="仿宋_GB2312" w:eastAsia="仿宋_GB2312" w:cs="仿宋_GB2312"/>
                <w:color w:val="000000"/>
                <w:kern w:val="0"/>
                <w:sz w:val="24"/>
                <w:szCs w:val="24"/>
                <w:lang w:val="en-US" w:eastAsia="zh-CN"/>
              </w:rPr>
            </w:pPr>
          </w:p>
        </w:tc>
        <w:tc>
          <w:tcPr>
            <w:tcW w:w="1656" w:type="dxa"/>
            <w:vMerge w:val="continue"/>
            <w:tcBorders>
              <w:bottom w:val="single" w:color="auto" w:sz="4" w:space="0"/>
              <w:tl2br w:val="nil"/>
              <w:tr2bl w:val="nil"/>
            </w:tcBorders>
            <w:tcMar>
              <w:top w:w="57" w:type="dxa"/>
              <w:left w:w="57" w:type="dxa"/>
              <w:bottom w:w="57" w:type="dxa"/>
              <w:right w:w="57" w:type="dxa"/>
            </w:tcMar>
            <w:vAlign w:val="center"/>
          </w:tcPr>
          <w:p>
            <w:pPr>
              <w:widowControl/>
              <w:adjustRightInd w:val="0"/>
              <w:snapToGrid w:val="0"/>
              <w:textAlignment w:val="center"/>
              <w:rPr>
                <w:rFonts w:hint="default" w:ascii="仿宋_GB2312" w:hAnsi="仿宋_GB2312" w:eastAsia="仿宋_GB2312" w:cs="仿宋_GB2312"/>
                <w:color w:val="000000"/>
                <w:kern w:val="0"/>
                <w:sz w:val="24"/>
                <w:szCs w:val="24"/>
                <w:lang w:val="en-US" w:eastAsia="zh-CN"/>
              </w:rPr>
            </w:pPr>
          </w:p>
        </w:tc>
        <w:tc>
          <w:tcPr>
            <w:tcW w:w="2775" w:type="dxa"/>
            <w:tcBorders>
              <w:top w:val="single" w:color="auto" w:sz="4" w:space="0"/>
              <w:bottom w:val="single" w:color="auto" w:sz="4" w:space="0"/>
              <w:tl2br w:val="nil"/>
              <w:tr2bl w:val="nil"/>
            </w:tcBorders>
            <w:tcMar>
              <w:top w:w="57" w:type="dxa"/>
              <w:left w:w="57" w:type="dxa"/>
              <w:bottom w:w="57" w:type="dxa"/>
              <w:right w:w="57" w:type="dxa"/>
            </w:tcMar>
            <w:vAlign w:val="center"/>
          </w:tcPr>
          <w:p>
            <w:pPr>
              <w:widowControl/>
              <w:adjustRightInd w:val="0"/>
              <w:snapToGrid w:val="0"/>
              <w:textAlignment w:val="center"/>
              <w:rPr>
                <w:rFonts w:hint="eastAsia" w:ascii="仿宋_GB2312" w:hAnsi="仿宋_GB2312" w:eastAsia="仿宋_GB2312" w:cs="仿宋_GB2312"/>
                <w:color w:val="000000"/>
                <w:kern w:val="0"/>
                <w:sz w:val="24"/>
                <w:szCs w:val="24"/>
                <w:lang w:val="en-US" w:eastAsia="zh-CN"/>
              </w:rPr>
            </w:pPr>
            <w:r>
              <w:rPr>
                <w:rFonts w:hint="default" w:ascii="仿宋_GB2312" w:hAnsi="仿宋_GB2312" w:eastAsia="仿宋_GB2312" w:cs="仿宋_GB2312"/>
                <w:color w:val="000000"/>
                <w:kern w:val="0"/>
                <w:sz w:val="24"/>
                <w:szCs w:val="24"/>
                <w:lang w:val="en-US" w:eastAsia="zh-CN"/>
              </w:rPr>
              <w:t>未持有特许猎捕证，或在相关自然保护区域、禁渔区、禁渔期进行猎捕</w:t>
            </w:r>
          </w:p>
        </w:tc>
        <w:tc>
          <w:tcPr>
            <w:tcW w:w="4011" w:type="dxa"/>
            <w:tcBorders>
              <w:top w:val="single" w:color="auto" w:sz="4" w:space="0"/>
              <w:bottom w:val="single" w:color="auto" w:sz="4" w:space="0"/>
              <w:tl2br w:val="nil"/>
              <w:tr2bl w:val="nil"/>
            </w:tcBorders>
            <w:tcMar>
              <w:top w:w="57" w:type="dxa"/>
              <w:left w:w="57" w:type="dxa"/>
              <w:bottom w:w="57" w:type="dxa"/>
              <w:right w:w="57" w:type="dxa"/>
            </w:tcMar>
            <w:vAlign w:val="center"/>
          </w:tcPr>
          <w:p>
            <w:pPr>
              <w:widowControl/>
              <w:adjustRightInd w:val="0"/>
              <w:snapToGrid w:val="0"/>
              <w:textAlignment w:val="center"/>
              <w:rPr>
                <w:rFonts w:hint="eastAsia" w:ascii="仿宋_GB2312" w:hAnsi="仿宋_GB2312" w:eastAsia="仿宋_GB2312" w:cs="仿宋_GB2312"/>
                <w:color w:val="000000"/>
                <w:kern w:val="0"/>
                <w:sz w:val="24"/>
                <w:szCs w:val="24"/>
                <w:lang w:val="en-US" w:eastAsia="zh-CN"/>
              </w:rPr>
            </w:pPr>
            <w:r>
              <w:rPr>
                <w:rFonts w:hint="default" w:ascii="仿宋_GB2312" w:hAnsi="仿宋_GB2312" w:eastAsia="仿宋_GB2312" w:cs="仿宋_GB2312"/>
                <w:color w:val="000000"/>
                <w:kern w:val="0"/>
                <w:sz w:val="24"/>
                <w:szCs w:val="24"/>
                <w:lang w:val="en-US" w:eastAsia="zh-CN"/>
              </w:rPr>
              <w:t>没收猎捕工具，并处三万元以上不超过五万元罚款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8" w:hRule="atLeast"/>
          <w:jc w:val="center"/>
        </w:trPr>
        <w:tc>
          <w:tcPr>
            <w:tcW w:w="421" w:type="dxa"/>
            <w:vMerge w:val="continue"/>
            <w:tcBorders>
              <w:tl2br w:val="nil"/>
              <w:tr2bl w:val="nil"/>
            </w:tcBorders>
            <w:tcMar>
              <w:top w:w="57" w:type="dxa"/>
              <w:left w:w="57" w:type="dxa"/>
              <w:bottom w:w="57" w:type="dxa"/>
              <w:right w:w="57" w:type="dxa"/>
            </w:tcMar>
            <w:vAlign w:val="center"/>
          </w:tcPr>
          <w:p>
            <w:pPr>
              <w:widowControl/>
              <w:adjustRightInd w:val="0"/>
              <w:snapToGrid w:val="0"/>
              <w:textAlignment w:val="center"/>
              <w:rPr>
                <w:rFonts w:hint="eastAsia" w:ascii="仿宋_GB2312" w:hAnsi="仿宋_GB2312" w:eastAsia="仿宋_GB2312" w:cs="仿宋_GB2312"/>
                <w:color w:val="000000"/>
                <w:kern w:val="0"/>
                <w:sz w:val="24"/>
                <w:szCs w:val="24"/>
                <w:lang w:val="en-US" w:eastAsia="zh-CN"/>
              </w:rPr>
            </w:pPr>
          </w:p>
        </w:tc>
        <w:tc>
          <w:tcPr>
            <w:tcW w:w="1098" w:type="dxa"/>
            <w:vMerge w:val="continue"/>
            <w:tcBorders>
              <w:tl2br w:val="nil"/>
              <w:tr2bl w:val="nil"/>
            </w:tcBorders>
            <w:tcMar>
              <w:top w:w="57" w:type="dxa"/>
              <w:left w:w="57" w:type="dxa"/>
              <w:bottom w:w="57" w:type="dxa"/>
              <w:right w:w="57" w:type="dxa"/>
            </w:tcMar>
            <w:vAlign w:val="center"/>
          </w:tcPr>
          <w:p>
            <w:pPr>
              <w:widowControl/>
              <w:adjustRightInd w:val="0"/>
              <w:snapToGrid w:val="0"/>
              <w:textAlignment w:val="center"/>
              <w:rPr>
                <w:rFonts w:hint="default" w:ascii="仿宋_GB2312" w:hAnsi="仿宋_GB2312" w:eastAsia="仿宋_GB2312" w:cs="仿宋_GB2312"/>
                <w:color w:val="000000"/>
                <w:kern w:val="0"/>
                <w:sz w:val="24"/>
                <w:szCs w:val="24"/>
                <w:lang w:val="en-US" w:eastAsia="zh-CN"/>
              </w:rPr>
            </w:pPr>
          </w:p>
        </w:tc>
        <w:tc>
          <w:tcPr>
            <w:tcW w:w="3221" w:type="dxa"/>
            <w:vMerge w:val="continue"/>
            <w:tcBorders>
              <w:tl2br w:val="nil"/>
              <w:tr2bl w:val="nil"/>
            </w:tcBorders>
            <w:tcMar>
              <w:top w:w="57" w:type="dxa"/>
              <w:left w:w="57" w:type="dxa"/>
              <w:bottom w:w="57" w:type="dxa"/>
              <w:right w:w="57" w:type="dxa"/>
            </w:tcMar>
            <w:vAlign w:val="center"/>
          </w:tcPr>
          <w:p>
            <w:pPr>
              <w:widowControl/>
              <w:adjustRightInd w:val="0"/>
              <w:snapToGrid w:val="0"/>
              <w:textAlignment w:val="center"/>
              <w:rPr>
                <w:rFonts w:hint="default" w:ascii="仿宋_GB2312" w:hAnsi="仿宋_GB2312" w:eastAsia="仿宋_GB2312" w:cs="仿宋_GB2312"/>
                <w:color w:val="000000"/>
                <w:kern w:val="0"/>
                <w:sz w:val="24"/>
                <w:szCs w:val="24"/>
                <w:lang w:val="en-US" w:eastAsia="zh-CN"/>
              </w:rPr>
            </w:pPr>
          </w:p>
        </w:tc>
        <w:tc>
          <w:tcPr>
            <w:tcW w:w="818" w:type="dxa"/>
            <w:vMerge w:val="restart"/>
            <w:tcBorders>
              <w:top w:val="single" w:color="auto" w:sz="4" w:space="0"/>
              <w:tl2br w:val="nil"/>
              <w:tr2bl w:val="nil"/>
            </w:tcBorders>
            <w:tcMar>
              <w:top w:w="57" w:type="dxa"/>
              <w:left w:w="57" w:type="dxa"/>
              <w:bottom w:w="57" w:type="dxa"/>
              <w:right w:w="57" w:type="dxa"/>
            </w:tcMar>
            <w:vAlign w:val="center"/>
          </w:tcPr>
          <w:p>
            <w:pPr>
              <w:widowControl/>
              <w:adjustRightInd w:val="0"/>
              <w:snapToGrid w:val="0"/>
              <w:textAlignment w:val="center"/>
              <w:rPr>
                <w:rFonts w:hint="eastAsia" w:ascii="仿宋_GB2312" w:hAnsi="仿宋_GB2312" w:eastAsia="仿宋_GB2312" w:cs="仿宋_GB2312"/>
                <w:color w:val="000000"/>
                <w:kern w:val="0"/>
                <w:sz w:val="24"/>
                <w:szCs w:val="24"/>
                <w:lang w:val="en-US" w:eastAsia="zh-CN"/>
              </w:rPr>
            </w:pPr>
            <w:r>
              <w:rPr>
                <w:rFonts w:hint="default" w:ascii="仿宋_GB2312" w:hAnsi="仿宋_GB2312" w:eastAsia="仿宋_GB2312" w:cs="仿宋_GB2312"/>
                <w:color w:val="000000"/>
                <w:kern w:val="0"/>
                <w:sz w:val="24"/>
                <w:szCs w:val="24"/>
                <w:lang w:val="en-US" w:eastAsia="zh-CN"/>
              </w:rPr>
              <w:t>一般</w:t>
            </w:r>
          </w:p>
        </w:tc>
        <w:tc>
          <w:tcPr>
            <w:tcW w:w="1656" w:type="dxa"/>
            <w:vMerge w:val="restart"/>
            <w:tcBorders>
              <w:top w:val="single" w:color="auto" w:sz="4" w:space="0"/>
              <w:tl2br w:val="nil"/>
              <w:tr2bl w:val="nil"/>
            </w:tcBorders>
            <w:tcMar>
              <w:top w:w="57" w:type="dxa"/>
              <w:left w:w="57" w:type="dxa"/>
              <w:bottom w:w="57" w:type="dxa"/>
              <w:right w:w="57" w:type="dxa"/>
            </w:tcMar>
            <w:vAlign w:val="center"/>
          </w:tcPr>
          <w:p>
            <w:pPr>
              <w:widowControl/>
              <w:adjustRightInd w:val="0"/>
              <w:snapToGrid w:val="0"/>
              <w:textAlignment w:val="center"/>
              <w:rPr>
                <w:rFonts w:hint="eastAsia" w:ascii="仿宋_GB2312" w:hAnsi="仿宋_GB2312" w:eastAsia="仿宋_GB2312" w:cs="仿宋_GB2312"/>
                <w:color w:val="000000"/>
                <w:kern w:val="0"/>
                <w:sz w:val="24"/>
                <w:szCs w:val="24"/>
                <w:lang w:val="en-US" w:eastAsia="zh-CN"/>
              </w:rPr>
            </w:pPr>
            <w:r>
              <w:rPr>
                <w:rFonts w:hint="default" w:ascii="仿宋_GB2312" w:hAnsi="仿宋_GB2312" w:eastAsia="仿宋_GB2312" w:cs="仿宋_GB2312"/>
                <w:color w:val="000000"/>
                <w:kern w:val="0"/>
                <w:sz w:val="24"/>
                <w:szCs w:val="24"/>
                <w:lang w:val="en-US" w:eastAsia="zh-CN"/>
              </w:rPr>
              <w:t>猎获物价值一万元以下</w:t>
            </w:r>
          </w:p>
        </w:tc>
        <w:tc>
          <w:tcPr>
            <w:tcW w:w="2775" w:type="dxa"/>
            <w:tcBorders>
              <w:top w:val="single" w:color="auto" w:sz="4" w:space="0"/>
              <w:bottom w:val="single" w:color="auto" w:sz="4" w:space="0"/>
              <w:tl2br w:val="nil"/>
              <w:tr2bl w:val="nil"/>
            </w:tcBorders>
            <w:tcMar>
              <w:top w:w="57" w:type="dxa"/>
              <w:left w:w="57" w:type="dxa"/>
              <w:bottom w:w="57" w:type="dxa"/>
              <w:right w:w="57" w:type="dxa"/>
            </w:tcMar>
            <w:vAlign w:val="center"/>
          </w:tcPr>
          <w:p>
            <w:pPr>
              <w:widowControl/>
              <w:adjustRightInd w:val="0"/>
              <w:snapToGrid w:val="0"/>
              <w:textAlignment w:val="center"/>
              <w:rPr>
                <w:rFonts w:hint="eastAsia" w:ascii="仿宋_GB2312" w:hAnsi="仿宋_GB2312" w:eastAsia="仿宋_GB2312" w:cs="仿宋_GB2312"/>
                <w:color w:val="000000"/>
                <w:kern w:val="0"/>
                <w:sz w:val="24"/>
                <w:szCs w:val="24"/>
                <w:lang w:val="en-US" w:eastAsia="zh-CN"/>
              </w:rPr>
            </w:pPr>
            <w:r>
              <w:rPr>
                <w:rFonts w:hint="default" w:ascii="仿宋_GB2312" w:hAnsi="仿宋_GB2312" w:eastAsia="仿宋_GB2312" w:cs="仿宋_GB2312"/>
                <w:color w:val="000000"/>
                <w:kern w:val="0"/>
                <w:sz w:val="24"/>
                <w:szCs w:val="24"/>
                <w:lang w:val="en-US" w:eastAsia="zh-CN"/>
              </w:rPr>
              <w:t>价值五千元以下</w:t>
            </w:r>
          </w:p>
        </w:tc>
        <w:tc>
          <w:tcPr>
            <w:tcW w:w="4011" w:type="dxa"/>
            <w:tcBorders>
              <w:top w:val="single" w:color="auto" w:sz="4" w:space="0"/>
              <w:bottom w:val="single" w:color="auto" w:sz="4" w:space="0"/>
              <w:tl2br w:val="nil"/>
              <w:tr2bl w:val="nil"/>
            </w:tcBorders>
            <w:tcMar>
              <w:top w:w="57" w:type="dxa"/>
              <w:left w:w="57" w:type="dxa"/>
              <w:bottom w:w="57" w:type="dxa"/>
              <w:right w:w="57" w:type="dxa"/>
            </w:tcMar>
            <w:vAlign w:val="center"/>
          </w:tcPr>
          <w:p>
            <w:pPr>
              <w:widowControl/>
              <w:adjustRightInd w:val="0"/>
              <w:snapToGrid w:val="0"/>
              <w:textAlignment w:val="center"/>
              <w:rPr>
                <w:rFonts w:hint="eastAsia" w:ascii="仿宋_GB2312" w:hAnsi="仿宋_GB2312" w:eastAsia="仿宋_GB2312" w:cs="仿宋_GB2312"/>
                <w:color w:val="000000"/>
                <w:kern w:val="0"/>
                <w:sz w:val="24"/>
                <w:szCs w:val="24"/>
                <w:lang w:val="en-US" w:eastAsia="zh-CN"/>
              </w:rPr>
            </w:pPr>
            <w:r>
              <w:rPr>
                <w:rFonts w:hint="default" w:ascii="仿宋_GB2312" w:hAnsi="仿宋_GB2312" w:eastAsia="仿宋_GB2312" w:cs="仿宋_GB2312"/>
                <w:color w:val="000000"/>
                <w:kern w:val="0"/>
                <w:sz w:val="24"/>
                <w:szCs w:val="24"/>
                <w:lang w:val="en-US" w:eastAsia="zh-CN"/>
              </w:rPr>
              <w:t>没收猎获物、猎捕工具和违法所得，吊销特许猎捕证，并处猎获物价值二倍以上四倍以下罚款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jc w:val="center"/>
        </w:trPr>
        <w:tc>
          <w:tcPr>
            <w:tcW w:w="421" w:type="dxa"/>
            <w:vMerge w:val="continue"/>
            <w:tcBorders>
              <w:tl2br w:val="nil"/>
              <w:tr2bl w:val="nil"/>
            </w:tcBorders>
            <w:tcMar>
              <w:top w:w="57" w:type="dxa"/>
              <w:left w:w="57" w:type="dxa"/>
              <w:bottom w:w="57" w:type="dxa"/>
              <w:right w:w="57" w:type="dxa"/>
            </w:tcMar>
            <w:vAlign w:val="center"/>
          </w:tcPr>
          <w:p>
            <w:pPr>
              <w:widowControl/>
              <w:adjustRightInd w:val="0"/>
              <w:snapToGrid w:val="0"/>
              <w:textAlignment w:val="center"/>
              <w:rPr>
                <w:rFonts w:hint="eastAsia" w:ascii="仿宋_GB2312" w:hAnsi="仿宋_GB2312" w:eastAsia="仿宋_GB2312" w:cs="仿宋_GB2312"/>
                <w:color w:val="000000"/>
                <w:kern w:val="0"/>
                <w:sz w:val="24"/>
                <w:szCs w:val="24"/>
                <w:lang w:val="en-US" w:eastAsia="zh-CN"/>
              </w:rPr>
            </w:pPr>
          </w:p>
        </w:tc>
        <w:tc>
          <w:tcPr>
            <w:tcW w:w="1098" w:type="dxa"/>
            <w:vMerge w:val="continue"/>
            <w:tcBorders>
              <w:tl2br w:val="nil"/>
              <w:tr2bl w:val="nil"/>
            </w:tcBorders>
            <w:tcMar>
              <w:top w:w="57" w:type="dxa"/>
              <w:left w:w="57" w:type="dxa"/>
              <w:bottom w:w="57" w:type="dxa"/>
              <w:right w:w="57" w:type="dxa"/>
            </w:tcMar>
            <w:vAlign w:val="center"/>
          </w:tcPr>
          <w:p>
            <w:pPr>
              <w:widowControl/>
              <w:adjustRightInd w:val="0"/>
              <w:snapToGrid w:val="0"/>
              <w:textAlignment w:val="center"/>
              <w:rPr>
                <w:rFonts w:hint="default" w:ascii="仿宋_GB2312" w:hAnsi="仿宋_GB2312" w:eastAsia="仿宋_GB2312" w:cs="仿宋_GB2312"/>
                <w:color w:val="000000"/>
                <w:kern w:val="0"/>
                <w:sz w:val="24"/>
                <w:szCs w:val="24"/>
                <w:lang w:val="en-US" w:eastAsia="zh-CN"/>
              </w:rPr>
            </w:pPr>
          </w:p>
        </w:tc>
        <w:tc>
          <w:tcPr>
            <w:tcW w:w="3221" w:type="dxa"/>
            <w:vMerge w:val="continue"/>
            <w:tcBorders>
              <w:tl2br w:val="nil"/>
              <w:tr2bl w:val="nil"/>
            </w:tcBorders>
            <w:tcMar>
              <w:top w:w="57" w:type="dxa"/>
              <w:left w:w="57" w:type="dxa"/>
              <w:bottom w:w="57" w:type="dxa"/>
              <w:right w:w="57" w:type="dxa"/>
            </w:tcMar>
            <w:vAlign w:val="center"/>
          </w:tcPr>
          <w:p>
            <w:pPr>
              <w:widowControl/>
              <w:adjustRightInd w:val="0"/>
              <w:snapToGrid w:val="0"/>
              <w:textAlignment w:val="center"/>
              <w:rPr>
                <w:rFonts w:hint="default" w:ascii="仿宋_GB2312" w:hAnsi="仿宋_GB2312" w:eastAsia="仿宋_GB2312" w:cs="仿宋_GB2312"/>
                <w:color w:val="000000"/>
                <w:kern w:val="0"/>
                <w:sz w:val="24"/>
                <w:szCs w:val="24"/>
                <w:lang w:val="en-US" w:eastAsia="zh-CN"/>
              </w:rPr>
            </w:pPr>
          </w:p>
        </w:tc>
        <w:tc>
          <w:tcPr>
            <w:tcW w:w="818" w:type="dxa"/>
            <w:vMerge w:val="continue"/>
            <w:tcBorders>
              <w:bottom w:val="single" w:color="auto" w:sz="4" w:space="0"/>
              <w:tl2br w:val="nil"/>
              <w:tr2bl w:val="nil"/>
            </w:tcBorders>
            <w:tcMar>
              <w:top w:w="57" w:type="dxa"/>
              <w:left w:w="57" w:type="dxa"/>
              <w:bottom w:w="57" w:type="dxa"/>
              <w:right w:w="57" w:type="dxa"/>
            </w:tcMar>
            <w:vAlign w:val="center"/>
          </w:tcPr>
          <w:p>
            <w:pPr>
              <w:widowControl/>
              <w:adjustRightInd w:val="0"/>
              <w:snapToGrid w:val="0"/>
              <w:textAlignment w:val="center"/>
              <w:rPr>
                <w:rFonts w:hint="default" w:ascii="仿宋_GB2312" w:hAnsi="仿宋_GB2312" w:eastAsia="仿宋_GB2312" w:cs="仿宋_GB2312"/>
                <w:color w:val="000000"/>
                <w:kern w:val="0"/>
                <w:sz w:val="24"/>
                <w:szCs w:val="24"/>
                <w:lang w:val="en-US" w:eastAsia="zh-CN"/>
              </w:rPr>
            </w:pPr>
          </w:p>
        </w:tc>
        <w:tc>
          <w:tcPr>
            <w:tcW w:w="1656" w:type="dxa"/>
            <w:vMerge w:val="continue"/>
            <w:tcBorders>
              <w:bottom w:val="single" w:color="auto" w:sz="4" w:space="0"/>
              <w:tl2br w:val="nil"/>
              <w:tr2bl w:val="nil"/>
            </w:tcBorders>
            <w:tcMar>
              <w:top w:w="57" w:type="dxa"/>
              <w:left w:w="57" w:type="dxa"/>
              <w:bottom w:w="57" w:type="dxa"/>
              <w:right w:w="57" w:type="dxa"/>
            </w:tcMar>
            <w:vAlign w:val="center"/>
          </w:tcPr>
          <w:p>
            <w:pPr>
              <w:widowControl/>
              <w:adjustRightInd w:val="0"/>
              <w:snapToGrid w:val="0"/>
              <w:textAlignment w:val="center"/>
              <w:rPr>
                <w:rFonts w:hint="default" w:ascii="仿宋_GB2312" w:hAnsi="仿宋_GB2312" w:eastAsia="仿宋_GB2312" w:cs="仿宋_GB2312"/>
                <w:color w:val="000000"/>
                <w:kern w:val="0"/>
                <w:sz w:val="24"/>
                <w:szCs w:val="24"/>
                <w:lang w:val="en-US" w:eastAsia="zh-CN"/>
              </w:rPr>
            </w:pPr>
          </w:p>
        </w:tc>
        <w:tc>
          <w:tcPr>
            <w:tcW w:w="2775" w:type="dxa"/>
            <w:tcBorders>
              <w:top w:val="single" w:color="auto" w:sz="4" w:space="0"/>
              <w:bottom w:val="single" w:color="auto" w:sz="4" w:space="0"/>
              <w:tl2br w:val="nil"/>
              <w:tr2bl w:val="nil"/>
            </w:tcBorders>
            <w:tcMar>
              <w:top w:w="57" w:type="dxa"/>
              <w:left w:w="57" w:type="dxa"/>
              <w:bottom w:w="57" w:type="dxa"/>
              <w:right w:w="57" w:type="dxa"/>
            </w:tcMar>
            <w:vAlign w:val="center"/>
          </w:tcPr>
          <w:p>
            <w:pPr>
              <w:widowControl/>
              <w:adjustRightInd w:val="0"/>
              <w:snapToGrid w:val="0"/>
              <w:textAlignment w:val="center"/>
              <w:rPr>
                <w:rFonts w:hint="eastAsia" w:ascii="仿宋_GB2312" w:hAnsi="仿宋_GB2312" w:eastAsia="仿宋_GB2312" w:cs="仿宋_GB2312"/>
                <w:color w:val="000000"/>
                <w:kern w:val="0"/>
                <w:sz w:val="24"/>
                <w:szCs w:val="24"/>
                <w:lang w:val="en-US" w:eastAsia="zh-CN"/>
              </w:rPr>
            </w:pPr>
            <w:r>
              <w:rPr>
                <w:rFonts w:hint="default" w:ascii="仿宋_GB2312" w:hAnsi="仿宋_GB2312" w:eastAsia="仿宋_GB2312" w:cs="仿宋_GB2312"/>
                <w:color w:val="000000"/>
                <w:kern w:val="0"/>
                <w:sz w:val="24"/>
                <w:szCs w:val="24"/>
                <w:lang w:val="en-US" w:eastAsia="zh-CN"/>
              </w:rPr>
              <w:t>价值五千元以上一万元以下</w:t>
            </w:r>
          </w:p>
        </w:tc>
        <w:tc>
          <w:tcPr>
            <w:tcW w:w="4011" w:type="dxa"/>
            <w:tcBorders>
              <w:top w:val="single" w:color="auto" w:sz="4" w:space="0"/>
              <w:bottom w:val="single" w:color="auto" w:sz="4" w:space="0"/>
              <w:tl2br w:val="nil"/>
              <w:tr2bl w:val="nil"/>
            </w:tcBorders>
            <w:tcMar>
              <w:top w:w="57" w:type="dxa"/>
              <w:left w:w="57" w:type="dxa"/>
              <w:bottom w:w="57" w:type="dxa"/>
              <w:right w:w="57" w:type="dxa"/>
            </w:tcMar>
            <w:vAlign w:val="center"/>
          </w:tcPr>
          <w:p>
            <w:pPr>
              <w:widowControl/>
              <w:adjustRightInd w:val="0"/>
              <w:snapToGrid w:val="0"/>
              <w:textAlignment w:val="center"/>
              <w:rPr>
                <w:rFonts w:hint="eastAsia" w:ascii="仿宋_GB2312" w:hAnsi="仿宋_GB2312" w:eastAsia="仿宋_GB2312" w:cs="仿宋_GB2312"/>
                <w:color w:val="000000"/>
                <w:kern w:val="0"/>
                <w:sz w:val="24"/>
                <w:szCs w:val="24"/>
                <w:lang w:val="en-US" w:eastAsia="zh-CN"/>
              </w:rPr>
            </w:pPr>
            <w:r>
              <w:rPr>
                <w:rFonts w:hint="default" w:ascii="仿宋_GB2312" w:hAnsi="仿宋_GB2312" w:eastAsia="仿宋_GB2312" w:cs="仿宋_GB2312"/>
                <w:color w:val="000000"/>
                <w:kern w:val="0"/>
                <w:sz w:val="24"/>
                <w:szCs w:val="24"/>
                <w:lang w:val="en-US" w:eastAsia="zh-CN"/>
              </w:rPr>
              <w:t>没收猎获物、猎捕工具和违法所得，吊销特许猎捕证，并处猎获物价值四倍以上六倍以下罚款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9" w:hRule="atLeast"/>
          <w:jc w:val="center"/>
        </w:trPr>
        <w:tc>
          <w:tcPr>
            <w:tcW w:w="421" w:type="dxa"/>
            <w:vMerge w:val="continue"/>
            <w:tcBorders>
              <w:tl2br w:val="nil"/>
              <w:tr2bl w:val="nil"/>
            </w:tcBorders>
            <w:tcMar>
              <w:top w:w="57" w:type="dxa"/>
              <w:left w:w="57" w:type="dxa"/>
              <w:bottom w:w="57" w:type="dxa"/>
              <w:right w:w="57" w:type="dxa"/>
            </w:tcMar>
            <w:vAlign w:val="center"/>
          </w:tcPr>
          <w:p>
            <w:pPr>
              <w:widowControl/>
              <w:adjustRightInd w:val="0"/>
              <w:snapToGrid w:val="0"/>
              <w:textAlignment w:val="center"/>
              <w:rPr>
                <w:rFonts w:hint="eastAsia" w:ascii="仿宋_GB2312" w:hAnsi="仿宋_GB2312" w:eastAsia="仿宋_GB2312" w:cs="仿宋_GB2312"/>
                <w:color w:val="000000"/>
                <w:kern w:val="0"/>
                <w:sz w:val="24"/>
                <w:szCs w:val="24"/>
                <w:lang w:val="en-US" w:eastAsia="zh-CN"/>
              </w:rPr>
            </w:pPr>
          </w:p>
        </w:tc>
        <w:tc>
          <w:tcPr>
            <w:tcW w:w="1098" w:type="dxa"/>
            <w:vMerge w:val="continue"/>
            <w:tcBorders>
              <w:tl2br w:val="nil"/>
              <w:tr2bl w:val="nil"/>
            </w:tcBorders>
            <w:tcMar>
              <w:top w:w="57" w:type="dxa"/>
              <w:left w:w="57" w:type="dxa"/>
              <w:bottom w:w="57" w:type="dxa"/>
              <w:right w:w="57" w:type="dxa"/>
            </w:tcMar>
            <w:vAlign w:val="center"/>
          </w:tcPr>
          <w:p>
            <w:pPr>
              <w:widowControl/>
              <w:adjustRightInd w:val="0"/>
              <w:snapToGrid w:val="0"/>
              <w:textAlignment w:val="center"/>
              <w:rPr>
                <w:rFonts w:hint="default" w:ascii="仿宋_GB2312" w:hAnsi="仿宋_GB2312" w:eastAsia="仿宋_GB2312" w:cs="仿宋_GB2312"/>
                <w:color w:val="000000"/>
                <w:kern w:val="0"/>
                <w:sz w:val="24"/>
                <w:szCs w:val="24"/>
                <w:lang w:val="en-US" w:eastAsia="zh-CN"/>
              </w:rPr>
            </w:pPr>
          </w:p>
        </w:tc>
        <w:tc>
          <w:tcPr>
            <w:tcW w:w="3221" w:type="dxa"/>
            <w:vMerge w:val="continue"/>
            <w:tcBorders>
              <w:tl2br w:val="nil"/>
              <w:tr2bl w:val="nil"/>
            </w:tcBorders>
            <w:tcMar>
              <w:top w:w="57" w:type="dxa"/>
              <w:left w:w="57" w:type="dxa"/>
              <w:bottom w:w="57" w:type="dxa"/>
              <w:right w:w="57" w:type="dxa"/>
            </w:tcMar>
            <w:vAlign w:val="center"/>
          </w:tcPr>
          <w:p>
            <w:pPr>
              <w:widowControl/>
              <w:adjustRightInd w:val="0"/>
              <w:snapToGrid w:val="0"/>
              <w:textAlignment w:val="center"/>
              <w:rPr>
                <w:rFonts w:hint="default" w:ascii="仿宋_GB2312" w:hAnsi="仿宋_GB2312" w:eastAsia="仿宋_GB2312" w:cs="仿宋_GB2312"/>
                <w:color w:val="000000"/>
                <w:kern w:val="0"/>
                <w:sz w:val="24"/>
                <w:szCs w:val="24"/>
                <w:lang w:val="en-US" w:eastAsia="zh-CN"/>
              </w:rPr>
            </w:pPr>
          </w:p>
        </w:tc>
        <w:tc>
          <w:tcPr>
            <w:tcW w:w="818" w:type="dxa"/>
            <w:vMerge w:val="restart"/>
            <w:tcBorders>
              <w:top w:val="single" w:color="auto" w:sz="4" w:space="0"/>
              <w:tl2br w:val="nil"/>
              <w:tr2bl w:val="nil"/>
            </w:tcBorders>
            <w:tcMar>
              <w:top w:w="57" w:type="dxa"/>
              <w:left w:w="57" w:type="dxa"/>
              <w:bottom w:w="57" w:type="dxa"/>
              <w:right w:w="57" w:type="dxa"/>
            </w:tcMar>
            <w:vAlign w:val="center"/>
          </w:tcPr>
          <w:p>
            <w:pPr>
              <w:widowControl/>
              <w:adjustRightInd w:val="0"/>
              <w:snapToGrid w:val="0"/>
              <w:textAlignment w:val="center"/>
              <w:rPr>
                <w:rFonts w:hint="eastAsia" w:ascii="仿宋_GB2312" w:hAnsi="仿宋_GB2312" w:eastAsia="仿宋_GB2312" w:cs="仿宋_GB2312"/>
                <w:color w:val="000000"/>
                <w:kern w:val="0"/>
                <w:sz w:val="24"/>
                <w:szCs w:val="24"/>
                <w:lang w:val="en-US" w:eastAsia="zh-CN"/>
              </w:rPr>
            </w:pPr>
            <w:r>
              <w:rPr>
                <w:rFonts w:hint="default" w:ascii="仿宋_GB2312" w:hAnsi="仿宋_GB2312" w:eastAsia="仿宋_GB2312" w:cs="仿宋_GB2312"/>
                <w:color w:val="000000"/>
                <w:kern w:val="0"/>
                <w:sz w:val="24"/>
                <w:szCs w:val="24"/>
                <w:lang w:val="en-US" w:eastAsia="zh-CN"/>
              </w:rPr>
              <w:t>严重</w:t>
            </w:r>
          </w:p>
        </w:tc>
        <w:tc>
          <w:tcPr>
            <w:tcW w:w="1656" w:type="dxa"/>
            <w:vMerge w:val="restart"/>
            <w:tcBorders>
              <w:top w:val="single" w:color="auto" w:sz="4" w:space="0"/>
              <w:tl2br w:val="nil"/>
              <w:tr2bl w:val="nil"/>
            </w:tcBorders>
            <w:tcMar>
              <w:top w:w="57" w:type="dxa"/>
              <w:left w:w="57" w:type="dxa"/>
              <w:bottom w:w="57" w:type="dxa"/>
              <w:right w:w="57" w:type="dxa"/>
            </w:tcMar>
            <w:vAlign w:val="center"/>
          </w:tcPr>
          <w:p>
            <w:pPr>
              <w:widowControl/>
              <w:adjustRightInd w:val="0"/>
              <w:snapToGrid w:val="0"/>
              <w:textAlignment w:val="center"/>
              <w:rPr>
                <w:rFonts w:hint="eastAsia" w:ascii="仿宋_GB2312" w:hAnsi="仿宋_GB2312" w:eastAsia="仿宋_GB2312" w:cs="仿宋_GB2312"/>
                <w:color w:val="000000"/>
                <w:kern w:val="0"/>
                <w:sz w:val="24"/>
                <w:szCs w:val="24"/>
                <w:lang w:val="en-US" w:eastAsia="zh-CN"/>
              </w:rPr>
            </w:pPr>
            <w:r>
              <w:rPr>
                <w:rFonts w:hint="default" w:ascii="仿宋_GB2312" w:hAnsi="仿宋_GB2312" w:eastAsia="仿宋_GB2312" w:cs="仿宋_GB2312"/>
                <w:color w:val="000000"/>
                <w:kern w:val="0"/>
                <w:sz w:val="24"/>
                <w:szCs w:val="24"/>
                <w:lang w:val="en-US" w:eastAsia="zh-CN"/>
              </w:rPr>
              <w:t>猎获物价值一万元以上</w:t>
            </w:r>
          </w:p>
        </w:tc>
        <w:tc>
          <w:tcPr>
            <w:tcW w:w="2775" w:type="dxa"/>
            <w:tcBorders>
              <w:top w:val="single" w:color="auto" w:sz="4" w:space="0"/>
              <w:bottom w:val="single" w:color="auto" w:sz="4" w:space="0"/>
              <w:tl2br w:val="nil"/>
              <w:tr2bl w:val="nil"/>
            </w:tcBorders>
            <w:tcMar>
              <w:top w:w="57" w:type="dxa"/>
              <w:left w:w="57" w:type="dxa"/>
              <w:bottom w:w="57" w:type="dxa"/>
              <w:right w:w="57" w:type="dxa"/>
            </w:tcMar>
            <w:vAlign w:val="center"/>
          </w:tcPr>
          <w:p>
            <w:pPr>
              <w:widowControl/>
              <w:adjustRightInd w:val="0"/>
              <w:snapToGrid w:val="0"/>
              <w:textAlignment w:val="center"/>
              <w:rPr>
                <w:rFonts w:hint="eastAsia" w:ascii="仿宋_GB2312" w:hAnsi="仿宋_GB2312" w:eastAsia="仿宋_GB2312" w:cs="仿宋_GB2312"/>
                <w:color w:val="000000"/>
                <w:kern w:val="0"/>
                <w:sz w:val="24"/>
                <w:szCs w:val="24"/>
                <w:lang w:val="en-US" w:eastAsia="zh-CN"/>
              </w:rPr>
            </w:pPr>
            <w:r>
              <w:rPr>
                <w:rFonts w:hint="default" w:ascii="仿宋_GB2312" w:hAnsi="仿宋_GB2312" w:eastAsia="仿宋_GB2312" w:cs="仿宋_GB2312"/>
                <w:color w:val="000000"/>
                <w:kern w:val="0"/>
                <w:sz w:val="24"/>
                <w:szCs w:val="24"/>
                <w:lang w:val="en-US" w:eastAsia="zh-CN"/>
              </w:rPr>
              <w:t>价值一万元以上二万元以下</w:t>
            </w:r>
          </w:p>
        </w:tc>
        <w:tc>
          <w:tcPr>
            <w:tcW w:w="4011" w:type="dxa"/>
            <w:tcBorders>
              <w:top w:val="single" w:color="auto" w:sz="4" w:space="0"/>
              <w:bottom w:val="single" w:color="auto" w:sz="4" w:space="0"/>
              <w:tl2br w:val="nil"/>
              <w:tr2bl w:val="nil"/>
            </w:tcBorders>
            <w:tcMar>
              <w:top w:w="57" w:type="dxa"/>
              <w:left w:w="57" w:type="dxa"/>
              <w:bottom w:w="57" w:type="dxa"/>
              <w:right w:w="57" w:type="dxa"/>
            </w:tcMar>
            <w:vAlign w:val="center"/>
          </w:tcPr>
          <w:p>
            <w:pPr>
              <w:widowControl/>
              <w:adjustRightInd w:val="0"/>
              <w:snapToGrid w:val="0"/>
              <w:textAlignment w:val="center"/>
              <w:rPr>
                <w:rFonts w:hint="eastAsia" w:ascii="仿宋_GB2312" w:hAnsi="仿宋_GB2312" w:eastAsia="仿宋_GB2312" w:cs="仿宋_GB2312"/>
                <w:color w:val="000000"/>
                <w:kern w:val="0"/>
                <w:sz w:val="24"/>
                <w:szCs w:val="24"/>
                <w:lang w:val="en-US" w:eastAsia="zh-CN"/>
              </w:rPr>
            </w:pPr>
            <w:r>
              <w:rPr>
                <w:rFonts w:hint="default" w:ascii="仿宋_GB2312" w:hAnsi="仿宋_GB2312" w:eastAsia="仿宋_GB2312" w:cs="仿宋_GB2312"/>
                <w:color w:val="000000"/>
                <w:kern w:val="0"/>
                <w:sz w:val="24"/>
                <w:szCs w:val="24"/>
                <w:lang w:val="en-US" w:eastAsia="zh-CN"/>
              </w:rPr>
              <w:t>没收猎获物、猎捕工具和违法所得，吊销特许猎捕证，并处猎获物价值六倍以上八倍以下罚款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0" w:hRule="atLeast"/>
          <w:jc w:val="center"/>
        </w:trPr>
        <w:tc>
          <w:tcPr>
            <w:tcW w:w="421" w:type="dxa"/>
            <w:vMerge w:val="continue"/>
            <w:tcBorders>
              <w:tl2br w:val="nil"/>
              <w:tr2bl w:val="nil"/>
            </w:tcBorders>
            <w:tcMar>
              <w:top w:w="57" w:type="dxa"/>
              <w:left w:w="57" w:type="dxa"/>
              <w:bottom w:w="57" w:type="dxa"/>
              <w:right w:w="57" w:type="dxa"/>
            </w:tcMar>
            <w:vAlign w:val="center"/>
          </w:tcPr>
          <w:p>
            <w:pPr>
              <w:widowControl/>
              <w:adjustRightInd w:val="0"/>
              <w:snapToGrid w:val="0"/>
              <w:textAlignment w:val="center"/>
              <w:rPr>
                <w:rFonts w:hint="eastAsia" w:ascii="仿宋_GB2312" w:hAnsi="仿宋_GB2312" w:eastAsia="仿宋_GB2312" w:cs="仿宋_GB2312"/>
                <w:color w:val="000000"/>
                <w:kern w:val="0"/>
                <w:sz w:val="24"/>
                <w:szCs w:val="24"/>
                <w:lang w:val="en-US" w:eastAsia="zh-CN"/>
              </w:rPr>
            </w:pPr>
          </w:p>
        </w:tc>
        <w:tc>
          <w:tcPr>
            <w:tcW w:w="1098" w:type="dxa"/>
            <w:vMerge w:val="continue"/>
            <w:tcBorders>
              <w:tl2br w:val="nil"/>
              <w:tr2bl w:val="nil"/>
            </w:tcBorders>
            <w:tcMar>
              <w:top w:w="57" w:type="dxa"/>
              <w:left w:w="57" w:type="dxa"/>
              <w:bottom w:w="57" w:type="dxa"/>
              <w:right w:w="57" w:type="dxa"/>
            </w:tcMar>
            <w:vAlign w:val="center"/>
          </w:tcPr>
          <w:p>
            <w:pPr>
              <w:widowControl/>
              <w:adjustRightInd w:val="0"/>
              <w:snapToGrid w:val="0"/>
              <w:textAlignment w:val="center"/>
              <w:rPr>
                <w:rFonts w:hint="default" w:ascii="仿宋_GB2312" w:hAnsi="仿宋_GB2312" w:eastAsia="仿宋_GB2312" w:cs="仿宋_GB2312"/>
                <w:color w:val="000000"/>
                <w:kern w:val="0"/>
                <w:sz w:val="24"/>
                <w:szCs w:val="24"/>
                <w:lang w:val="en-US" w:eastAsia="zh-CN"/>
              </w:rPr>
            </w:pPr>
          </w:p>
        </w:tc>
        <w:tc>
          <w:tcPr>
            <w:tcW w:w="3221" w:type="dxa"/>
            <w:vMerge w:val="continue"/>
            <w:tcBorders>
              <w:tl2br w:val="nil"/>
              <w:tr2bl w:val="nil"/>
            </w:tcBorders>
            <w:tcMar>
              <w:top w:w="57" w:type="dxa"/>
              <w:left w:w="57" w:type="dxa"/>
              <w:bottom w:w="57" w:type="dxa"/>
              <w:right w:w="57" w:type="dxa"/>
            </w:tcMar>
            <w:vAlign w:val="center"/>
          </w:tcPr>
          <w:p>
            <w:pPr>
              <w:widowControl/>
              <w:adjustRightInd w:val="0"/>
              <w:snapToGrid w:val="0"/>
              <w:textAlignment w:val="center"/>
              <w:rPr>
                <w:rFonts w:hint="default" w:ascii="仿宋_GB2312" w:hAnsi="仿宋_GB2312" w:eastAsia="仿宋_GB2312" w:cs="仿宋_GB2312"/>
                <w:color w:val="000000"/>
                <w:kern w:val="0"/>
                <w:sz w:val="24"/>
                <w:szCs w:val="24"/>
                <w:lang w:val="en-US" w:eastAsia="zh-CN"/>
              </w:rPr>
            </w:pPr>
          </w:p>
        </w:tc>
        <w:tc>
          <w:tcPr>
            <w:tcW w:w="818" w:type="dxa"/>
            <w:vMerge w:val="continue"/>
            <w:tcBorders>
              <w:tl2br w:val="nil"/>
              <w:tr2bl w:val="nil"/>
            </w:tcBorders>
            <w:tcMar>
              <w:top w:w="57" w:type="dxa"/>
              <w:left w:w="57" w:type="dxa"/>
              <w:bottom w:w="57" w:type="dxa"/>
              <w:right w:w="57" w:type="dxa"/>
            </w:tcMar>
            <w:vAlign w:val="center"/>
          </w:tcPr>
          <w:p>
            <w:pPr>
              <w:widowControl/>
              <w:adjustRightInd w:val="0"/>
              <w:snapToGrid w:val="0"/>
              <w:textAlignment w:val="center"/>
              <w:rPr>
                <w:rFonts w:hint="default" w:ascii="仿宋_GB2312" w:hAnsi="仿宋_GB2312" w:eastAsia="仿宋_GB2312" w:cs="仿宋_GB2312"/>
                <w:color w:val="000000"/>
                <w:kern w:val="0"/>
                <w:sz w:val="24"/>
                <w:szCs w:val="24"/>
                <w:lang w:val="en-US" w:eastAsia="zh-CN"/>
              </w:rPr>
            </w:pPr>
          </w:p>
        </w:tc>
        <w:tc>
          <w:tcPr>
            <w:tcW w:w="1656" w:type="dxa"/>
            <w:vMerge w:val="continue"/>
            <w:tcBorders>
              <w:tl2br w:val="nil"/>
              <w:tr2bl w:val="nil"/>
            </w:tcBorders>
            <w:tcMar>
              <w:top w:w="57" w:type="dxa"/>
              <w:left w:w="57" w:type="dxa"/>
              <w:bottom w:w="57" w:type="dxa"/>
              <w:right w:w="57" w:type="dxa"/>
            </w:tcMar>
            <w:vAlign w:val="center"/>
          </w:tcPr>
          <w:p>
            <w:pPr>
              <w:widowControl/>
              <w:adjustRightInd w:val="0"/>
              <w:snapToGrid w:val="0"/>
              <w:textAlignment w:val="center"/>
              <w:rPr>
                <w:rFonts w:hint="default" w:ascii="仿宋_GB2312" w:hAnsi="仿宋_GB2312" w:eastAsia="仿宋_GB2312" w:cs="仿宋_GB2312"/>
                <w:color w:val="000000"/>
                <w:kern w:val="0"/>
                <w:sz w:val="24"/>
                <w:szCs w:val="24"/>
                <w:lang w:val="en-US" w:eastAsia="zh-CN"/>
              </w:rPr>
            </w:pPr>
          </w:p>
        </w:tc>
        <w:tc>
          <w:tcPr>
            <w:tcW w:w="2775" w:type="dxa"/>
            <w:tcBorders>
              <w:top w:val="single" w:color="auto" w:sz="4" w:space="0"/>
              <w:tl2br w:val="nil"/>
              <w:tr2bl w:val="nil"/>
            </w:tcBorders>
            <w:tcMar>
              <w:top w:w="57" w:type="dxa"/>
              <w:left w:w="57" w:type="dxa"/>
              <w:bottom w:w="57" w:type="dxa"/>
              <w:right w:w="57" w:type="dxa"/>
            </w:tcMar>
            <w:vAlign w:val="center"/>
          </w:tcPr>
          <w:p>
            <w:pPr>
              <w:widowControl/>
              <w:adjustRightInd w:val="0"/>
              <w:snapToGrid w:val="0"/>
              <w:textAlignment w:val="center"/>
              <w:rPr>
                <w:rFonts w:hint="eastAsia" w:ascii="仿宋_GB2312" w:hAnsi="仿宋_GB2312" w:eastAsia="仿宋_GB2312" w:cs="仿宋_GB2312"/>
                <w:color w:val="000000"/>
                <w:kern w:val="0"/>
                <w:sz w:val="24"/>
                <w:szCs w:val="24"/>
                <w:lang w:val="en-US" w:eastAsia="zh-CN"/>
              </w:rPr>
            </w:pPr>
            <w:r>
              <w:rPr>
                <w:rFonts w:hint="default" w:ascii="仿宋_GB2312" w:hAnsi="仿宋_GB2312" w:eastAsia="仿宋_GB2312" w:cs="仿宋_GB2312"/>
                <w:color w:val="000000"/>
                <w:kern w:val="0"/>
                <w:sz w:val="24"/>
                <w:szCs w:val="24"/>
                <w:lang w:val="en-US" w:eastAsia="zh-CN"/>
              </w:rPr>
              <w:t>价值二万元以上</w:t>
            </w:r>
          </w:p>
        </w:tc>
        <w:tc>
          <w:tcPr>
            <w:tcW w:w="4011" w:type="dxa"/>
            <w:tcBorders>
              <w:top w:val="single" w:color="auto" w:sz="4" w:space="0"/>
              <w:tl2br w:val="nil"/>
              <w:tr2bl w:val="nil"/>
            </w:tcBorders>
            <w:tcMar>
              <w:top w:w="57" w:type="dxa"/>
              <w:left w:w="57" w:type="dxa"/>
              <w:bottom w:w="57" w:type="dxa"/>
              <w:right w:w="57" w:type="dxa"/>
            </w:tcMar>
            <w:vAlign w:val="center"/>
          </w:tcPr>
          <w:p>
            <w:pPr>
              <w:widowControl/>
              <w:adjustRightInd w:val="0"/>
              <w:snapToGrid w:val="0"/>
              <w:textAlignment w:val="center"/>
              <w:rPr>
                <w:rFonts w:hint="eastAsia" w:ascii="仿宋_GB2312" w:hAnsi="仿宋_GB2312" w:eastAsia="仿宋_GB2312" w:cs="仿宋_GB2312"/>
                <w:color w:val="000000"/>
                <w:kern w:val="0"/>
                <w:sz w:val="24"/>
                <w:szCs w:val="24"/>
                <w:lang w:val="en-US" w:eastAsia="zh-CN"/>
              </w:rPr>
            </w:pPr>
            <w:r>
              <w:rPr>
                <w:rFonts w:hint="default" w:ascii="仿宋_GB2312" w:hAnsi="仿宋_GB2312" w:eastAsia="仿宋_GB2312" w:cs="仿宋_GB2312"/>
                <w:color w:val="000000"/>
                <w:kern w:val="0"/>
                <w:sz w:val="24"/>
                <w:szCs w:val="24"/>
                <w:lang w:val="en-US" w:eastAsia="zh-CN"/>
              </w:rPr>
              <w:t>没收猎获物、猎捕工具和违法所得，吊销特许猎捕证，并处猎获物价值八倍以上不超过十倍罚款</w:t>
            </w:r>
          </w:p>
        </w:tc>
      </w:tr>
    </w:tbl>
    <w:p>
      <w:pPr>
        <w:pStyle w:val="2"/>
      </w:pPr>
    </w:p>
    <w:p>
      <w:pPr>
        <w:pStyle w:val="2"/>
      </w:pPr>
    </w:p>
    <w:tbl>
      <w:tblPr>
        <w:tblStyle w:val="7"/>
        <w:tblW w:w="140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21"/>
        <w:gridCol w:w="1098"/>
        <w:gridCol w:w="3221"/>
        <w:gridCol w:w="818"/>
        <w:gridCol w:w="1656"/>
        <w:gridCol w:w="2775"/>
        <w:gridCol w:w="401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tblHeader/>
          <w:jc w:val="center"/>
        </w:trPr>
        <w:tc>
          <w:tcPr>
            <w:tcW w:w="421"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黑体" w:hAnsi="黑体" w:eastAsia="黑体" w:cs="黑体"/>
                <w:color w:val="000000"/>
                <w:sz w:val="24"/>
                <w:szCs w:val="24"/>
              </w:rPr>
            </w:pPr>
            <w:r>
              <w:rPr>
                <w:rFonts w:hint="eastAsia" w:ascii="黑体" w:hAnsi="黑体" w:eastAsia="黑体" w:cs="黑体"/>
                <w:color w:val="000000"/>
                <w:kern w:val="0"/>
                <w:sz w:val="24"/>
                <w:szCs w:val="24"/>
              </w:rPr>
              <w:t>序号</w:t>
            </w:r>
          </w:p>
        </w:tc>
        <w:tc>
          <w:tcPr>
            <w:tcW w:w="1098"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黑体" w:hAnsi="黑体" w:eastAsia="黑体" w:cs="黑体"/>
                <w:color w:val="000000"/>
                <w:sz w:val="24"/>
                <w:szCs w:val="24"/>
              </w:rPr>
            </w:pPr>
            <w:r>
              <w:rPr>
                <w:rFonts w:hint="eastAsia" w:ascii="黑体" w:hAnsi="黑体" w:eastAsia="黑体" w:cs="黑体"/>
                <w:color w:val="000000"/>
                <w:kern w:val="0"/>
                <w:sz w:val="24"/>
                <w:szCs w:val="24"/>
              </w:rPr>
              <w:t>违法行为</w:t>
            </w:r>
          </w:p>
        </w:tc>
        <w:tc>
          <w:tcPr>
            <w:tcW w:w="3221"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黑体" w:hAnsi="黑体" w:eastAsia="黑体" w:cs="黑体"/>
                <w:color w:val="000000"/>
                <w:sz w:val="24"/>
                <w:szCs w:val="24"/>
              </w:rPr>
            </w:pPr>
            <w:r>
              <w:rPr>
                <w:rFonts w:hint="eastAsia" w:ascii="黑体" w:hAnsi="黑体" w:eastAsia="黑体" w:cs="黑体"/>
                <w:color w:val="000000"/>
                <w:kern w:val="0"/>
                <w:sz w:val="24"/>
                <w:szCs w:val="24"/>
              </w:rPr>
              <w:t>处罚依据</w:t>
            </w:r>
          </w:p>
        </w:tc>
        <w:tc>
          <w:tcPr>
            <w:tcW w:w="818"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黑体" w:hAnsi="黑体" w:eastAsia="黑体" w:cs="黑体"/>
                <w:color w:val="000000"/>
                <w:sz w:val="24"/>
                <w:szCs w:val="24"/>
              </w:rPr>
            </w:pPr>
            <w:r>
              <w:rPr>
                <w:rFonts w:hint="eastAsia" w:ascii="黑体" w:hAnsi="黑体" w:eastAsia="黑体" w:cs="黑体"/>
                <w:color w:val="000000"/>
                <w:kern w:val="0"/>
                <w:sz w:val="24"/>
                <w:szCs w:val="24"/>
              </w:rPr>
              <w:t>违法程度</w:t>
            </w:r>
          </w:p>
        </w:tc>
        <w:tc>
          <w:tcPr>
            <w:tcW w:w="1656"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黑体" w:hAnsi="黑体" w:eastAsia="黑体" w:cs="黑体"/>
                <w:color w:val="000000"/>
                <w:sz w:val="24"/>
                <w:szCs w:val="24"/>
              </w:rPr>
            </w:pPr>
            <w:r>
              <w:rPr>
                <w:rFonts w:hint="eastAsia" w:ascii="黑体" w:hAnsi="黑体" w:eastAsia="黑体" w:cs="黑体"/>
                <w:color w:val="000000"/>
                <w:kern w:val="0"/>
                <w:sz w:val="24"/>
                <w:szCs w:val="24"/>
              </w:rPr>
              <w:t>违法情节</w:t>
            </w:r>
          </w:p>
        </w:tc>
        <w:tc>
          <w:tcPr>
            <w:tcW w:w="6786" w:type="dxa"/>
            <w:gridSpan w:val="2"/>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黑体" w:hAnsi="黑体" w:eastAsia="黑体" w:cs="黑体"/>
                <w:color w:val="000000"/>
                <w:sz w:val="24"/>
                <w:szCs w:val="24"/>
              </w:rPr>
            </w:pPr>
            <w:r>
              <w:rPr>
                <w:rFonts w:hint="eastAsia" w:ascii="黑体" w:hAnsi="黑体" w:eastAsia="黑体" w:cs="黑体"/>
                <w:color w:val="000000"/>
                <w:kern w:val="0"/>
                <w:sz w:val="24"/>
                <w:szCs w:val="24"/>
              </w:rPr>
              <w:t>裁量标准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5" w:hRule="atLeast"/>
          <w:jc w:val="center"/>
        </w:trPr>
        <w:tc>
          <w:tcPr>
            <w:tcW w:w="421" w:type="dxa"/>
            <w:vMerge w:val="restart"/>
            <w:tcBorders>
              <w:tl2br w:val="nil"/>
              <w:tr2bl w:val="nil"/>
            </w:tcBorders>
            <w:tcMar>
              <w:top w:w="57" w:type="dxa"/>
              <w:left w:w="57" w:type="dxa"/>
              <w:bottom w:w="57" w:type="dxa"/>
              <w:right w:w="57" w:type="dxa"/>
            </w:tcMar>
            <w:vAlign w:val="center"/>
          </w:tcPr>
          <w:p>
            <w:pPr>
              <w:widowControl/>
              <w:adjustRightInd w:val="0"/>
              <w:snapToGrid w:val="0"/>
              <w:textAlignment w:val="center"/>
              <w:rPr>
                <w:rFonts w:hint="default"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19</w:t>
            </w:r>
          </w:p>
        </w:tc>
        <w:tc>
          <w:tcPr>
            <w:tcW w:w="1098" w:type="dxa"/>
            <w:vMerge w:val="restart"/>
            <w:tcBorders>
              <w:tl2br w:val="nil"/>
              <w:tr2bl w:val="nil"/>
            </w:tcBorders>
            <w:tcMar>
              <w:top w:w="57" w:type="dxa"/>
              <w:left w:w="57" w:type="dxa"/>
              <w:bottom w:w="57" w:type="dxa"/>
              <w:right w:w="57" w:type="dxa"/>
            </w:tcMar>
            <w:vAlign w:val="center"/>
          </w:tcPr>
          <w:p>
            <w:pPr>
              <w:widowControl/>
              <w:adjustRightInd w:val="0"/>
              <w:snapToGrid w:val="0"/>
              <w:textAlignment w:val="center"/>
              <w:rPr>
                <w:rFonts w:hint="default" w:ascii="仿宋_GB2312" w:hAnsi="仿宋_GB2312" w:eastAsia="仿宋_GB2312" w:cs="仿宋_GB2312"/>
                <w:color w:val="000000"/>
                <w:kern w:val="0"/>
                <w:sz w:val="24"/>
                <w:szCs w:val="24"/>
                <w:lang w:val="en-US" w:eastAsia="zh-CN"/>
              </w:rPr>
            </w:pPr>
            <w:r>
              <w:rPr>
                <w:rFonts w:hint="default" w:ascii="仿宋_GB2312" w:hAnsi="仿宋_GB2312" w:eastAsia="仿宋_GB2312" w:cs="仿宋_GB2312"/>
                <w:color w:val="000000"/>
                <w:kern w:val="0"/>
                <w:sz w:val="24"/>
                <w:szCs w:val="24"/>
                <w:lang w:val="en-US" w:eastAsia="zh-CN"/>
              </w:rPr>
              <w:t>未按照特许猎捕证规定猎捕、杀害国家重点保护水生野生动物</w:t>
            </w:r>
          </w:p>
        </w:tc>
        <w:tc>
          <w:tcPr>
            <w:tcW w:w="3221" w:type="dxa"/>
            <w:vMerge w:val="restart"/>
            <w:tcBorders>
              <w:tl2br w:val="nil"/>
              <w:tr2bl w:val="nil"/>
            </w:tcBorders>
            <w:tcMar>
              <w:top w:w="57" w:type="dxa"/>
              <w:left w:w="57" w:type="dxa"/>
              <w:bottom w:w="57" w:type="dxa"/>
              <w:right w:w="57" w:type="dxa"/>
            </w:tcMar>
            <w:vAlign w:val="center"/>
          </w:tcPr>
          <w:p>
            <w:pPr>
              <w:widowControl/>
              <w:adjustRightInd w:val="0"/>
              <w:snapToGrid w:val="0"/>
              <w:textAlignment w:val="center"/>
              <w:rPr>
                <w:rFonts w:hint="eastAsia" w:ascii="仿宋_GB2312" w:hAnsi="仿宋_GB2312" w:eastAsia="仿宋_GB2312" w:cs="仿宋_GB2312"/>
                <w:color w:val="000000"/>
                <w:kern w:val="0"/>
                <w:sz w:val="24"/>
                <w:szCs w:val="24"/>
                <w:lang w:val="en-US" w:eastAsia="zh-CN"/>
              </w:rPr>
            </w:pPr>
            <w:r>
              <w:rPr>
                <w:rFonts w:hint="default" w:ascii="仿宋_GB2312" w:hAnsi="仿宋_GB2312" w:eastAsia="仿宋_GB2312" w:cs="仿宋_GB2312"/>
                <w:color w:val="000000"/>
                <w:kern w:val="0"/>
                <w:sz w:val="24"/>
                <w:szCs w:val="24"/>
                <w:lang w:val="en-US" w:eastAsia="zh-CN"/>
              </w:rPr>
              <w:t>《中华人民共和国野生动物保护法》第四十五条，违反本法第二十条、第二十一条、第二十三条第一款、第二十四条第一款规定，在相关自然保护区域、禁猎（渔）区、禁猎（渔）期猎捕国家重点保护野生动物，未取得特许猎捕证、未按照特许猎捕证规定猎捕、杀害国家重点保护野生动物，或者使用禁用的工具、方法猎捕国家重点保护野生动物的，由县级以上人民政府野生动物保护主管部门、海洋执法部门或者有关保护区域管理机构按照职责分工没收猎获物、猎捕工具和违法所得，吊销特许猎捕证，并处猎获物价值二倍以上十倍以下的罚款；没有猎获物的，并处一万元以上五万元以下的罚款；构成犯罪的，依法追究刑事责任。</w:t>
            </w:r>
          </w:p>
        </w:tc>
        <w:tc>
          <w:tcPr>
            <w:tcW w:w="818" w:type="dxa"/>
            <w:vMerge w:val="restart"/>
            <w:tcBorders>
              <w:tl2br w:val="nil"/>
              <w:tr2bl w:val="nil"/>
            </w:tcBorders>
            <w:tcMar>
              <w:top w:w="57" w:type="dxa"/>
              <w:left w:w="57" w:type="dxa"/>
              <w:bottom w:w="57" w:type="dxa"/>
              <w:right w:w="57" w:type="dxa"/>
            </w:tcMar>
            <w:vAlign w:val="center"/>
          </w:tcPr>
          <w:p>
            <w:pPr>
              <w:widowControl/>
              <w:adjustRightInd w:val="0"/>
              <w:snapToGrid w:val="0"/>
              <w:textAlignment w:val="center"/>
              <w:rPr>
                <w:rFonts w:hint="eastAsia" w:ascii="仿宋_GB2312" w:hAnsi="仿宋_GB2312" w:eastAsia="仿宋_GB2312" w:cs="仿宋_GB2312"/>
                <w:color w:val="000000"/>
                <w:kern w:val="0"/>
                <w:sz w:val="24"/>
                <w:szCs w:val="24"/>
                <w:lang w:val="en-US" w:eastAsia="zh-CN"/>
              </w:rPr>
            </w:pPr>
            <w:r>
              <w:rPr>
                <w:rFonts w:hint="default" w:ascii="仿宋_GB2312" w:hAnsi="仿宋_GB2312" w:eastAsia="仿宋_GB2312" w:cs="仿宋_GB2312"/>
                <w:color w:val="000000"/>
                <w:kern w:val="0"/>
                <w:sz w:val="24"/>
                <w:szCs w:val="24"/>
                <w:lang w:val="en-US" w:eastAsia="zh-CN"/>
              </w:rPr>
              <w:t>较轻</w:t>
            </w:r>
          </w:p>
        </w:tc>
        <w:tc>
          <w:tcPr>
            <w:tcW w:w="1656" w:type="dxa"/>
            <w:vMerge w:val="restart"/>
            <w:tcBorders>
              <w:tl2br w:val="nil"/>
              <w:tr2bl w:val="nil"/>
            </w:tcBorders>
            <w:tcMar>
              <w:top w:w="57" w:type="dxa"/>
              <w:left w:w="57" w:type="dxa"/>
              <w:bottom w:w="57" w:type="dxa"/>
              <w:right w:w="57" w:type="dxa"/>
            </w:tcMar>
            <w:vAlign w:val="center"/>
          </w:tcPr>
          <w:p>
            <w:pPr>
              <w:widowControl/>
              <w:adjustRightInd w:val="0"/>
              <w:snapToGrid w:val="0"/>
              <w:textAlignment w:val="center"/>
              <w:rPr>
                <w:rFonts w:hint="eastAsia" w:ascii="仿宋_GB2312" w:hAnsi="仿宋_GB2312" w:eastAsia="仿宋_GB2312" w:cs="仿宋_GB2312"/>
                <w:color w:val="000000"/>
                <w:kern w:val="0"/>
                <w:sz w:val="24"/>
                <w:szCs w:val="24"/>
                <w:lang w:val="en-US" w:eastAsia="zh-CN"/>
              </w:rPr>
            </w:pPr>
            <w:r>
              <w:rPr>
                <w:rFonts w:hint="default" w:ascii="仿宋_GB2312" w:hAnsi="仿宋_GB2312" w:eastAsia="仿宋_GB2312" w:cs="仿宋_GB2312"/>
                <w:color w:val="000000"/>
                <w:kern w:val="0"/>
                <w:sz w:val="24"/>
                <w:szCs w:val="24"/>
                <w:lang w:val="en-US" w:eastAsia="zh-CN"/>
              </w:rPr>
              <w:t>没有猎获物</w:t>
            </w:r>
          </w:p>
        </w:tc>
        <w:tc>
          <w:tcPr>
            <w:tcW w:w="2775" w:type="dxa"/>
            <w:tcBorders>
              <w:bottom w:val="single" w:color="auto" w:sz="4" w:space="0"/>
              <w:tl2br w:val="nil"/>
              <w:tr2bl w:val="nil"/>
            </w:tcBorders>
            <w:tcMar>
              <w:top w:w="57" w:type="dxa"/>
              <w:left w:w="57" w:type="dxa"/>
              <w:bottom w:w="57" w:type="dxa"/>
              <w:right w:w="57" w:type="dxa"/>
            </w:tcMar>
            <w:vAlign w:val="center"/>
          </w:tcPr>
          <w:p>
            <w:pPr>
              <w:widowControl/>
              <w:adjustRightInd w:val="0"/>
              <w:snapToGrid w:val="0"/>
              <w:textAlignment w:val="center"/>
              <w:rPr>
                <w:rFonts w:hint="eastAsia" w:ascii="仿宋_GB2312" w:hAnsi="仿宋_GB2312" w:eastAsia="仿宋_GB2312" w:cs="仿宋_GB2312"/>
                <w:color w:val="000000"/>
                <w:kern w:val="0"/>
                <w:sz w:val="24"/>
                <w:szCs w:val="24"/>
                <w:lang w:val="en-US" w:eastAsia="zh-CN"/>
              </w:rPr>
            </w:pPr>
            <w:r>
              <w:rPr>
                <w:rFonts w:hint="default" w:ascii="仿宋_GB2312" w:hAnsi="仿宋_GB2312" w:eastAsia="仿宋_GB2312" w:cs="仿宋_GB2312"/>
                <w:color w:val="000000"/>
                <w:kern w:val="0"/>
                <w:sz w:val="24"/>
                <w:szCs w:val="24"/>
                <w:lang w:val="en-US" w:eastAsia="zh-CN"/>
              </w:rPr>
              <w:t>未使用禁用的工具，方法，也未在相关自然保护区域、禁渔区、禁渔期进行猎捕</w:t>
            </w:r>
          </w:p>
        </w:tc>
        <w:tc>
          <w:tcPr>
            <w:tcW w:w="4011" w:type="dxa"/>
            <w:tcBorders>
              <w:bottom w:val="single" w:color="auto" w:sz="4" w:space="0"/>
              <w:tl2br w:val="nil"/>
              <w:tr2bl w:val="nil"/>
            </w:tcBorders>
            <w:tcMar>
              <w:top w:w="57" w:type="dxa"/>
              <w:left w:w="57" w:type="dxa"/>
              <w:bottom w:w="57" w:type="dxa"/>
              <w:right w:w="57" w:type="dxa"/>
            </w:tcMar>
            <w:vAlign w:val="center"/>
          </w:tcPr>
          <w:p>
            <w:pPr>
              <w:widowControl/>
              <w:adjustRightInd w:val="0"/>
              <w:snapToGrid w:val="0"/>
              <w:textAlignment w:val="center"/>
              <w:rPr>
                <w:rFonts w:hint="eastAsia" w:ascii="仿宋_GB2312" w:hAnsi="仿宋_GB2312" w:eastAsia="仿宋_GB2312" w:cs="仿宋_GB2312"/>
                <w:color w:val="000000"/>
                <w:kern w:val="0"/>
                <w:sz w:val="24"/>
                <w:szCs w:val="24"/>
                <w:lang w:val="en-US" w:eastAsia="zh-CN"/>
              </w:rPr>
            </w:pPr>
            <w:r>
              <w:rPr>
                <w:rFonts w:hint="default" w:ascii="仿宋_GB2312" w:hAnsi="仿宋_GB2312" w:eastAsia="仿宋_GB2312" w:cs="仿宋_GB2312"/>
                <w:color w:val="000000"/>
                <w:kern w:val="0"/>
                <w:sz w:val="24"/>
                <w:szCs w:val="24"/>
                <w:lang w:val="en-US" w:eastAsia="zh-CN"/>
              </w:rPr>
              <w:t>没收猎捕工具，并处一万元以上三万元以下罚款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 w:hRule="atLeast"/>
          <w:jc w:val="center"/>
        </w:trPr>
        <w:tc>
          <w:tcPr>
            <w:tcW w:w="421" w:type="dxa"/>
            <w:vMerge w:val="continue"/>
            <w:tcBorders>
              <w:tl2br w:val="nil"/>
              <w:tr2bl w:val="nil"/>
            </w:tcBorders>
            <w:tcMar>
              <w:top w:w="57" w:type="dxa"/>
              <w:left w:w="57" w:type="dxa"/>
              <w:bottom w:w="57" w:type="dxa"/>
              <w:right w:w="57" w:type="dxa"/>
            </w:tcMar>
            <w:vAlign w:val="center"/>
          </w:tcPr>
          <w:p>
            <w:pPr>
              <w:widowControl/>
              <w:adjustRightInd w:val="0"/>
              <w:snapToGrid w:val="0"/>
              <w:textAlignment w:val="center"/>
              <w:rPr>
                <w:rFonts w:hint="eastAsia" w:ascii="仿宋_GB2312" w:hAnsi="仿宋_GB2312" w:eastAsia="仿宋_GB2312" w:cs="仿宋_GB2312"/>
                <w:color w:val="000000"/>
                <w:kern w:val="0"/>
                <w:sz w:val="24"/>
                <w:szCs w:val="24"/>
                <w:lang w:val="en-US" w:eastAsia="zh-CN"/>
              </w:rPr>
            </w:pPr>
          </w:p>
        </w:tc>
        <w:tc>
          <w:tcPr>
            <w:tcW w:w="1098" w:type="dxa"/>
            <w:vMerge w:val="continue"/>
            <w:tcBorders>
              <w:tl2br w:val="nil"/>
              <w:tr2bl w:val="nil"/>
            </w:tcBorders>
            <w:tcMar>
              <w:top w:w="57" w:type="dxa"/>
              <w:left w:w="57" w:type="dxa"/>
              <w:bottom w:w="57" w:type="dxa"/>
              <w:right w:w="57" w:type="dxa"/>
            </w:tcMar>
            <w:vAlign w:val="center"/>
          </w:tcPr>
          <w:p>
            <w:pPr>
              <w:widowControl/>
              <w:adjustRightInd w:val="0"/>
              <w:snapToGrid w:val="0"/>
              <w:textAlignment w:val="center"/>
              <w:rPr>
                <w:rFonts w:hint="default" w:ascii="仿宋_GB2312" w:hAnsi="仿宋_GB2312" w:eastAsia="仿宋_GB2312" w:cs="仿宋_GB2312"/>
                <w:color w:val="000000"/>
                <w:kern w:val="0"/>
                <w:sz w:val="24"/>
                <w:szCs w:val="24"/>
                <w:lang w:val="en-US" w:eastAsia="zh-CN"/>
              </w:rPr>
            </w:pPr>
          </w:p>
        </w:tc>
        <w:tc>
          <w:tcPr>
            <w:tcW w:w="3221" w:type="dxa"/>
            <w:vMerge w:val="continue"/>
            <w:tcBorders>
              <w:tl2br w:val="nil"/>
              <w:tr2bl w:val="nil"/>
            </w:tcBorders>
            <w:tcMar>
              <w:top w:w="57" w:type="dxa"/>
              <w:left w:w="57" w:type="dxa"/>
              <w:bottom w:w="57" w:type="dxa"/>
              <w:right w:w="57" w:type="dxa"/>
            </w:tcMar>
            <w:vAlign w:val="center"/>
          </w:tcPr>
          <w:p>
            <w:pPr>
              <w:widowControl/>
              <w:adjustRightInd w:val="0"/>
              <w:snapToGrid w:val="0"/>
              <w:textAlignment w:val="center"/>
              <w:rPr>
                <w:rFonts w:hint="default" w:ascii="仿宋_GB2312" w:hAnsi="仿宋_GB2312" w:eastAsia="仿宋_GB2312" w:cs="仿宋_GB2312"/>
                <w:color w:val="000000"/>
                <w:kern w:val="0"/>
                <w:sz w:val="24"/>
                <w:szCs w:val="24"/>
                <w:lang w:val="en-US" w:eastAsia="zh-CN"/>
              </w:rPr>
            </w:pPr>
          </w:p>
        </w:tc>
        <w:tc>
          <w:tcPr>
            <w:tcW w:w="818" w:type="dxa"/>
            <w:vMerge w:val="continue"/>
            <w:tcBorders>
              <w:bottom w:val="single" w:color="auto" w:sz="4" w:space="0"/>
              <w:tl2br w:val="nil"/>
              <w:tr2bl w:val="nil"/>
            </w:tcBorders>
            <w:tcMar>
              <w:top w:w="57" w:type="dxa"/>
              <w:left w:w="57" w:type="dxa"/>
              <w:bottom w:w="57" w:type="dxa"/>
              <w:right w:w="57" w:type="dxa"/>
            </w:tcMar>
            <w:vAlign w:val="center"/>
          </w:tcPr>
          <w:p>
            <w:pPr>
              <w:widowControl/>
              <w:adjustRightInd w:val="0"/>
              <w:snapToGrid w:val="0"/>
              <w:textAlignment w:val="center"/>
              <w:rPr>
                <w:rFonts w:hint="default" w:ascii="仿宋_GB2312" w:hAnsi="仿宋_GB2312" w:eastAsia="仿宋_GB2312" w:cs="仿宋_GB2312"/>
                <w:color w:val="000000"/>
                <w:kern w:val="0"/>
                <w:sz w:val="24"/>
                <w:szCs w:val="24"/>
                <w:lang w:val="en-US" w:eastAsia="zh-CN"/>
              </w:rPr>
            </w:pPr>
          </w:p>
        </w:tc>
        <w:tc>
          <w:tcPr>
            <w:tcW w:w="1656" w:type="dxa"/>
            <w:vMerge w:val="continue"/>
            <w:tcBorders>
              <w:bottom w:val="single" w:color="auto" w:sz="4" w:space="0"/>
              <w:tl2br w:val="nil"/>
              <w:tr2bl w:val="nil"/>
            </w:tcBorders>
            <w:tcMar>
              <w:top w:w="57" w:type="dxa"/>
              <w:left w:w="57" w:type="dxa"/>
              <w:bottom w:w="57" w:type="dxa"/>
              <w:right w:w="57" w:type="dxa"/>
            </w:tcMar>
            <w:vAlign w:val="center"/>
          </w:tcPr>
          <w:p>
            <w:pPr>
              <w:widowControl/>
              <w:adjustRightInd w:val="0"/>
              <w:snapToGrid w:val="0"/>
              <w:textAlignment w:val="center"/>
              <w:rPr>
                <w:rFonts w:hint="default" w:ascii="仿宋_GB2312" w:hAnsi="仿宋_GB2312" w:eastAsia="仿宋_GB2312" w:cs="仿宋_GB2312"/>
                <w:color w:val="000000"/>
                <w:kern w:val="0"/>
                <w:sz w:val="24"/>
                <w:szCs w:val="24"/>
                <w:lang w:val="en-US" w:eastAsia="zh-CN"/>
              </w:rPr>
            </w:pPr>
          </w:p>
        </w:tc>
        <w:tc>
          <w:tcPr>
            <w:tcW w:w="2775" w:type="dxa"/>
            <w:tcBorders>
              <w:top w:val="single" w:color="auto" w:sz="4" w:space="0"/>
              <w:bottom w:val="single" w:color="auto" w:sz="4" w:space="0"/>
              <w:tl2br w:val="nil"/>
              <w:tr2bl w:val="nil"/>
            </w:tcBorders>
            <w:tcMar>
              <w:top w:w="57" w:type="dxa"/>
              <w:left w:w="57" w:type="dxa"/>
              <w:bottom w:w="57" w:type="dxa"/>
              <w:right w:w="57" w:type="dxa"/>
            </w:tcMar>
            <w:vAlign w:val="center"/>
          </w:tcPr>
          <w:p>
            <w:pPr>
              <w:widowControl/>
              <w:adjustRightInd w:val="0"/>
              <w:snapToGrid w:val="0"/>
              <w:textAlignment w:val="center"/>
              <w:rPr>
                <w:rFonts w:hint="eastAsia" w:ascii="仿宋_GB2312" w:hAnsi="仿宋_GB2312" w:eastAsia="仿宋_GB2312" w:cs="仿宋_GB2312"/>
                <w:color w:val="000000"/>
                <w:kern w:val="0"/>
                <w:sz w:val="24"/>
                <w:szCs w:val="24"/>
                <w:lang w:val="en-US" w:eastAsia="zh-CN"/>
              </w:rPr>
            </w:pPr>
            <w:r>
              <w:rPr>
                <w:rFonts w:hint="default" w:ascii="仿宋_GB2312" w:hAnsi="仿宋_GB2312" w:eastAsia="仿宋_GB2312" w:cs="仿宋_GB2312"/>
                <w:color w:val="000000"/>
                <w:kern w:val="0"/>
                <w:sz w:val="24"/>
                <w:szCs w:val="24"/>
                <w:lang w:val="en-US" w:eastAsia="zh-CN"/>
              </w:rPr>
              <w:t>使用禁用的工具、方法，或在相关自然保护区、禁渔区、禁渔期进行猎捕</w:t>
            </w:r>
          </w:p>
        </w:tc>
        <w:tc>
          <w:tcPr>
            <w:tcW w:w="4011" w:type="dxa"/>
            <w:tcBorders>
              <w:top w:val="single" w:color="auto" w:sz="4" w:space="0"/>
              <w:bottom w:val="single" w:color="auto" w:sz="4" w:space="0"/>
              <w:tl2br w:val="nil"/>
              <w:tr2bl w:val="nil"/>
            </w:tcBorders>
            <w:tcMar>
              <w:top w:w="57" w:type="dxa"/>
              <w:left w:w="57" w:type="dxa"/>
              <w:bottom w:w="57" w:type="dxa"/>
              <w:right w:w="57" w:type="dxa"/>
            </w:tcMar>
            <w:vAlign w:val="center"/>
          </w:tcPr>
          <w:p>
            <w:pPr>
              <w:widowControl/>
              <w:adjustRightInd w:val="0"/>
              <w:snapToGrid w:val="0"/>
              <w:textAlignment w:val="center"/>
              <w:rPr>
                <w:rFonts w:hint="eastAsia" w:ascii="仿宋_GB2312" w:hAnsi="仿宋_GB2312" w:eastAsia="仿宋_GB2312" w:cs="仿宋_GB2312"/>
                <w:color w:val="000000"/>
                <w:kern w:val="0"/>
                <w:sz w:val="24"/>
                <w:szCs w:val="24"/>
                <w:lang w:val="en-US" w:eastAsia="zh-CN"/>
              </w:rPr>
            </w:pPr>
            <w:r>
              <w:rPr>
                <w:rFonts w:hint="default" w:ascii="仿宋_GB2312" w:hAnsi="仿宋_GB2312" w:eastAsia="仿宋_GB2312" w:cs="仿宋_GB2312"/>
                <w:color w:val="000000"/>
                <w:kern w:val="0"/>
                <w:sz w:val="24"/>
                <w:szCs w:val="24"/>
                <w:lang w:val="en-US" w:eastAsia="zh-CN"/>
              </w:rPr>
              <w:t>没收猎捕工具，并处三万元以上不超过五万元罚款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8" w:hRule="atLeast"/>
          <w:jc w:val="center"/>
        </w:trPr>
        <w:tc>
          <w:tcPr>
            <w:tcW w:w="421" w:type="dxa"/>
            <w:vMerge w:val="continue"/>
            <w:tcBorders>
              <w:tl2br w:val="nil"/>
              <w:tr2bl w:val="nil"/>
            </w:tcBorders>
            <w:tcMar>
              <w:top w:w="57" w:type="dxa"/>
              <w:left w:w="57" w:type="dxa"/>
              <w:bottom w:w="57" w:type="dxa"/>
              <w:right w:w="57" w:type="dxa"/>
            </w:tcMar>
            <w:vAlign w:val="center"/>
          </w:tcPr>
          <w:p>
            <w:pPr>
              <w:widowControl/>
              <w:adjustRightInd w:val="0"/>
              <w:snapToGrid w:val="0"/>
              <w:textAlignment w:val="center"/>
              <w:rPr>
                <w:rFonts w:hint="eastAsia" w:ascii="仿宋_GB2312" w:hAnsi="仿宋_GB2312" w:eastAsia="仿宋_GB2312" w:cs="仿宋_GB2312"/>
                <w:color w:val="000000"/>
                <w:kern w:val="0"/>
                <w:sz w:val="24"/>
                <w:szCs w:val="24"/>
                <w:lang w:val="en-US" w:eastAsia="zh-CN"/>
              </w:rPr>
            </w:pPr>
          </w:p>
        </w:tc>
        <w:tc>
          <w:tcPr>
            <w:tcW w:w="1098" w:type="dxa"/>
            <w:vMerge w:val="continue"/>
            <w:tcBorders>
              <w:tl2br w:val="nil"/>
              <w:tr2bl w:val="nil"/>
            </w:tcBorders>
            <w:tcMar>
              <w:top w:w="57" w:type="dxa"/>
              <w:left w:w="57" w:type="dxa"/>
              <w:bottom w:w="57" w:type="dxa"/>
              <w:right w:w="57" w:type="dxa"/>
            </w:tcMar>
            <w:vAlign w:val="center"/>
          </w:tcPr>
          <w:p>
            <w:pPr>
              <w:widowControl/>
              <w:adjustRightInd w:val="0"/>
              <w:snapToGrid w:val="0"/>
              <w:textAlignment w:val="center"/>
              <w:rPr>
                <w:rFonts w:hint="default" w:ascii="仿宋_GB2312" w:hAnsi="仿宋_GB2312" w:eastAsia="仿宋_GB2312" w:cs="仿宋_GB2312"/>
                <w:color w:val="000000"/>
                <w:kern w:val="0"/>
                <w:sz w:val="24"/>
                <w:szCs w:val="24"/>
                <w:lang w:val="en-US" w:eastAsia="zh-CN"/>
              </w:rPr>
            </w:pPr>
          </w:p>
        </w:tc>
        <w:tc>
          <w:tcPr>
            <w:tcW w:w="3221" w:type="dxa"/>
            <w:vMerge w:val="continue"/>
            <w:tcBorders>
              <w:tl2br w:val="nil"/>
              <w:tr2bl w:val="nil"/>
            </w:tcBorders>
            <w:tcMar>
              <w:top w:w="57" w:type="dxa"/>
              <w:left w:w="57" w:type="dxa"/>
              <w:bottom w:w="57" w:type="dxa"/>
              <w:right w:w="57" w:type="dxa"/>
            </w:tcMar>
            <w:vAlign w:val="center"/>
          </w:tcPr>
          <w:p>
            <w:pPr>
              <w:widowControl/>
              <w:adjustRightInd w:val="0"/>
              <w:snapToGrid w:val="0"/>
              <w:textAlignment w:val="center"/>
              <w:rPr>
                <w:rFonts w:hint="default" w:ascii="仿宋_GB2312" w:hAnsi="仿宋_GB2312" w:eastAsia="仿宋_GB2312" w:cs="仿宋_GB2312"/>
                <w:color w:val="000000"/>
                <w:kern w:val="0"/>
                <w:sz w:val="24"/>
                <w:szCs w:val="24"/>
                <w:lang w:val="en-US" w:eastAsia="zh-CN"/>
              </w:rPr>
            </w:pPr>
          </w:p>
        </w:tc>
        <w:tc>
          <w:tcPr>
            <w:tcW w:w="818" w:type="dxa"/>
            <w:vMerge w:val="restart"/>
            <w:tcBorders>
              <w:top w:val="single" w:color="auto" w:sz="4" w:space="0"/>
              <w:tl2br w:val="nil"/>
              <w:tr2bl w:val="nil"/>
            </w:tcBorders>
            <w:tcMar>
              <w:top w:w="57" w:type="dxa"/>
              <w:left w:w="57" w:type="dxa"/>
              <w:bottom w:w="57" w:type="dxa"/>
              <w:right w:w="57" w:type="dxa"/>
            </w:tcMar>
            <w:vAlign w:val="center"/>
          </w:tcPr>
          <w:p>
            <w:pPr>
              <w:widowControl/>
              <w:adjustRightInd w:val="0"/>
              <w:snapToGrid w:val="0"/>
              <w:textAlignment w:val="center"/>
              <w:rPr>
                <w:rFonts w:hint="eastAsia" w:ascii="仿宋_GB2312" w:hAnsi="仿宋_GB2312" w:eastAsia="仿宋_GB2312" w:cs="仿宋_GB2312"/>
                <w:color w:val="000000"/>
                <w:kern w:val="0"/>
                <w:sz w:val="24"/>
                <w:szCs w:val="24"/>
                <w:lang w:val="en-US" w:eastAsia="zh-CN"/>
              </w:rPr>
            </w:pPr>
            <w:r>
              <w:rPr>
                <w:rFonts w:hint="default" w:ascii="仿宋_GB2312" w:hAnsi="仿宋_GB2312" w:eastAsia="仿宋_GB2312" w:cs="仿宋_GB2312"/>
                <w:color w:val="000000"/>
                <w:kern w:val="0"/>
                <w:sz w:val="24"/>
                <w:szCs w:val="24"/>
                <w:lang w:val="en-US" w:eastAsia="zh-CN"/>
              </w:rPr>
              <w:t>一般</w:t>
            </w:r>
          </w:p>
        </w:tc>
        <w:tc>
          <w:tcPr>
            <w:tcW w:w="1656" w:type="dxa"/>
            <w:vMerge w:val="restart"/>
            <w:tcBorders>
              <w:top w:val="single" w:color="auto" w:sz="4" w:space="0"/>
              <w:tl2br w:val="nil"/>
              <w:tr2bl w:val="nil"/>
            </w:tcBorders>
            <w:tcMar>
              <w:top w:w="57" w:type="dxa"/>
              <w:left w:w="57" w:type="dxa"/>
              <w:bottom w:w="57" w:type="dxa"/>
              <w:right w:w="57" w:type="dxa"/>
            </w:tcMar>
            <w:vAlign w:val="center"/>
          </w:tcPr>
          <w:p>
            <w:pPr>
              <w:widowControl/>
              <w:adjustRightInd w:val="0"/>
              <w:snapToGrid w:val="0"/>
              <w:textAlignment w:val="center"/>
              <w:rPr>
                <w:rFonts w:hint="eastAsia" w:ascii="仿宋_GB2312" w:hAnsi="仿宋_GB2312" w:eastAsia="仿宋_GB2312" w:cs="仿宋_GB2312"/>
                <w:color w:val="000000"/>
                <w:kern w:val="0"/>
                <w:sz w:val="24"/>
                <w:szCs w:val="24"/>
                <w:lang w:val="en-US" w:eastAsia="zh-CN"/>
              </w:rPr>
            </w:pPr>
            <w:r>
              <w:rPr>
                <w:rFonts w:hint="default" w:ascii="仿宋_GB2312" w:hAnsi="仿宋_GB2312" w:eastAsia="仿宋_GB2312" w:cs="仿宋_GB2312"/>
                <w:color w:val="000000"/>
                <w:kern w:val="0"/>
                <w:sz w:val="24"/>
                <w:szCs w:val="24"/>
                <w:lang w:val="en-US" w:eastAsia="zh-CN"/>
              </w:rPr>
              <w:t>猎获物价值一万元以下</w:t>
            </w:r>
          </w:p>
        </w:tc>
        <w:tc>
          <w:tcPr>
            <w:tcW w:w="2775" w:type="dxa"/>
            <w:tcBorders>
              <w:top w:val="single" w:color="auto" w:sz="4" w:space="0"/>
              <w:bottom w:val="single" w:color="auto" w:sz="4" w:space="0"/>
              <w:tl2br w:val="nil"/>
              <w:tr2bl w:val="nil"/>
            </w:tcBorders>
            <w:tcMar>
              <w:top w:w="57" w:type="dxa"/>
              <w:left w:w="57" w:type="dxa"/>
              <w:bottom w:w="57" w:type="dxa"/>
              <w:right w:w="57" w:type="dxa"/>
            </w:tcMar>
            <w:vAlign w:val="center"/>
          </w:tcPr>
          <w:p>
            <w:pPr>
              <w:widowControl/>
              <w:adjustRightInd w:val="0"/>
              <w:snapToGrid w:val="0"/>
              <w:textAlignment w:val="center"/>
              <w:rPr>
                <w:rFonts w:hint="eastAsia" w:ascii="仿宋_GB2312" w:hAnsi="仿宋_GB2312" w:eastAsia="仿宋_GB2312" w:cs="仿宋_GB2312"/>
                <w:color w:val="000000"/>
                <w:kern w:val="0"/>
                <w:sz w:val="24"/>
                <w:szCs w:val="24"/>
                <w:lang w:val="en-US" w:eastAsia="zh-CN"/>
              </w:rPr>
            </w:pPr>
            <w:r>
              <w:rPr>
                <w:rFonts w:hint="default" w:ascii="仿宋_GB2312" w:hAnsi="仿宋_GB2312" w:eastAsia="仿宋_GB2312" w:cs="仿宋_GB2312"/>
                <w:color w:val="000000"/>
                <w:kern w:val="0"/>
                <w:sz w:val="24"/>
                <w:szCs w:val="24"/>
                <w:lang w:val="en-US" w:eastAsia="zh-CN"/>
              </w:rPr>
              <w:t>价值五千元以下</w:t>
            </w:r>
          </w:p>
        </w:tc>
        <w:tc>
          <w:tcPr>
            <w:tcW w:w="4011" w:type="dxa"/>
            <w:tcBorders>
              <w:top w:val="single" w:color="auto" w:sz="4" w:space="0"/>
              <w:bottom w:val="single" w:color="auto" w:sz="4" w:space="0"/>
              <w:tl2br w:val="nil"/>
              <w:tr2bl w:val="nil"/>
            </w:tcBorders>
            <w:tcMar>
              <w:top w:w="57" w:type="dxa"/>
              <w:left w:w="57" w:type="dxa"/>
              <w:bottom w:w="57" w:type="dxa"/>
              <w:right w:w="57" w:type="dxa"/>
            </w:tcMar>
            <w:vAlign w:val="center"/>
          </w:tcPr>
          <w:p>
            <w:pPr>
              <w:widowControl/>
              <w:adjustRightInd w:val="0"/>
              <w:snapToGrid w:val="0"/>
              <w:textAlignment w:val="center"/>
              <w:rPr>
                <w:rFonts w:hint="eastAsia" w:ascii="仿宋_GB2312" w:hAnsi="仿宋_GB2312" w:eastAsia="仿宋_GB2312" w:cs="仿宋_GB2312"/>
                <w:color w:val="000000"/>
                <w:kern w:val="0"/>
                <w:sz w:val="24"/>
                <w:szCs w:val="24"/>
                <w:lang w:val="en-US" w:eastAsia="zh-CN"/>
              </w:rPr>
            </w:pPr>
            <w:r>
              <w:rPr>
                <w:rFonts w:hint="default" w:ascii="仿宋_GB2312" w:hAnsi="仿宋_GB2312" w:eastAsia="仿宋_GB2312" w:cs="仿宋_GB2312"/>
                <w:color w:val="000000"/>
                <w:kern w:val="0"/>
                <w:sz w:val="24"/>
                <w:szCs w:val="24"/>
                <w:lang w:val="en-US" w:eastAsia="zh-CN"/>
              </w:rPr>
              <w:t>没收猎获物、猎捕工具和违法所得，吊销特许猎捕证，并处猎获物价值二倍以上四倍以下罚款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jc w:val="center"/>
        </w:trPr>
        <w:tc>
          <w:tcPr>
            <w:tcW w:w="421" w:type="dxa"/>
            <w:vMerge w:val="continue"/>
            <w:tcBorders>
              <w:tl2br w:val="nil"/>
              <w:tr2bl w:val="nil"/>
            </w:tcBorders>
            <w:tcMar>
              <w:top w:w="57" w:type="dxa"/>
              <w:left w:w="57" w:type="dxa"/>
              <w:bottom w:w="57" w:type="dxa"/>
              <w:right w:w="57" w:type="dxa"/>
            </w:tcMar>
            <w:vAlign w:val="center"/>
          </w:tcPr>
          <w:p>
            <w:pPr>
              <w:widowControl/>
              <w:adjustRightInd w:val="0"/>
              <w:snapToGrid w:val="0"/>
              <w:textAlignment w:val="center"/>
              <w:rPr>
                <w:rFonts w:hint="eastAsia" w:ascii="仿宋_GB2312" w:hAnsi="仿宋_GB2312" w:eastAsia="仿宋_GB2312" w:cs="仿宋_GB2312"/>
                <w:color w:val="000000"/>
                <w:kern w:val="0"/>
                <w:sz w:val="24"/>
                <w:szCs w:val="24"/>
                <w:lang w:val="en-US" w:eastAsia="zh-CN"/>
              </w:rPr>
            </w:pPr>
          </w:p>
        </w:tc>
        <w:tc>
          <w:tcPr>
            <w:tcW w:w="1098" w:type="dxa"/>
            <w:vMerge w:val="continue"/>
            <w:tcBorders>
              <w:tl2br w:val="nil"/>
              <w:tr2bl w:val="nil"/>
            </w:tcBorders>
            <w:tcMar>
              <w:top w:w="57" w:type="dxa"/>
              <w:left w:w="57" w:type="dxa"/>
              <w:bottom w:w="57" w:type="dxa"/>
              <w:right w:w="57" w:type="dxa"/>
            </w:tcMar>
            <w:vAlign w:val="center"/>
          </w:tcPr>
          <w:p>
            <w:pPr>
              <w:widowControl/>
              <w:adjustRightInd w:val="0"/>
              <w:snapToGrid w:val="0"/>
              <w:textAlignment w:val="center"/>
              <w:rPr>
                <w:rFonts w:hint="default" w:ascii="仿宋_GB2312" w:hAnsi="仿宋_GB2312" w:eastAsia="仿宋_GB2312" w:cs="仿宋_GB2312"/>
                <w:color w:val="000000"/>
                <w:kern w:val="0"/>
                <w:sz w:val="24"/>
                <w:szCs w:val="24"/>
                <w:lang w:val="en-US" w:eastAsia="zh-CN"/>
              </w:rPr>
            </w:pPr>
          </w:p>
        </w:tc>
        <w:tc>
          <w:tcPr>
            <w:tcW w:w="3221" w:type="dxa"/>
            <w:vMerge w:val="continue"/>
            <w:tcBorders>
              <w:tl2br w:val="nil"/>
              <w:tr2bl w:val="nil"/>
            </w:tcBorders>
            <w:tcMar>
              <w:top w:w="57" w:type="dxa"/>
              <w:left w:w="57" w:type="dxa"/>
              <w:bottom w:w="57" w:type="dxa"/>
              <w:right w:w="57" w:type="dxa"/>
            </w:tcMar>
            <w:vAlign w:val="center"/>
          </w:tcPr>
          <w:p>
            <w:pPr>
              <w:widowControl/>
              <w:adjustRightInd w:val="0"/>
              <w:snapToGrid w:val="0"/>
              <w:textAlignment w:val="center"/>
              <w:rPr>
                <w:rFonts w:hint="default" w:ascii="仿宋_GB2312" w:hAnsi="仿宋_GB2312" w:eastAsia="仿宋_GB2312" w:cs="仿宋_GB2312"/>
                <w:color w:val="000000"/>
                <w:kern w:val="0"/>
                <w:sz w:val="24"/>
                <w:szCs w:val="24"/>
                <w:lang w:val="en-US" w:eastAsia="zh-CN"/>
              </w:rPr>
            </w:pPr>
          </w:p>
        </w:tc>
        <w:tc>
          <w:tcPr>
            <w:tcW w:w="818" w:type="dxa"/>
            <w:vMerge w:val="continue"/>
            <w:tcBorders>
              <w:bottom w:val="single" w:color="auto" w:sz="4" w:space="0"/>
              <w:tl2br w:val="nil"/>
              <w:tr2bl w:val="nil"/>
            </w:tcBorders>
            <w:tcMar>
              <w:top w:w="57" w:type="dxa"/>
              <w:left w:w="57" w:type="dxa"/>
              <w:bottom w:w="57" w:type="dxa"/>
              <w:right w:w="57" w:type="dxa"/>
            </w:tcMar>
            <w:vAlign w:val="center"/>
          </w:tcPr>
          <w:p>
            <w:pPr>
              <w:widowControl/>
              <w:adjustRightInd w:val="0"/>
              <w:snapToGrid w:val="0"/>
              <w:textAlignment w:val="center"/>
              <w:rPr>
                <w:rFonts w:hint="default" w:ascii="仿宋_GB2312" w:hAnsi="仿宋_GB2312" w:eastAsia="仿宋_GB2312" w:cs="仿宋_GB2312"/>
                <w:color w:val="000000"/>
                <w:kern w:val="0"/>
                <w:sz w:val="24"/>
                <w:szCs w:val="24"/>
                <w:lang w:val="en-US" w:eastAsia="zh-CN"/>
              </w:rPr>
            </w:pPr>
          </w:p>
        </w:tc>
        <w:tc>
          <w:tcPr>
            <w:tcW w:w="1656" w:type="dxa"/>
            <w:vMerge w:val="continue"/>
            <w:tcBorders>
              <w:bottom w:val="single" w:color="auto" w:sz="4" w:space="0"/>
              <w:tl2br w:val="nil"/>
              <w:tr2bl w:val="nil"/>
            </w:tcBorders>
            <w:tcMar>
              <w:top w:w="57" w:type="dxa"/>
              <w:left w:w="57" w:type="dxa"/>
              <w:bottom w:w="57" w:type="dxa"/>
              <w:right w:w="57" w:type="dxa"/>
            </w:tcMar>
            <w:vAlign w:val="center"/>
          </w:tcPr>
          <w:p>
            <w:pPr>
              <w:widowControl/>
              <w:adjustRightInd w:val="0"/>
              <w:snapToGrid w:val="0"/>
              <w:textAlignment w:val="center"/>
              <w:rPr>
                <w:rFonts w:hint="default" w:ascii="仿宋_GB2312" w:hAnsi="仿宋_GB2312" w:eastAsia="仿宋_GB2312" w:cs="仿宋_GB2312"/>
                <w:color w:val="000000"/>
                <w:kern w:val="0"/>
                <w:sz w:val="24"/>
                <w:szCs w:val="24"/>
                <w:lang w:val="en-US" w:eastAsia="zh-CN"/>
              </w:rPr>
            </w:pPr>
          </w:p>
        </w:tc>
        <w:tc>
          <w:tcPr>
            <w:tcW w:w="2775" w:type="dxa"/>
            <w:tcBorders>
              <w:top w:val="single" w:color="auto" w:sz="4" w:space="0"/>
              <w:bottom w:val="single" w:color="auto" w:sz="4" w:space="0"/>
              <w:tl2br w:val="nil"/>
              <w:tr2bl w:val="nil"/>
            </w:tcBorders>
            <w:tcMar>
              <w:top w:w="57" w:type="dxa"/>
              <w:left w:w="57" w:type="dxa"/>
              <w:bottom w:w="57" w:type="dxa"/>
              <w:right w:w="57" w:type="dxa"/>
            </w:tcMar>
            <w:vAlign w:val="center"/>
          </w:tcPr>
          <w:p>
            <w:pPr>
              <w:widowControl/>
              <w:adjustRightInd w:val="0"/>
              <w:snapToGrid w:val="0"/>
              <w:textAlignment w:val="center"/>
              <w:rPr>
                <w:rFonts w:hint="eastAsia" w:ascii="仿宋_GB2312" w:hAnsi="仿宋_GB2312" w:eastAsia="仿宋_GB2312" w:cs="仿宋_GB2312"/>
                <w:color w:val="000000"/>
                <w:kern w:val="0"/>
                <w:sz w:val="24"/>
                <w:szCs w:val="24"/>
                <w:lang w:val="en-US" w:eastAsia="zh-CN"/>
              </w:rPr>
            </w:pPr>
            <w:r>
              <w:rPr>
                <w:rFonts w:hint="default" w:ascii="仿宋_GB2312" w:hAnsi="仿宋_GB2312" w:eastAsia="仿宋_GB2312" w:cs="仿宋_GB2312"/>
                <w:color w:val="000000"/>
                <w:kern w:val="0"/>
                <w:sz w:val="24"/>
                <w:szCs w:val="24"/>
                <w:lang w:val="en-US" w:eastAsia="zh-CN"/>
              </w:rPr>
              <w:t>价值五千元以上一万元以下</w:t>
            </w:r>
          </w:p>
        </w:tc>
        <w:tc>
          <w:tcPr>
            <w:tcW w:w="4011" w:type="dxa"/>
            <w:tcBorders>
              <w:top w:val="single" w:color="auto" w:sz="4" w:space="0"/>
              <w:bottom w:val="single" w:color="auto" w:sz="4" w:space="0"/>
              <w:tl2br w:val="nil"/>
              <w:tr2bl w:val="nil"/>
            </w:tcBorders>
            <w:tcMar>
              <w:top w:w="57" w:type="dxa"/>
              <w:left w:w="57" w:type="dxa"/>
              <w:bottom w:w="57" w:type="dxa"/>
              <w:right w:w="57" w:type="dxa"/>
            </w:tcMar>
            <w:vAlign w:val="center"/>
          </w:tcPr>
          <w:p>
            <w:pPr>
              <w:widowControl/>
              <w:adjustRightInd w:val="0"/>
              <w:snapToGrid w:val="0"/>
              <w:textAlignment w:val="center"/>
              <w:rPr>
                <w:rFonts w:hint="eastAsia" w:ascii="仿宋_GB2312" w:hAnsi="仿宋_GB2312" w:eastAsia="仿宋_GB2312" w:cs="仿宋_GB2312"/>
                <w:color w:val="000000"/>
                <w:kern w:val="0"/>
                <w:sz w:val="24"/>
                <w:szCs w:val="24"/>
                <w:lang w:val="en-US" w:eastAsia="zh-CN"/>
              </w:rPr>
            </w:pPr>
            <w:r>
              <w:rPr>
                <w:rFonts w:hint="default" w:ascii="仿宋_GB2312" w:hAnsi="仿宋_GB2312" w:eastAsia="仿宋_GB2312" w:cs="仿宋_GB2312"/>
                <w:color w:val="000000"/>
                <w:kern w:val="0"/>
                <w:sz w:val="24"/>
                <w:szCs w:val="24"/>
                <w:lang w:val="en-US" w:eastAsia="zh-CN"/>
              </w:rPr>
              <w:t>没收猎获物、猎捕工具和违法所得，吊销特许猎捕证，并处猎获物价值四倍以上六倍以下罚款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9" w:hRule="atLeast"/>
          <w:jc w:val="center"/>
        </w:trPr>
        <w:tc>
          <w:tcPr>
            <w:tcW w:w="421" w:type="dxa"/>
            <w:vMerge w:val="continue"/>
            <w:tcBorders>
              <w:tl2br w:val="nil"/>
              <w:tr2bl w:val="nil"/>
            </w:tcBorders>
            <w:tcMar>
              <w:top w:w="57" w:type="dxa"/>
              <w:left w:w="57" w:type="dxa"/>
              <w:bottom w:w="57" w:type="dxa"/>
              <w:right w:w="57" w:type="dxa"/>
            </w:tcMar>
            <w:vAlign w:val="center"/>
          </w:tcPr>
          <w:p>
            <w:pPr>
              <w:widowControl/>
              <w:adjustRightInd w:val="0"/>
              <w:snapToGrid w:val="0"/>
              <w:textAlignment w:val="center"/>
              <w:rPr>
                <w:rFonts w:hint="eastAsia" w:ascii="仿宋_GB2312" w:hAnsi="仿宋_GB2312" w:eastAsia="仿宋_GB2312" w:cs="仿宋_GB2312"/>
                <w:color w:val="000000"/>
                <w:kern w:val="0"/>
                <w:sz w:val="24"/>
                <w:szCs w:val="24"/>
                <w:lang w:val="en-US" w:eastAsia="zh-CN"/>
              </w:rPr>
            </w:pPr>
          </w:p>
        </w:tc>
        <w:tc>
          <w:tcPr>
            <w:tcW w:w="1098" w:type="dxa"/>
            <w:vMerge w:val="continue"/>
            <w:tcBorders>
              <w:tl2br w:val="nil"/>
              <w:tr2bl w:val="nil"/>
            </w:tcBorders>
            <w:tcMar>
              <w:top w:w="57" w:type="dxa"/>
              <w:left w:w="57" w:type="dxa"/>
              <w:bottom w:w="57" w:type="dxa"/>
              <w:right w:w="57" w:type="dxa"/>
            </w:tcMar>
            <w:vAlign w:val="center"/>
          </w:tcPr>
          <w:p>
            <w:pPr>
              <w:widowControl/>
              <w:adjustRightInd w:val="0"/>
              <w:snapToGrid w:val="0"/>
              <w:textAlignment w:val="center"/>
              <w:rPr>
                <w:rFonts w:hint="default" w:ascii="仿宋_GB2312" w:hAnsi="仿宋_GB2312" w:eastAsia="仿宋_GB2312" w:cs="仿宋_GB2312"/>
                <w:color w:val="000000"/>
                <w:kern w:val="0"/>
                <w:sz w:val="24"/>
                <w:szCs w:val="24"/>
                <w:lang w:val="en-US" w:eastAsia="zh-CN"/>
              </w:rPr>
            </w:pPr>
          </w:p>
        </w:tc>
        <w:tc>
          <w:tcPr>
            <w:tcW w:w="3221" w:type="dxa"/>
            <w:vMerge w:val="continue"/>
            <w:tcBorders>
              <w:tl2br w:val="nil"/>
              <w:tr2bl w:val="nil"/>
            </w:tcBorders>
            <w:tcMar>
              <w:top w:w="57" w:type="dxa"/>
              <w:left w:w="57" w:type="dxa"/>
              <w:bottom w:w="57" w:type="dxa"/>
              <w:right w:w="57" w:type="dxa"/>
            </w:tcMar>
            <w:vAlign w:val="center"/>
          </w:tcPr>
          <w:p>
            <w:pPr>
              <w:widowControl/>
              <w:adjustRightInd w:val="0"/>
              <w:snapToGrid w:val="0"/>
              <w:textAlignment w:val="center"/>
              <w:rPr>
                <w:rFonts w:hint="default" w:ascii="仿宋_GB2312" w:hAnsi="仿宋_GB2312" w:eastAsia="仿宋_GB2312" w:cs="仿宋_GB2312"/>
                <w:color w:val="000000"/>
                <w:kern w:val="0"/>
                <w:sz w:val="24"/>
                <w:szCs w:val="24"/>
                <w:lang w:val="en-US" w:eastAsia="zh-CN"/>
              </w:rPr>
            </w:pPr>
          </w:p>
        </w:tc>
        <w:tc>
          <w:tcPr>
            <w:tcW w:w="818" w:type="dxa"/>
            <w:vMerge w:val="restart"/>
            <w:tcBorders>
              <w:top w:val="single" w:color="auto" w:sz="4" w:space="0"/>
              <w:tl2br w:val="nil"/>
              <w:tr2bl w:val="nil"/>
            </w:tcBorders>
            <w:tcMar>
              <w:top w:w="57" w:type="dxa"/>
              <w:left w:w="57" w:type="dxa"/>
              <w:bottom w:w="57" w:type="dxa"/>
              <w:right w:w="57" w:type="dxa"/>
            </w:tcMar>
            <w:vAlign w:val="center"/>
          </w:tcPr>
          <w:p>
            <w:pPr>
              <w:widowControl/>
              <w:adjustRightInd w:val="0"/>
              <w:snapToGrid w:val="0"/>
              <w:textAlignment w:val="center"/>
              <w:rPr>
                <w:rFonts w:hint="eastAsia" w:ascii="仿宋_GB2312" w:hAnsi="仿宋_GB2312" w:eastAsia="仿宋_GB2312" w:cs="仿宋_GB2312"/>
                <w:color w:val="000000"/>
                <w:kern w:val="0"/>
                <w:sz w:val="24"/>
                <w:szCs w:val="24"/>
                <w:lang w:val="en-US" w:eastAsia="zh-CN"/>
              </w:rPr>
            </w:pPr>
            <w:r>
              <w:rPr>
                <w:rFonts w:hint="default" w:ascii="仿宋_GB2312" w:hAnsi="仿宋_GB2312" w:eastAsia="仿宋_GB2312" w:cs="仿宋_GB2312"/>
                <w:color w:val="000000"/>
                <w:kern w:val="0"/>
                <w:sz w:val="24"/>
                <w:szCs w:val="24"/>
                <w:lang w:val="en-US" w:eastAsia="zh-CN"/>
              </w:rPr>
              <w:t>严重</w:t>
            </w:r>
          </w:p>
        </w:tc>
        <w:tc>
          <w:tcPr>
            <w:tcW w:w="1656" w:type="dxa"/>
            <w:vMerge w:val="restart"/>
            <w:tcBorders>
              <w:top w:val="single" w:color="auto" w:sz="4" w:space="0"/>
              <w:tl2br w:val="nil"/>
              <w:tr2bl w:val="nil"/>
            </w:tcBorders>
            <w:tcMar>
              <w:top w:w="57" w:type="dxa"/>
              <w:left w:w="57" w:type="dxa"/>
              <w:bottom w:w="57" w:type="dxa"/>
              <w:right w:w="57" w:type="dxa"/>
            </w:tcMar>
            <w:vAlign w:val="center"/>
          </w:tcPr>
          <w:p>
            <w:pPr>
              <w:widowControl/>
              <w:adjustRightInd w:val="0"/>
              <w:snapToGrid w:val="0"/>
              <w:textAlignment w:val="center"/>
              <w:rPr>
                <w:rFonts w:hint="eastAsia" w:ascii="仿宋_GB2312" w:hAnsi="仿宋_GB2312" w:eastAsia="仿宋_GB2312" w:cs="仿宋_GB2312"/>
                <w:color w:val="000000"/>
                <w:kern w:val="0"/>
                <w:sz w:val="24"/>
                <w:szCs w:val="24"/>
                <w:lang w:val="en-US" w:eastAsia="zh-CN"/>
              </w:rPr>
            </w:pPr>
            <w:r>
              <w:rPr>
                <w:rFonts w:hint="default" w:ascii="仿宋_GB2312" w:hAnsi="仿宋_GB2312" w:eastAsia="仿宋_GB2312" w:cs="仿宋_GB2312"/>
                <w:color w:val="000000"/>
                <w:kern w:val="0"/>
                <w:sz w:val="24"/>
                <w:szCs w:val="24"/>
                <w:lang w:val="en-US" w:eastAsia="zh-CN"/>
              </w:rPr>
              <w:t>猎获物价值一万元以上</w:t>
            </w:r>
          </w:p>
        </w:tc>
        <w:tc>
          <w:tcPr>
            <w:tcW w:w="2775" w:type="dxa"/>
            <w:tcBorders>
              <w:top w:val="single" w:color="auto" w:sz="4" w:space="0"/>
              <w:bottom w:val="single" w:color="auto" w:sz="4" w:space="0"/>
              <w:tl2br w:val="nil"/>
              <w:tr2bl w:val="nil"/>
            </w:tcBorders>
            <w:tcMar>
              <w:top w:w="57" w:type="dxa"/>
              <w:left w:w="57" w:type="dxa"/>
              <w:bottom w:w="57" w:type="dxa"/>
              <w:right w:w="57" w:type="dxa"/>
            </w:tcMar>
            <w:vAlign w:val="center"/>
          </w:tcPr>
          <w:p>
            <w:pPr>
              <w:widowControl/>
              <w:adjustRightInd w:val="0"/>
              <w:snapToGrid w:val="0"/>
              <w:textAlignment w:val="center"/>
              <w:rPr>
                <w:rFonts w:hint="eastAsia" w:ascii="仿宋_GB2312" w:hAnsi="仿宋_GB2312" w:eastAsia="仿宋_GB2312" w:cs="仿宋_GB2312"/>
                <w:color w:val="000000"/>
                <w:kern w:val="0"/>
                <w:sz w:val="24"/>
                <w:szCs w:val="24"/>
                <w:lang w:val="en-US" w:eastAsia="zh-CN"/>
              </w:rPr>
            </w:pPr>
            <w:r>
              <w:rPr>
                <w:rFonts w:hint="default" w:ascii="仿宋_GB2312" w:hAnsi="仿宋_GB2312" w:eastAsia="仿宋_GB2312" w:cs="仿宋_GB2312"/>
                <w:color w:val="000000"/>
                <w:kern w:val="0"/>
                <w:sz w:val="24"/>
                <w:szCs w:val="24"/>
                <w:lang w:val="en-US" w:eastAsia="zh-CN"/>
              </w:rPr>
              <w:t>价值一万元以上二万元以下</w:t>
            </w:r>
          </w:p>
        </w:tc>
        <w:tc>
          <w:tcPr>
            <w:tcW w:w="4011" w:type="dxa"/>
            <w:tcBorders>
              <w:top w:val="single" w:color="auto" w:sz="4" w:space="0"/>
              <w:bottom w:val="single" w:color="auto" w:sz="4" w:space="0"/>
              <w:tl2br w:val="nil"/>
              <w:tr2bl w:val="nil"/>
            </w:tcBorders>
            <w:tcMar>
              <w:top w:w="57" w:type="dxa"/>
              <w:left w:w="57" w:type="dxa"/>
              <w:bottom w:w="57" w:type="dxa"/>
              <w:right w:w="57" w:type="dxa"/>
            </w:tcMar>
            <w:vAlign w:val="center"/>
          </w:tcPr>
          <w:p>
            <w:pPr>
              <w:widowControl/>
              <w:adjustRightInd w:val="0"/>
              <w:snapToGrid w:val="0"/>
              <w:textAlignment w:val="center"/>
              <w:rPr>
                <w:rFonts w:hint="eastAsia" w:ascii="仿宋_GB2312" w:hAnsi="仿宋_GB2312" w:eastAsia="仿宋_GB2312" w:cs="仿宋_GB2312"/>
                <w:color w:val="000000"/>
                <w:kern w:val="0"/>
                <w:sz w:val="24"/>
                <w:szCs w:val="24"/>
                <w:lang w:val="en-US" w:eastAsia="zh-CN"/>
              </w:rPr>
            </w:pPr>
            <w:r>
              <w:rPr>
                <w:rFonts w:hint="default" w:ascii="仿宋_GB2312" w:hAnsi="仿宋_GB2312" w:eastAsia="仿宋_GB2312" w:cs="仿宋_GB2312"/>
                <w:color w:val="000000"/>
                <w:kern w:val="0"/>
                <w:sz w:val="24"/>
                <w:szCs w:val="24"/>
                <w:lang w:val="en-US" w:eastAsia="zh-CN"/>
              </w:rPr>
              <w:t>没收猎获物、猎捕工具和违法所得，吊销特许猎捕证，并处猎获物价值六倍以上八倍以下罚款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0" w:hRule="atLeast"/>
          <w:jc w:val="center"/>
        </w:trPr>
        <w:tc>
          <w:tcPr>
            <w:tcW w:w="421" w:type="dxa"/>
            <w:vMerge w:val="continue"/>
            <w:tcBorders>
              <w:tl2br w:val="nil"/>
              <w:tr2bl w:val="nil"/>
            </w:tcBorders>
            <w:tcMar>
              <w:top w:w="57" w:type="dxa"/>
              <w:left w:w="57" w:type="dxa"/>
              <w:bottom w:w="57" w:type="dxa"/>
              <w:right w:w="57" w:type="dxa"/>
            </w:tcMar>
            <w:vAlign w:val="center"/>
          </w:tcPr>
          <w:p>
            <w:pPr>
              <w:widowControl/>
              <w:adjustRightInd w:val="0"/>
              <w:snapToGrid w:val="0"/>
              <w:textAlignment w:val="center"/>
              <w:rPr>
                <w:rFonts w:hint="eastAsia" w:ascii="仿宋_GB2312" w:hAnsi="仿宋_GB2312" w:eastAsia="仿宋_GB2312" w:cs="仿宋_GB2312"/>
                <w:color w:val="000000"/>
                <w:kern w:val="0"/>
                <w:sz w:val="24"/>
                <w:szCs w:val="24"/>
                <w:lang w:val="en-US" w:eastAsia="zh-CN"/>
              </w:rPr>
            </w:pPr>
          </w:p>
        </w:tc>
        <w:tc>
          <w:tcPr>
            <w:tcW w:w="1098" w:type="dxa"/>
            <w:vMerge w:val="continue"/>
            <w:tcBorders>
              <w:tl2br w:val="nil"/>
              <w:tr2bl w:val="nil"/>
            </w:tcBorders>
            <w:tcMar>
              <w:top w:w="57" w:type="dxa"/>
              <w:left w:w="57" w:type="dxa"/>
              <w:bottom w:w="57" w:type="dxa"/>
              <w:right w:w="57" w:type="dxa"/>
            </w:tcMar>
            <w:vAlign w:val="center"/>
          </w:tcPr>
          <w:p>
            <w:pPr>
              <w:widowControl/>
              <w:adjustRightInd w:val="0"/>
              <w:snapToGrid w:val="0"/>
              <w:textAlignment w:val="center"/>
              <w:rPr>
                <w:rFonts w:hint="default" w:ascii="仿宋_GB2312" w:hAnsi="仿宋_GB2312" w:eastAsia="仿宋_GB2312" w:cs="仿宋_GB2312"/>
                <w:color w:val="000000"/>
                <w:kern w:val="0"/>
                <w:sz w:val="24"/>
                <w:szCs w:val="24"/>
                <w:lang w:val="en-US" w:eastAsia="zh-CN"/>
              </w:rPr>
            </w:pPr>
          </w:p>
        </w:tc>
        <w:tc>
          <w:tcPr>
            <w:tcW w:w="3221" w:type="dxa"/>
            <w:vMerge w:val="continue"/>
            <w:tcBorders>
              <w:tl2br w:val="nil"/>
              <w:tr2bl w:val="nil"/>
            </w:tcBorders>
            <w:tcMar>
              <w:top w:w="57" w:type="dxa"/>
              <w:left w:w="57" w:type="dxa"/>
              <w:bottom w:w="57" w:type="dxa"/>
              <w:right w:w="57" w:type="dxa"/>
            </w:tcMar>
            <w:vAlign w:val="center"/>
          </w:tcPr>
          <w:p>
            <w:pPr>
              <w:widowControl/>
              <w:adjustRightInd w:val="0"/>
              <w:snapToGrid w:val="0"/>
              <w:textAlignment w:val="center"/>
              <w:rPr>
                <w:rFonts w:hint="default" w:ascii="仿宋_GB2312" w:hAnsi="仿宋_GB2312" w:eastAsia="仿宋_GB2312" w:cs="仿宋_GB2312"/>
                <w:color w:val="000000"/>
                <w:kern w:val="0"/>
                <w:sz w:val="24"/>
                <w:szCs w:val="24"/>
                <w:lang w:val="en-US" w:eastAsia="zh-CN"/>
              </w:rPr>
            </w:pPr>
          </w:p>
        </w:tc>
        <w:tc>
          <w:tcPr>
            <w:tcW w:w="818" w:type="dxa"/>
            <w:vMerge w:val="continue"/>
            <w:tcBorders>
              <w:tl2br w:val="nil"/>
              <w:tr2bl w:val="nil"/>
            </w:tcBorders>
            <w:tcMar>
              <w:top w:w="57" w:type="dxa"/>
              <w:left w:w="57" w:type="dxa"/>
              <w:bottom w:w="57" w:type="dxa"/>
              <w:right w:w="57" w:type="dxa"/>
            </w:tcMar>
            <w:vAlign w:val="center"/>
          </w:tcPr>
          <w:p>
            <w:pPr>
              <w:widowControl/>
              <w:adjustRightInd w:val="0"/>
              <w:snapToGrid w:val="0"/>
              <w:textAlignment w:val="center"/>
              <w:rPr>
                <w:rFonts w:hint="default" w:ascii="仿宋_GB2312" w:hAnsi="仿宋_GB2312" w:eastAsia="仿宋_GB2312" w:cs="仿宋_GB2312"/>
                <w:color w:val="000000"/>
                <w:kern w:val="0"/>
                <w:sz w:val="24"/>
                <w:szCs w:val="24"/>
                <w:lang w:val="en-US" w:eastAsia="zh-CN"/>
              </w:rPr>
            </w:pPr>
          </w:p>
        </w:tc>
        <w:tc>
          <w:tcPr>
            <w:tcW w:w="1656" w:type="dxa"/>
            <w:vMerge w:val="continue"/>
            <w:tcBorders>
              <w:tl2br w:val="nil"/>
              <w:tr2bl w:val="nil"/>
            </w:tcBorders>
            <w:tcMar>
              <w:top w:w="57" w:type="dxa"/>
              <w:left w:w="57" w:type="dxa"/>
              <w:bottom w:w="57" w:type="dxa"/>
              <w:right w:w="57" w:type="dxa"/>
            </w:tcMar>
            <w:vAlign w:val="center"/>
          </w:tcPr>
          <w:p>
            <w:pPr>
              <w:widowControl/>
              <w:adjustRightInd w:val="0"/>
              <w:snapToGrid w:val="0"/>
              <w:textAlignment w:val="center"/>
              <w:rPr>
                <w:rFonts w:hint="default" w:ascii="仿宋_GB2312" w:hAnsi="仿宋_GB2312" w:eastAsia="仿宋_GB2312" w:cs="仿宋_GB2312"/>
                <w:color w:val="000000"/>
                <w:kern w:val="0"/>
                <w:sz w:val="24"/>
                <w:szCs w:val="24"/>
                <w:lang w:val="en-US" w:eastAsia="zh-CN"/>
              </w:rPr>
            </w:pPr>
          </w:p>
        </w:tc>
        <w:tc>
          <w:tcPr>
            <w:tcW w:w="2775" w:type="dxa"/>
            <w:tcBorders>
              <w:top w:val="single" w:color="auto" w:sz="4" w:space="0"/>
              <w:tl2br w:val="nil"/>
              <w:tr2bl w:val="nil"/>
            </w:tcBorders>
            <w:tcMar>
              <w:top w:w="57" w:type="dxa"/>
              <w:left w:w="57" w:type="dxa"/>
              <w:bottom w:w="57" w:type="dxa"/>
              <w:right w:w="57" w:type="dxa"/>
            </w:tcMar>
            <w:vAlign w:val="center"/>
          </w:tcPr>
          <w:p>
            <w:pPr>
              <w:widowControl/>
              <w:adjustRightInd w:val="0"/>
              <w:snapToGrid w:val="0"/>
              <w:textAlignment w:val="center"/>
              <w:rPr>
                <w:rFonts w:hint="eastAsia" w:ascii="仿宋_GB2312" w:hAnsi="仿宋_GB2312" w:eastAsia="仿宋_GB2312" w:cs="仿宋_GB2312"/>
                <w:color w:val="000000"/>
                <w:kern w:val="0"/>
                <w:sz w:val="24"/>
                <w:szCs w:val="24"/>
                <w:lang w:val="en-US" w:eastAsia="zh-CN"/>
              </w:rPr>
            </w:pPr>
            <w:r>
              <w:rPr>
                <w:rFonts w:hint="default" w:ascii="仿宋_GB2312" w:hAnsi="仿宋_GB2312" w:eastAsia="仿宋_GB2312" w:cs="仿宋_GB2312"/>
                <w:color w:val="000000"/>
                <w:kern w:val="0"/>
                <w:sz w:val="24"/>
                <w:szCs w:val="24"/>
                <w:lang w:val="en-US" w:eastAsia="zh-CN"/>
              </w:rPr>
              <w:t>价值二万元以上</w:t>
            </w:r>
          </w:p>
        </w:tc>
        <w:tc>
          <w:tcPr>
            <w:tcW w:w="4011" w:type="dxa"/>
            <w:tcBorders>
              <w:top w:val="single" w:color="auto" w:sz="4" w:space="0"/>
              <w:tl2br w:val="nil"/>
              <w:tr2bl w:val="nil"/>
            </w:tcBorders>
            <w:tcMar>
              <w:top w:w="57" w:type="dxa"/>
              <w:left w:w="57" w:type="dxa"/>
              <w:bottom w:w="57" w:type="dxa"/>
              <w:right w:w="57" w:type="dxa"/>
            </w:tcMar>
            <w:vAlign w:val="center"/>
          </w:tcPr>
          <w:p>
            <w:pPr>
              <w:widowControl/>
              <w:adjustRightInd w:val="0"/>
              <w:snapToGrid w:val="0"/>
              <w:textAlignment w:val="center"/>
              <w:rPr>
                <w:rFonts w:hint="eastAsia" w:ascii="仿宋_GB2312" w:hAnsi="仿宋_GB2312" w:eastAsia="仿宋_GB2312" w:cs="仿宋_GB2312"/>
                <w:color w:val="000000"/>
                <w:kern w:val="0"/>
                <w:sz w:val="24"/>
                <w:szCs w:val="24"/>
                <w:lang w:val="en-US" w:eastAsia="zh-CN"/>
              </w:rPr>
            </w:pPr>
            <w:r>
              <w:rPr>
                <w:rFonts w:hint="default" w:ascii="仿宋_GB2312" w:hAnsi="仿宋_GB2312" w:eastAsia="仿宋_GB2312" w:cs="仿宋_GB2312"/>
                <w:color w:val="000000"/>
                <w:kern w:val="0"/>
                <w:sz w:val="24"/>
                <w:szCs w:val="24"/>
                <w:lang w:val="en-US" w:eastAsia="zh-CN"/>
              </w:rPr>
              <w:t>没收猎获物、猎捕工具和违法所得，吊销特许猎捕证，并处猎获物价值八倍以上不超过十倍罚款</w:t>
            </w:r>
          </w:p>
        </w:tc>
      </w:tr>
    </w:tbl>
    <w:p>
      <w:pPr>
        <w:pStyle w:val="2"/>
      </w:pPr>
    </w:p>
    <w:p>
      <w:pPr>
        <w:pStyle w:val="2"/>
      </w:pPr>
    </w:p>
    <w:tbl>
      <w:tblPr>
        <w:tblStyle w:val="7"/>
        <w:tblW w:w="140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21"/>
        <w:gridCol w:w="1098"/>
        <w:gridCol w:w="3221"/>
        <w:gridCol w:w="818"/>
        <w:gridCol w:w="1656"/>
        <w:gridCol w:w="2775"/>
        <w:gridCol w:w="401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tblHeader/>
          <w:jc w:val="center"/>
        </w:trPr>
        <w:tc>
          <w:tcPr>
            <w:tcW w:w="421"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黑体" w:hAnsi="黑体" w:eastAsia="黑体" w:cs="黑体"/>
                <w:color w:val="000000"/>
                <w:sz w:val="24"/>
                <w:szCs w:val="24"/>
              </w:rPr>
            </w:pPr>
            <w:r>
              <w:rPr>
                <w:rFonts w:hint="eastAsia" w:ascii="黑体" w:hAnsi="黑体" w:eastAsia="黑体" w:cs="黑体"/>
                <w:color w:val="000000"/>
                <w:kern w:val="0"/>
                <w:sz w:val="24"/>
                <w:szCs w:val="24"/>
              </w:rPr>
              <w:t>序号</w:t>
            </w:r>
          </w:p>
        </w:tc>
        <w:tc>
          <w:tcPr>
            <w:tcW w:w="1098"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黑体" w:hAnsi="黑体" w:eastAsia="黑体" w:cs="黑体"/>
                <w:color w:val="000000"/>
                <w:sz w:val="24"/>
                <w:szCs w:val="24"/>
              </w:rPr>
            </w:pPr>
            <w:r>
              <w:rPr>
                <w:rFonts w:hint="eastAsia" w:ascii="黑体" w:hAnsi="黑体" w:eastAsia="黑体" w:cs="黑体"/>
                <w:color w:val="000000"/>
                <w:kern w:val="0"/>
                <w:sz w:val="24"/>
                <w:szCs w:val="24"/>
              </w:rPr>
              <w:t>违法行为</w:t>
            </w:r>
          </w:p>
        </w:tc>
        <w:tc>
          <w:tcPr>
            <w:tcW w:w="3221"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黑体" w:hAnsi="黑体" w:eastAsia="黑体" w:cs="黑体"/>
                <w:color w:val="000000"/>
                <w:sz w:val="24"/>
                <w:szCs w:val="24"/>
              </w:rPr>
            </w:pPr>
            <w:r>
              <w:rPr>
                <w:rFonts w:hint="eastAsia" w:ascii="黑体" w:hAnsi="黑体" w:eastAsia="黑体" w:cs="黑体"/>
                <w:color w:val="000000"/>
                <w:kern w:val="0"/>
                <w:sz w:val="24"/>
                <w:szCs w:val="24"/>
              </w:rPr>
              <w:t>处罚依据</w:t>
            </w:r>
          </w:p>
        </w:tc>
        <w:tc>
          <w:tcPr>
            <w:tcW w:w="818"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黑体" w:hAnsi="黑体" w:eastAsia="黑体" w:cs="黑体"/>
                <w:color w:val="000000"/>
                <w:sz w:val="24"/>
                <w:szCs w:val="24"/>
              </w:rPr>
            </w:pPr>
            <w:r>
              <w:rPr>
                <w:rFonts w:hint="eastAsia" w:ascii="黑体" w:hAnsi="黑体" w:eastAsia="黑体" w:cs="黑体"/>
                <w:color w:val="000000"/>
                <w:kern w:val="0"/>
                <w:sz w:val="24"/>
                <w:szCs w:val="24"/>
              </w:rPr>
              <w:t>违法程度</w:t>
            </w:r>
          </w:p>
        </w:tc>
        <w:tc>
          <w:tcPr>
            <w:tcW w:w="1656"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黑体" w:hAnsi="黑体" w:eastAsia="黑体" w:cs="黑体"/>
                <w:color w:val="000000"/>
                <w:sz w:val="24"/>
                <w:szCs w:val="24"/>
              </w:rPr>
            </w:pPr>
            <w:r>
              <w:rPr>
                <w:rFonts w:hint="eastAsia" w:ascii="黑体" w:hAnsi="黑体" w:eastAsia="黑体" w:cs="黑体"/>
                <w:color w:val="000000"/>
                <w:kern w:val="0"/>
                <w:sz w:val="24"/>
                <w:szCs w:val="24"/>
              </w:rPr>
              <w:t>违法情节</w:t>
            </w:r>
          </w:p>
        </w:tc>
        <w:tc>
          <w:tcPr>
            <w:tcW w:w="6786" w:type="dxa"/>
            <w:gridSpan w:val="2"/>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黑体" w:hAnsi="黑体" w:eastAsia="黑体" w:cs="黑体"/>
                <w:color w:val="000000"/>
                <w:sz w:val="24"/>
                <w:szCs w:val="24"/>
              </w:rPr>
            </w:pPr>
            <w:r>
              <w:rPr>
                <w:rFonts w:hint="eastAsia" w:ascii="黑体" w:hAnsi="黑体" w:eastAsia="黑体" w:cs="黑体"/>
                <w:color w:val="000000"/>
                <w:kern w:val="0"/>
                <w:sz w:val="24"/>
                <w:szCs w:val="24"/>
              </w:rPr>
              <w:t>裁量标准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4" w:hRule="atLeast"/>
          <w:jc w:val="center"/>
        </w:trPr>
        <w:tc>
          <w:tcPr>
            <w:tcW w:w="421" w:type="dxa"/>
            <w:vMerge w:val="restart"/>
            <w:tcBorders>
              <w:tl2br w:val="nil"/>
              <w:tr2bl w:val="nil"/>
            </w:tcBorders>
            <w:tcMar>
              <w:top w:w="57" w:type="dxa"/>
              <w:left w:w="57" w:type="dxa"/>
              <w:bottom w:w="57" w:type="dxa"/>
              <w:right w:w="57" w:type="dxa"/>
            </w:tcMar>
            <w:vAlign w:val="center"/>
          </w:tcPr>
          <w:p>
            <w:pPr>
              <w:widowControl/>
              <w:adjustRightInd w:val="0"/>
              <w:snapToGrid w:val="0"/>
              <w:textAlignment w:val="center"/>
              <w:rPr>
                <w:rFonts w:hint="default"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20</w:t>
            </w:r>
          </w:p>
        </w:tc>
        <w:tc>
          <w:tcPr>
            <w:tcW w:w="1098" w:type="dxa"/>
            <w:vMerge w:val="restart"/>
            <w:tcBorders>
              <w:tl2br w:val="nil"/>
              <w:tr2bl w:val="nil"/>
            </w:tcBorders>
            <w:tcMar>
              <w:top w:w="57" w:type="dxa"/>
              <w:left w:w="57" w:type="dxa"/>
              <w:bottom w:w="57" w:type="dxa"/>
              <w:right w:w="57" w:type="dxa"/>
            </w:tcMar>
            <w:vAlign w:val="center"/>
          </w:tcPr>
          <w:p>
            <w:pPr>
              <w:widowControl/>
              <w:adjustRightInd w:val="0"/>
              <w:snapToGrid w:val="0"/>
              <w:textAlignment w:val="center"/>
              <w:rPr>
                <w:rFonts w:hint="default" w:ascii="仿宋_GB2312" w:hAnsi="仿宋_GB2312" w:eastAsia="仿宋_GB2312" w:cs="仿宋_GB2312"/>
                <w:color w:val="000000"/>
                <w:kern w:val="0"/>
                <w:sz w:val="24"/>
                <w:szCs w:val="24"/>
                <w:lang w:val="en-US" w:eastAsia="zh-CN"/>
              </w:rPr>
            </w:pPr>
            <w:r>
              <w:rPr>
                <w:rFonts w:hint="default" w:ascii="仿宋_GB2312" w:hAnsi="仿宋_GB2312" w:eastAsia="仿宋_GB2312" w:cs="仿宋_GB2312"/>
                <w:color w:val="000000"/>
                <w:kern w:val="0"/>
                <w:sz w:val="24"/>
                <w:szCs w:val="24"/>
                <w:lang w:val="en-US" w:eastAsia="zh-CN"/>
              </w:rPr>
              <w:t>未取得人工繁育许可证繁育国家重点保护水生野生动物</w:t>
            </w:r>
          </w:p>
        </w:tc>
        <w:tc>
          <w:tcPr>
            <w:tcW w:w="3221" w:type="dxa"/>
            <w:vMerge w:val="restart"/>
            <w:tcBorders>
              <w:tl2br w:val="nil"/>
              <w:tr2bl w:val="nil"/>
            </w:tcBorders>
            <w:tcMar>
              <w:top w:w="57" w:type="dxa"/>
              <w:left w:w="57" w:type="dxa"/>
              <w:bottom w:w="57" w:type="dxa"/>
              <w:right w:w="57" w:type="dxa"/>
            </w:tcMar>
            <w:vAlign w:val="center"/>
          </w:tcPr>
          <w:p>
            <w:pPr>
              <w:widowControl/>
              <w:adjustRightInd w:val="0"/>
              <w:snapToGrid w:val="0"/>
              <w:textAlignment w:val="center"/>
              <w:rPr>
                <w:rFonts w:hint="eastAsia" w:ascii="仿宋_GB2312" w:hAnsi="仿宋_GB2312" w:eastAsia="仿宋_GB2312" w:cs="仿宋_GB2312"/>
                <w:color w:val="000000"/>
                <w:kern w:val="0"/>
                <w:sz w:val="24"/>
                <w:szCs w:val="24"/>
                <w:lang w:val="en-US" w:eastAsia="zh-CN"/>
              </w:rPr>
            </w:pPr>
            <w:r>
              <w:rPr>
                <w:rFonts w:hint="default" w:ascii="仿宋_GB2312" w:hAnsi="仿宋_GB2312" w:eastAsia="仿宋_GB2312" w:cs="仿宋_GB2312"/>
                <w:color w:val="000000"/>
                <w:kern w:val="0"/>
                <w:sz w:val="24"/>
                <w:szCs w:val="24"/>
                <w:lang w:val="en-US" w:eastAsia="zh-CN"/>
              </w:rPr>
              <w:t>《中华人民共和国野生动物保护法》第四十七条违反本法第二十五条第二款规定，未取得人工繁育许可证繁育国家重点保护野生动物或者本法第二十八条第二款规定的野生动物的，由县级以上人民政府野生动物保护主管部门没收野生动物及其制品，并处野生动物及其制品价值一倍以上五倍以下的罚款。</w:t>
            </w:r>
          </w:p>
        </w:tc>
        <w:tc>
          <w:tcPr>
            <w:tcW w:w="818" w:type="dxa"/>
            <w:vMerge w:val="restart"/>
            <w:tcBorders>
              <w:tl2br w:val="nil"/>
              <w:tr2bl w:val="nil"/>
            </w:tcBorders>
            <w:tcMar>
              <w:top w:w="57" w:type="dxa"/>
              <w:left w:w="57" w:type="dxa"/>
              <w:bottom w:w="57" w:type="dxa"/>
              <w:right w:w="57" w:type="dxa"/>
            </w:tcMar>
            <w:vAlign w:val="center"/>
          </w:tcPr>
          <w:p>
            <w:pPr>
              <w:widowControl/>
              <w:adjustRightInd w:val="0"/>
              <w:snapToGrid w:val="0"/>
              <w:textAlignment w:val="center"/>
              <w:rPr>
                <w:rFonts w:hint="eastAsia" w:ascii="仿宋_GB2312" w:hAnsi="仿宋_GB2312" w:eastAsia="仿宋_GB2312" w:cs="仿宋_GB2312"/>
                <w:color w:val="000000"/>
                <w:kern w:val="0"/>
                <w:sz w:val="24"/>
                <w:szCs w:val="24"/>
                <w:lang w:val="en-US" w:eastAsia="zh-CN"/>
              </w:rPr>
            </w:pPr>
            <w:r>
              <w:rPr>
                <w:rFonts w:hint="default" w:ascii="仿宋_GB2312" w:hAnsi="仿宋_GB2312" w:eastAsia="仿宋_GB2312" w:cs="仿宋_GB2312"/>
                <w:color w:val="000000"/>
                <w:kern w:val="0"/>
                <w:sz w:val="24"/>
                <w:szCs w:val="24"/>
                <w:lang w:val="en-US" w:eastAsia="zh-CN"/>
              </w:rPr>
              <w:t>较轻</w:t>
            </w:r>
          </w:p>
        </w:tc>
        <w:tc>
          <w:tcPr>
            <w:tcW w:w="1656" w:type="dxa"/>
            <w:vMerge w:val="restart"/>
            <w:tcBorders>
              <w:tl2br w:val="nil"/>
              <w:tr2bl w:val="nil"/>
            </w:tcBorders>
            <w:tcMar>
              <w:top w:w="57" w:type="dxa"/>
              <w:left w:w="57" w:type="dxa"/>
              <w:bottom w:w="57" w:type="dxa"/>
              <w:right w:w="57" w:type="dxa"/>
            </w:tcMar>
            <w:vAlign w:val="center"/>
          </w:tcPr>
          <w:p>
            <w:pPr>
              <w:widowControl/>
              <w:adjustRightInd w:val="0"/>
              <w:snapToGrid w:val="0"/>
              <w:textAlignment w:val="center"/>
              <w:rPr>
                <w:rFonts w:hint="eastAsia" w:ascii="仿宋_GB2312" w:hAnsi="仿宋_GB2312" w:eastAsia="仿宋_GB2312" w:cs="仿宋_GB2312"/>
                <w:color w:val="000000"/>
                <w:kern w:val="0"/>
                <w:sz w:val="24"/>
                <w:szCs w:val="24"/>
                <w:lang w:val="en-US" w:eastAsia="zh-CN"/>
              </w:rPr>
            </w:pPr>
            <w:r>
              <w:rPr>
                <w:rFonts w:hint="default" w:ascii="仿宋_GB2312" w:hAnsi="仿宋_GB2312" w:eastAsia="仿宋_GB2312" w:cs="仿宋_GB2312"/>
                <w:color w:val="000000"/>
                <w:kern w:val="0"/>
                <w:sz w:val="24"/>
                <w:szCs w:val="24"/>
                <w:lang w:val="en-US" w:eastAsia="zh-CN"/>
              </w:rPr>
              <w:t>价值二万五千元以下</w:t>
            </w:r>
          </w:p>
        </w:tc>
        <w:tc>
          <w:tcPr>
            <w:tcW w:w="6786" w:type="dxa"/>
            <w:gridSpan w:val="2"/>
            <w:tcBorders>
              <w:bottom w:val="single" w:color="auto" w:sz="4" w:space="0"/>
              <w:tl2br w:val="nil"/>
              <w:tr2bl w:val="nil"/>
            </w:tcBorders>
            <w:tcMar>
              <w:top w:w="57" w:type="dxa"/>
              <w:left w:w="57" w:type="dxa"/>
              <w:bottom w:w="57" w:type="dxa"/>
              <w:right w:w="57" w:type="dxa"/>
            </w:tcMar>
            <w:vAlign w:val="center"/>
          </w:tcPr>
          <w:p>
            <w:pPr>
              <w:widowControl/>
              <w:adjustRightInd w:val="0"/>
              <w:snapToGrid w:val="0"/>
              <w:textAlignment w:val="center"/>
              <w:rPr>
                <w:rFonts w:hint="eastAsia" w:ascii="仿宋_GB2312" w:hAnsi="仿宋_GB2312" w:eastAsia="仿宋_GB2312" w:cs="仿宋_GB2312"/>
                <w:color w:val="000000"/>
                <w:kern w:val="0"/>
                <w:sz w:val="24"/>
                <w:szCs w:val="24"/>
                <w:lang w:val="en-US" w:eastAsia="zh-CN"/>
              </w:rPr>
            </w:pPr>
            <w:r>
              <w:rPr>
                <w:rFonts w:hint="default" w:ascii="仿宋_GB2312" w:hAnsi="仿宋_GB2312" w:eastAsia="仿宋_GB2312" w:cs="仿宋_GB2312"/>
                <w:color w:val="000000"/>
                <w:kern w:val="0"/>
                <w:sz w:val="24"/>
                <w:szCs w:val="24"/>
                <w:lang w:val="en-US" w:eastAsia="zh-CN"/>
              </w:rPr>
              <w:t>没收水生野生动物及其制品，并处水生野生动物及其制品价值一倍以上二倍以下罚款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atLeast"/>
          <w:jc w:val="center"/>
        </w:trPr>
        <w:tc>
          <w:tcPr>
            <w:tcW w:w="421" w:type="dxa"/>
            <w:vMerge w:val="continue"/>
            <w:tcBorders>
              <w:tl2br w:val="nil"/>
              <w:tr2bl w:val="nil"/>
            </w:tcBorders>
            <w:tcMar>
              <w:top w:w="57" w:type="dxa"/>
              <w:left w:w="57" w:type="dxa"/>
              <w:bottom w:w="57" w:type="dxa"/>
              <w:right w:w="57" w:type="dxa"/>
            </w:tcMar>
            <w:vAlign w:val="center"/>
          </w:tcPr>
          <w:p>
            <w:pPr>
              <w:widowControl/>
              <w:adjustRightInd w:val="0"/>
              <w:snapToGrid w:val="0"/>
              <w:textAlignment w:val="center"/>
              <w:rPr>
                <w:rFonts w:hint="eastAsia" w:ascii="仿宋_GB2312" w:hAnsi="仿宋_GB2312" w:eastAsia="仿宋_GB2312" w:cs="仿宋_GB2312"/>
                <w:color w:val="000000"/>
                <w:kern w:val="0"/>
                <w:sz w:val="24"/>
                <w:szCs w:val="24"/>
                <w:lang w:val="en-US" w:eastAsia="zh-CN"/>
              </w:rPr>
            </w:pPr>
          </w:p>
        </w:tc>
        <w:tc>
          <w:tcPr>
            <w:tcW w:w="1098" w:type="dxa"/>
            <w:vMerge w:val="continue"/>
            <w:tcBorders>
              <w:tl2br w:val="nil"/>
              <w:tr2bl w:val="nil"/>
            </w:tcBorders>
            <w:tcMar>
              <w:top w:w="57" w:type="dxa"/>
              <w:left w:w="57" w:type="dxa"/>
              <w:bottom w:w="57" w:type="dxa"/>
              <w:right w:w="57" w:type="dxa"/>
            </w:tcMar>
            <w:vAlign w:val="center"/>
          </w:tcPr>
          <w:p>
            <w:pPr>
              <w:widowControl/>
              <w:adjustRightInd w:val="0"/>
              <w:snapToGrid w:val="0"/>
              <w:textAlignment w:val="center"/>
              <w:rPr>
                <w:rFonts w:hint="default" w:ascii="仿宋_GB2312" w:hAnsi="仿宋_GB2312" w:eastAsia="仿宋_GB2312" w:cs="仿宋_GB2312"/>
                <w:color w:val="000000"/>
                <w:kern w:val="0"/>
                <w:sz w:val="24"/>
                <w:szCs w:val="24"/>
                <w:lang w:val="en-US" w:eastAsia="zh-CN"/>
              </w:rPr>
            </w:pPr>
          </w:p>
        </w:tc>
        <w:tc>
          <w:tcPr>
            <w:tcW w:w="3221" w:type="dxa"/>
            <w:vMerge w:val="continue"/>
            <w:tcBorders>
              <w:tl2br w:val="nil"/>
              <w:tr2bl w:val="nil"/>
            </w:tcBorders>
            <w:tcMar>
              <w:top w:w="57" w:type="dxa"/>
              <w:left w:w="57" w:type="dxa"/>
              <w:bottom w:w="57" w:type="dxa"/>
              <w:right w:w="57" w:type="dxa"/>
            </w:tcMar>
            <w:vAlign w:val="center"/>
          </w:tcPr>
          <w:p>
            <w:pPr>
              <w:widowControl/>
              <w:adjustRightInd w:val="0"/>
              <w:snapToGrid w:val="0"/>
              <w:textAlignment w:val="center"/>
              <w:rPr>
                <w:rFonts w:hint="default" w:ascii="仿宋_GB2312" w:hAnsi="仿宋_GB2312" w:eastAsia="仿宋_GB2312" w:cs="仿宋_GB2312"/>
                <w:color w:val="000000"/>
                <w:kern w:val="0"/>
                <w:sz w:val="24"/>
                <w:szCs w:val="24"/>
                <w:lang w:val="en-US" w:eastAsia="zh-CN"/>
              </w:rPr>
            </w:pPr>
          </w:p>
        </w:tc>
        <w:tc>
          <w:tcPr>
            <w:tcW w:w="818" w:type="dxa"/>
            <w:vMerge w:val="restart"/>
            <w:tcBorders>
              <w:top w:val="single" w:color="auto" w:sz="4" w:space="0"/>
              <w:tl2br w:val="nil"/>
              <w:tr2bl w:val="nil"/>
            </w:tcBorders>
            <w:tcMar>
              <w:top w:w="57" w:type="dxa"/>
              <w:left w:w="57" w:type="dxa"/>
              <w:bottom w:w="57" w:type="dxa"/>
              <w:right w:w="57" w:type="dxa"/>
            </w:tcMar>
            <w:vAlign w:val="center"/>
          </w:tcPr>
          <w:p>
            <w:pPr>
              <w:widowControl/>
              <w:adjustRightInd w:val="0"/>
              <w:snapToGrid w:val="0"/>
              <w:textAlignment w:val="center"/>
              <w:rPr>
                <w:rFonts w:hint="eastAsia" w:ascii="仿宋_GB2312" w:hAnsi="仿宋_GB2312" w:eastAsia="仿宋_GB2312" w:cs="仿宋_GB2312"/>
                <w:color w:val="000000"/>
                <w:kern w:val="0"/>
                <w:sz w:val="24"/>
                <w:szCs w:val="24"/>
                <w:lang w:val="en-US" w:eastAsia="zh-CN"/>
              </w:rPr>
            </w:pPr>
            <w:r>
              <w:rPr>
                <w:rFonts w:hint="default" w:ascii="仿宋_GB2312" w:hAnsi="仿宋_GB2312" w:eastAsia="仿宋_GB2312" w:cs="仿宋_GB2312"/>
                <w:color w:val="000000"/>
                <w:kern w:val="0"/>
                <w:sz w:val="24"/>
                <w:szCs w:val="24"/>
                <w:lang w:val="en-US" w:eastAsia="zh-CN"/>
              </w:rPr>
              <w:t>一般</w:t>
            </w:r>
          </w:p>
        </w:tc>
        <w:tc>
          <w:tcPr>
            <w:tcW w:w="1656" w:type="dxa"/>
            <w:vMerge w:val="restart"/>
            <w:tcBorders>
              <w:top w:val="single" w:color="auto" w:sz="4" w:space="0"/>
              <w:tl2br w:val="nil"/>
              <w:tr2bl w:val="nil"/>
            </w:tcBorders>
            <w:tcMar>
              <w:top w:w="57" w:type="dxa"/>
              <w:left w:w="57" w:type="dxa"/>
              <w:bottom w:w="57" w:type="dxa"/>
              <w:right w:w="57" w:type="dxa"/>
            </w:tcMar>
            <w:vAlign w:val="center"/>
          </w:tcPr>
          <w:p>
            <w:pPr>
              <w:widowControl/>
              <w:adjustRightInd w:val="0"/>
              <w:snapToGrid w:val="0"/>
              <w:textAlignment w:val="center"/>
              <w:rPr>
                <w:rFonts w:hint="eastAsia" w:ascii="仿宋_GB2312" w:hAnsi="仿宋_GB2312" w:eastAsia="仿宋_GB2312" w:cs="仿宋_GB2312"/>
                <w:color w:val="000000"/>
                <w:kern w:val="0"/>
                <w:sz w:val="24"/>
                <w:szCs w:val="24"/>
                <w:lang w:val="en-US" w:eastAsia="zh-CN"/>
              </w:rPr>
            </w:pPr>
            <w:r>
              <w:rPr>
                <w:rFonts w:hint="default" w:ascii="仿宋_GB2312" w:hAnsi="仿宋_GB2312" w:eastAsia="仿宋_GB2312" w:cs="仿宋_GB2312"/>
                <w:color w:val="000000"/>
                <w:kern w:val="0"/>
                <w:sz w:val="24"/>
                <w:szCs w:val="24"/>
                <w:lang w:val="en-US" w:eastAsia="zh-CN"/>
              </w:rPr>
              <w:t>价值二万五千元以上五万元以下</w:t>
            </w:r>
          </w:p>
        </w:tc>
        <w:tc>
          <w:tcPr>
            <w:tcW w:w="6786" w:type="dxa"/>
            <w:gridSpan w:val="2"/>
            <w:tcBorders>
              <w:top w:val="single" w:color="auto" w:sz="4" w:space="0"/>
              <w:bottom w:val="single" w:color="auto" w:sz="4" w:space="0"/>
              <w:tl2br w:val="nil"/>
              <w:tr2bl w:val="nil"/>
            </w:tcBorders>
            <w:tcMar>
              <w:top w:w="57" w:type="dxa"/>
              <w:left w:w="57" w:type="dxa"/>
              <w:bottom w:w="57" w:type="dxa"/>
              <w:right w:w="57" w:type="dxa"/>
            </w:tcMar>
            <w:vAlign w:val="center"/>
          </w:tcPr>
          <w:p>
            <w:pPr>
              <w:widowControl/>
              <w:adjustRightInd w:val="0"/>
              <w:snapToGrid w:val="0"/>
              <w:textAlignment w:val="center"/>
              <w:rPr>
                <w:rFonts w:hint="eastAsia" w:ascii="仿宋_GB2312" w:hAnsi="仿宋_GB2312" w:eastAsia="仿宋_GB2312" w:cs="仿宋_GB2312"/>
                <w:color w:val="000000"/>
                <w:kern w:val="0"/>
                <w:sz w:val="24"/>
                <w:szCs w:val="24"/>
                <w:lang w:val="en-US" w:eastAsia="zh-CN"/>
              </w:rPr>
            </w:pPr>
            <w:r>
              <w:rPr>
                <w:rFonts w:hint="default" w:ascii="仿宋_GB2312" w:hAnsi="仿宋_GB2312" w:eastAsia="仿宋_GB2312" w:cs="仿宋_GB2312"/>
                <w:color w:val="000000"/>
                <w:kern w:val="0"/>
                <w:sz w:val="24"/>
                <w:szCs w:val="24"/>
                <w:lang w:val="en-US" w:eastAsia="zh-CN"/>
              </w:rPr>
              <w:t>没收水生野生动物及其制品，并处水生野生动物及其制品价值二倍以上三倍以下罚款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0" w:hRule="atLeast"/>
          <w:jc w:val="center"/>
        </w:trPr>
        <w:tc>
          <w:tcPr>
            <w:tcW w:w="421" w:type="dxa"/>
            <w:vMerge w:val="continue"/>
            <w:tcBorders>
              <w:tl2br w:val="nil"/>
              <w:tr2bl w:val="nil"/>
            </w:tcBorders>
            <w:tcMar>
              <w:top w:w="57" w:type="dxa"/>
              <w:left w:w="57" w:type="dxa"/>
              <w:bottom w:w="57" w:type="dxa"/>
              <w:right w:w="57" w:type="dxa"/>
            </w:tcMar>
            <w:vAlign w:val="center"/>
          </w:tcPr>
          <w:p>
            <w:pPr>
              <w:widowControl/>
              <w:adjustRightInd w:val="0"/>
              <w:snapToGrid w:val="0"/>
              <w:textAlignment w:val="center"/>
              <w:rPr>
                <w:rFonts w:hint="eastAsia" w:ascii="仿宋_GB2312" w:hAnsi="仿宋_GB2312" w:eastAsia="仿宋_GB2312" w:cs="仿宋_GB2312"/>
                <w:color w:val="000000"/>
                <w:kern w:val="0"/>
                <w:sz w:val="24"/>
                <w:szCs w:val="24"/>
                <w:lang w:val="en-US" w:eastAsia="zh-CN"/>
              </w:rPr>
            </w:pPr>
          </w:p>
        </w:tc>
        <w:tc>
          <w:tcPr>
            <w:tcW w:w="1098" w:type="dxa"/>
            <w:vMerge w:val="continue"/>
            <w:tcBorders>
              <w:tl2br w:val="nil"/>
              <w:tr2bl w:val="nil"/>
            </w:tcBorders>
            <w:tcMar>
              <w:top w:w="57" w:type="dxa"/>
              <w:left w:w="57" w:type="dxa"/>
              <w:bottom w:w="57" w:type="dxa"/>
              <w:right w:w="57" w:type="dxa"/>
            </w:tcMar>
            <w:vAlign w:val="center"/>
          </w:tcPr>
          <w:p>
            <w:pPr>
              <w:widowControl/>
              <w:adjustRightInd w:val="0"/>
              <w:snapToGrid w:val="0"/>
              <w:textAlignment w:val="center"/>
              <w:rPr>
                <w:rFonts w:hint="default" w:ascii="仿宋_GB2312" w:hAnsi="仿宋_GB2312" w:eastAsia="仿宋_GB2312" w:cs="仿宋_GB2312"/>
                <w:color w:val="000000"/>
                <w:kern w:val="0"/>
                <w:sz w:val="24"/>
                <w:szCs w:val="24"/>
                <w:lang w:val="en-US" w:eastAsia="zh-CN"/>
              </w:rPr>
            </w:pPr>
          </w:p>
        </w:tc>
        <w:tc>
          <w:tcPr>
            <w:tcW w:w="3221" w:type="dxa"/>
            <w:vMerge w:val="continue"/>
            <w:tcBorders>
              <w:tl2br w:val="nil"/>
              <w:tr2bl w:val="nil"/>
            </w:tcBorders>
            <w:tcMar>
              <w:top w:w="57" w:type="dxa"/>
              <w:left w:w="57" w:type="dxa"/>
              <w:bottom w:w="57" w:type="dxa"/>
              <w:right w:w="57" w:type="dxa"/>
            </w:tcMar>
            <w:vAlign w:val="center"/>
          </w:tcPr>
          <w:p>
            <w:pPr>
              <w:widowControl/>
              <w:adjustRightInd w:val="0"/>
              <w:snapToGrid w:val="0"/>
              <w:textAlignment w:val="center"/>
              <w:rPr>
                <w:rFonts w:hint="default" w:ascii="仿宋_GB2312" w:hAnsi="仿宋_GB2312" w:eastAsia="仿宋_GB2312" w:cs="仿宋_GB2312"/>
                <w:color w:val="000000"/>
                <w:kern w:val="0"/>
                <w:sz w:val="24"/>
                <w:szCs w:val="24"/>
                <w:lang w:val="en-US" w:eastAsia="zh-CN"/>
              </w:rPr>
            </w:pPr>
          </w:p>
        </w:tc>
        <w:tc>
          <w:tcPr>
            <w:tcW w:w="818" w:type="dxa"/>
            <w:vMerge w:val="restart"/>
            <w:tcBorders>
              <w:top w:val="single" w:color="auto" w:sz="4" w:space="0"/>
              <w:tl2br w:val="nil"/>
              <w:tr2bl w:val="nil"/>
            </w:tcBorders>
            <w:tcMar>
              <w:top w:w="57" w:type="dxa"/>
              <w:left w:w="57" w:type="dxa"/>
              <w:bottom w:w="57" w:type="dxa"/>
              <w:right w:w="57" w:type="dxa"/>
            </w:tcMar>
            <w:vAlign w:val="center"/>
          </w:tcPr>
          <w:p>
            <w:pPr>
              <w:widowControl/>
              <w:adjustRightInd w:val="0"/>
              <w:snapToGrid w:val="0"/>
              <w:textAlignment w:val="center"/>
              <w:rPr>
                <w:rFonts w:hint="eastAsia" w:ascii="仿宋_GB2312" w:hAnsi="仿宋_GB2312" w:eastAsia="仿宋_GB2312" w:cs="仿宋_GB2312"/>
                <w:color w:val="000000"/>
                <w:kern w:val="0"/>
                <w:sz w:val="24"/>
                <w:szCs w:val="24"/>
                <w:lang w:val="en-US" w:eastAsia="zh-CN"/>
              </w:rPr>
            </w:pPr>
            <w:r>
              <w:rPr>
                <w:rFonts w:hint="default" w:ascii="仿宋_GB2312" w:hAnsi="仿宋_GB2312" w:eastAsia="仿宋_GB2312" w:cs="仿宋_GB2312"/>
                <w:color w:val="000000"/>
                <w:kern w:val="0"/>
                <w:sz w:val="24"/>
                <w:szCs w:val="24"/>
                <w:lang w:val="en-US" w:eastAsia="zh-CN"/>
              </w:rPr>
              <w:t>严重</w:t>
            </w:r>
          </w:p>
        </w:tc>
        <w:tc>
          <w:tcPr>
            <w:tcW w:w="1656" w:type="dxa"/>
            <w:vMerge w:val="restart"/>
            <w:tcBorders>
              <w:top w:val="single" w:color="auto" w:sz="4" w:space="0"/>
              <w:tl2br w:val="nil"/>
              <w:tr2bl w:val="nil"/>
            </w:tcBorders>
            <w:tcMar>
              <w:top w:w="57" w:type="dxa"/>
              <w:left w:w="57" w:type="dxa"/>
              <w:bottom w:w="57" w:type="dxa"/>
              <w:right w:w="57" w:type="dxa"/>
            </w:tcMar>
            <w:vAlign w:val="center"/>
          </w:tcPr>
          <w:p>
            <w:pPr>
              <w:widowControl/>
              <w:adjustRightInd w:val="0"/>
              <w:snapToGrid w:val="0"/>
              <w:textAlignment w:val="center"/>
              <w:rPr>
                <w:rFonts w:hint="eastAsia" w:ascii="仿宋_GB2312" w:hAnsi="仿宋_GB2312" w:eastAsia="仿宋_GB2312" w:cs="仿宋_GB2312"/>
                <w:color w:val="000000"/>
                <w:kern w:val="0"/>
                <w:sz w:val="24"/>
                <w:szCs w:val="24"/>
                <w:lang w:val="en-US" w:eastAsia="zh-CN"/>
              </w:rPr>
            </w:pPr>
            <w:r>
              <w:rPr>
                <w:rFonts w:hint="default" w:ascii="仿宋_GB2312" w:hAnsi="仿宋_GB2312" w:eastAsia="仿宋_GB2312" w:cs="仿宋_GB2312"/>
                <w:color w:val="000000"/>
                <w:kern w:val="0"/>
                <w:sz w:val="24"/>
                <w:szCs w:val="24"/>
                <w:lang w:val="en-US" w:eastAsia="zh-CN"/>
              </w:rPr>
              <w:t>价值五万元以上</w:t>
            </w:r>
          </w:p>
        </w:tc>
        <w:tc>
          <w:tcPr>
            <w:tcW w:w="2775" w:type="dxa"/>
            <w:tcBorders>
              <w:top w:val="single" w:color="auto" w:sz="4" w:space="0"/>
              <w:bottom w:val="single" w:color="auto" w:sz="4" w:space="0"/>
              <w:tl2br w:val="nil"/>
              <w:tr2bl w:val="nil"/>
            </w:tcBorders>
            <w:tcMar>
              <w:top w:w="57" w:type="dxa"/>
              <w:left w:w="57" w:type="dxa"/>
              <w:bottom w:w="57" w:type="dxa"/>
              <w:right w:w="57" w:type="dxa"/>
            </w:tcMar>
            <w:vAlign w:val="center"/>
          </w:tcPr>
          <w:p>
            <w:pPr>
              <w:widowControl/>
              <w:adjustRightInd w:val="0"/>
              <w:snapToGrid w:val="0"/>
              <w:textAlignment w:val="center"/>
              <w:rPr>
                <w:rFonts w:hint="eastAsia" w:ascii="仿宋_GB2312" w:hAnsi="仿宋_GB2312" w:eastAsia="仿宋_GB2312" w:cs="仿宋_GB2312"/>
                <w:color w:val="000000"/>
                <w:kern w:val="0"/>
                <w:sz w:val="24"/>
                <w:szCs w:val="24"/>
                <w:lang w:val="en-US" w:eastAsia="zh-CN"/>
              </w:rPr>
            </w:pPr>
            <w:r>
              <w:rPr>
                <w:rFonts w:hint="default" w:ascii="仿宋_GB2312" w:hAnsi="仿宋_GB2312" w:eastAsia="仿宋_GB2312" w:cs="仿宋_GB2312"/>
                <w:color w:val="000000"/>
                <w:kern w:val="0"/>
                <w:sz w:val="24"/>
                <w:szCs w:val="24"/>
                <w:lang w:val="en-US" w:eastAsia="zh-CN"/>
              </w:rPr>
              <w:t>价值五万元以上八万元以下</w:t>
            </w:r>
          </w:p>
        </w:tc>
        <w:tc>
          <w:tcPr>
            <w:tcW w:w="4011" w:type="dxa"/>
            <w:tcBorders>
              <w:top w:val="single" w:color="auto" w:sz="4" w:space="0"/>
              <w:bottom w:val="single" w:color="auto" w:sz="4" w:space="0"/>
              <w:tl2br w:val="nil"/>
              <w:tr2bl w:val="nil"/>
            </w:tcBorders>
            <w:tcMar>
              <w:top w:w="57" w:type="dxa"/>
              <w:left w:w="57" w:type="dxa"/>
              <w:bottom w:w="57" w:type="dxa"/>
              <w:right w:w="57" w:type="dxa"/>
            </w:tcMar>
            <w:vAlign w:val="center"/>
          </w:tcPr>
          <w:p>
            <w:pPr>
              <w:widowControl/>
              <w:adjustRightInd w:val="0"/>
              <w:snapToGrid w:val="0"/>
              <w:textAlignment w:val="center"/>
              <w:rPr>
                <w:rFonts w:hint="eastAsia" w:ascii="仿宋_GB2312" w:hAnsi="仿宋_GB2312" w:eastAsia="仿宋_GB2312" w:cs="仿宋_GB2312"/>
                <w:color w:val="000000"/>
                <w:kern w:val="0"/>
                <w:sz w:val="24"/>
                <w:szCs w:val="24"/>
                <w:lang w:val="en-US" w:eastAsia="zh-CN"/>
              </w:rPr>
            </w:pPr>
            <w:r>
              <w:rPr>
                <w:rFonts w:hint="default" w:ascii="仿宋_GB2312" w:hAnsi="仿宋_GB2312" w:eastAsia="仿宋_GB2312" w:cs="仿宋_GB2312"/>
                <w:color w:val="000000"/>
                <w:kern w:val="0"/>
                <w:sz w:val="24"/>
                <w:szCs w:val="24"/>
                <w:lang w:val="en-US" w:eastAsia="zh-CN"/>
              </w:rPr>
              <w:t>没收水生野生动物及其制品，并处水生野生动物及其制品价值三倍以上四倍以下罚款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0" w:hRule="atLeast"/>
          <w:jc w:val="center"/>
        </w:trPr>
        <w:tc>
          <w:tcPr>
            <w:tcW w:w="421" w:type="dxa"/>
            <w:vMerge w:val="continue"/>
            <w:tcBorders>
              <w:tl2br w:val="nil"/>
              <w:tr2bl w:val="nil"/>
            </w:tcBorders>
            <w:tcMar>
              <w:top w:w="57" w:type="dxa"/>
              <w:left w:w="57" w:type="dxa"/>
              <w:bottom w:w="57" w:type="dxa"/>
              <w:right w:w="57" w:type="dxa"/>
            </w:tcMar>
            <w:vAlign w:val="center"/>
          </w:tcPr>
          <w:p>
            <w:pPr>
              <w:widowControl/>
              <w:adjustRightInd w:val="0"/>
              <w:snapToGrid w:val="0"/>
              <w:textAlignment w:val="center"/>
              <w:rPr>
                <w:rFonts w:hint="eastAsia" w:ascii="仿宋_GB2312" w:hAnsi="仿宋_GB2312" w:eastAsia="仿宋_GB2312" w:cs="仿宋_GB2312"/>
                <w:color w:val="000000"/>
                <w:kern w:val="0"/>
                <w:sz w:val="24"/>
                <w:szCs w:val="24"/>
                <w:lang w:val="en-US" w:eastAsia="zh-CN"/>
              </w:rPr>
            </w:pPr>
          </w:p>
        </w:tc>
        <w:tc>
          <w:tcPr>
            <w:tcW w:w="1098" w:type="dxa"/>
            <w:vMerge w:val="continue"/>
            <w:tcBorders>
              <w:tl2br w:val="nil"/>
              <w:tr2bl w:val="nil"/>
            </w:tcBorders>
            <w:tcMar>
              <w:top w:w="57" w:type="dxa"/>
              <w:left w:w="57" w:type="dxa"/>
              <w:bottom w:w="57" w:type="dxa"/>
              <w:right w:w="57" w:type="dxa"/>
            </w:tcMar>
            <w:vAlign w:val="center"/>
          </w:tcPr>
          <w:p>
            <w:pPr>
              <w:widowControl/>
              <w:adjustRightInd w:val="0"/>
              <w:snapToGrid w:val="0"/>
              <w:textAlignment w:val="center"/>
              <w:rPr>
                <w:rFonts w:hint="default" w:ascii="仿宋_GB2312" w:hAnsi="仿宋_GB2312" w:eastAsia="仿宋_GB2312" w:cs="仿宋_GB2312"/>
                <w:color w:val="000000"/>
                <w:kern w:val="0"/>
                <w:sz w:val="24"/>
                <w:szCs w:val="24"/>
                <w:lang w:val="en-US" w:eastAsia="zh-CN"/>
              </w:rPr>
            </w:pPr>
          </w:p>
        </w:tc>
        <w:tc>
          <w:tcPr>
            <w:tcW w:w="3221" w:type="dxa"/>
            <w:vMerge w:val="continue"/>
            <w:tcBorders>
              <w:tl2br w:val="nil"/>
              <w:tr2bl w:val="nil"/>
            </w:tcBorders>
            <w:tcMar>
              <w:top w:w="57" w:type="dxa"/>
              <w:left w:w="57" w:type="dxa"/>
              <w:bottom w:w="57" w:type="dxa"/>
              <w:right w:w="57" w:type="dxa"/>
            </w:tcMar>
            <w:vAlign w:val="center"/>
          </w:tcPr>
          <w:p>
            <w:pPr>
              <w:widowControl/>
              <w:adjustRightInd w:val="0"/>
              <w:snapToGrid w:val="0"/>
              <w:textAlignment w:val="center"/>
              <w:rPr>
                <w:rFonts w:hint="default" w:ascii="仿宋_GB2312" w:hAnsi="仿宋_GB2312" w:eastAsia="仿宋_GB2312" w:cs="仿宋_GB2312"/>
                <w:color w:val="000000"/>
                <w:kern w:val="0"/>
                <w:sz w:val="24"/>
                <w:szCs w:val="24"/>
                <w:lang w:val="en-US" w:eastAsia="zh-CN"/>
              </w:rPr>
            </w:pPr>
          </w:p>
        </w:tc>
        <w:tc>
          <w:tcPr>
            <w:tcW w:w="818" w:type="dxa"/>
            <w:vMerge w:val="continue"/>
            <w:tcBorders>
              <w:tl2br w:val="nil"/>
              <w:tr2bl w:val="nil"/>
            </w:tcBorders>
            <w:tcMar>
              <w:top w:w="57" w:type="dxa"/>
              <w:left w:w="57" w:type="dxa"/>
              <w:bottom w:w="57" w:type="dxa"/>
              <w:right w:w="57" w:type="dxa"/>
            </w:tcMar>
            <w:vAlign w:val="center"/>
          </w:tcPr>
          <w:p>
            <w:pPr>
              <w:widowControl/>
              <w:adjustRightInd w:val="0"/>
              <w:snapToGrid w:val="0"/>
              <w:textAlignment w:val="center"/>
              <w:rPr>
                <w:rFonts w:hint="default" w:ascii="仿宋_GB2312" w:hAnsi="仿宋_GB2312" w:eastAsia="仿宋_GB2312" w:cs="仿宋_GB2312"/>
                <w:color w:val="000000"/>
                <w:kern w:val="0"/>
                <w:sz w:val="24"/>
                <w:szCs w:val="24"/>
                <w:lang w:val="en-US" w:eastAsia="zh-CN"/>
              </w:rPr>
            </w:pPr>
          </w:p>
        </w:tc>
        <w:tc>
          <w:tcPr>
            <w:tcW w:w="1656" w:type="dxa"/>
            <w:vMerge w:val="continue"/>
            <w:tcBorders>
              <w:tl2br w:val="nil"/>
              <w:tr2bl w:val="nil"/>
            </w:tcBorders>
            <w:tcMar>
              <w:top w:w="57" w:type="dxa"/>
              <w:left w:w="57" w:type="dxa"/>
              <w:bottom w:w="57" w:type="dxa"/>
              <w:right w:w="57" w:type="dxa"/>
            </w:tcMar>
            <w:vAlign w:val="center"/>
          </w:tcPr>
          <w:p>
            <w:pPr>
              <w:widowControl/>
              <w:adjustRightInd w:val="0"/>
              <w:snapToGrid w:val="0"/>
              <w:textAlignment w:val="center"/>
              <w:rPr>
                <w:rFonts w:hint="default" w:ascii="仿宋_GB2312" w:hAnsi="仿宋_GB2312" w:eastAsia="仿宋_GB2312" w:cs="仿宋_GB2312"/>
                <w:color w:val="000000"/>
                <w:kern w:val="0"/>
                <w:sz w:val="24"/>
                <w:szCs w:val="24"/>
                <w:lang w:val="en-US" w:eastAsia="zh-CN"/>
              </w:rPr>
            </w:pPr>
          </w:p>
        </w:tc>
        <w:tc>
          <w:tcPr>
            <w:tcW w:w="2775" w:type="dxa"/>
            <w:tcBorders>
              <w:top w:val="single" w:color="auto" w:sz="4" w:space="0"/>
              <w:tl2br w:val="nil"/>
              <w:tr2bl w:val="nil"/>
            </w:tcBorders>
            <w:tcMar>
              <w:top w:w="57" w:type="dxa"/>
              <w:left w:w="57" w:type="dxa"/>
              <w:bottom w:w="57" w:type="dxa"/>
              <w:right w:w="57" w:type="dxa"/>
            </w:tcMar>
            <w:vAlign w:val="center"/>
          </w:tcPr>
          <w:p>
            <w:pPr>
              <w:widowControl/>
              <w:adjustRightInd w:val="0"/>
              <w:snapToGrid w:val="0"/>
              <w:textAlignment w:val="center"/>
              <w:rPr>
                <w:rFonts w:hint="eastAsia" w:ascii="仿宋_GB2312" w:hAnsi="仿宋_GB2312" w:eastAsia="仿宋_GB2312" w:cs="仿宋_GB2312"/>
                <w:color w:val="000000"/>
                <w:kern w:val="0"/>
                <w:sz w:val="24"/>
                <w:szCs w:val="24"/>
                <w:lang w:val="en-US" w:eastAsia="zh-CN"/>
              </w:rPr>
            </w:pPr>
            <w:r>
              <w:rPr>
                <w:rFonts w:hint="default" w:ascii="仿宋_GB2312" w:hAnsi="仿宋_GB2312" w:eastAsia="仿宋_GB2312" w:cs="仿宋_GB2312"/>
                <w:color w:val="000000"/>
                <w:kern w:val="0"/>
                <w:sz w:val="24"/>
                <w:szCs w:val="24"/>
                <w:lang w:val="en-US" w:eastAsia="zh-CN"/>
              </w:rPr>
              <w:t>价值八万元以上</w:t>
            </w:r>
          </w:p>
        </w:tc>
        <w:tc>
          <w:tcPr>
            <w:tcW w:w="4011" w:type="dxa"/>
            <w:tcBorders>
              <w:top w:val="single" w:color="auto" w:sz="4" w:space="0"/>
              <w:tl2br w:val="nil"/>
              <w:tr2bl w:val="nil"/>
            </w:tcBorders>
            <w:tcMar>
              <w:top w:w="57" w:type="dxa"/>
              <w:left w:w="57" w:type="dxa"/>
              <w:bottom w:w="57" w:type="dxa"/>
              <w:right w:w="57" w:type="dxa"/>
            </w:tcMar>
            <w:vAlign w:val="center"/>
          </w:tcPr>
          <w:p>
            <w:pPr>
              <w:widowControl/>
              <w:adjustRightInd w:val="0"/>
              <w:snapToGrid w:val="0"/>
              <w:textAlignment w:val="center"/>
              <w:rPr>
                <w:rFonts w:hint="eastAsia" w:ascii="仿宋_GB2312" w:hAnsi="仿宋_GB2312" w:eastAsia="仿宋_GB2312" w:cs="仿宋_GB2312"/>
                <w:color w:val="000000"/>
                <w:kern w:val="0"/>
                <w:sz w:val="24"/>
                <w:szCs w:val="24"/>
                <w:lang w:val="en-US" w:eastAsia="zh-CN"/>
              </w:rPr>
            </w:pPr>
            <w:r>
              <w:rPr>
                <w:rFonts w:hint="default" w:ascii="仿宋_GB2312" w:hAnsi="仿宋_GB2312" w:eastAsia="仿宋_GB2312" w:cs="仿宋_GB2312"/>
                <w:color w:val="000000"/>
                <w:kern w:val="0"/>
                <w:sz w:val="24"/>
                <w:szCs w:val="24"/>
                <w:lang w:val="en-US" w:eastAsia="zh-CN"/>
              </w:rPr>
              <w:t>没收水生野生动物及其制品，并处水生野生动物及其制品价值四倍以上不超过五倍罚款</w:t>
            </w:r>
          </w:p>
        </w:tc>
      </w:tr>
    </w:tbl>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tbl>
      <w:tblPr>
        <w:tblStyle w:val="7"/>
        <w:tblW w:w="140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21"/>
        <w:gridCol w:w="1098"/>
        <w:gridCol w:w="3327"/>
        <w:gridCol w:w="712"/>
        <w:gridCol w:w="1656"/>
        <w:gridCol w:w="2152"/>
        <w:gridCol w:w="46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tblHeader/>
          <w:jc w:val="center"/>
        </w:trPr>
        <w:tc>
          <w:tcPr>
            <w:tcW w:w="421"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黑体" w:hAnsi="黑体" w:eastAsia="黑体" w:cs="黑体"/>
                <w:color w:val="000000"/>
                <w:sz w:val="24"/>
                <w:szCs w:val="24"/>
              </w:rPr>
            </w:pPr>
            <w:r>
              <w:rPr>
                <w:rFonts w:hint="eastAsia" w:ascii="黑体" w:hAnsi="黑体" w:eastAsia="黑体" w:cs="黑体"/>
                <w:color w:val="000000"/>
                <w:kern w:val="0"/>
                <w:sz w:val="24"/>
                <w:szCs w:val="24"/>
              </w:rPr>
              <w:t>序号</w:t>
            </w:r>
          </w:p>
        </w:tc>
        <w:tc>
          <w:tcPr>
            <w:tcW w:w="1098"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黑体" w:hAnsi="黑体" w:eastAsia="黑体" w:cs="黑体"/>
                <w:color w:val="000000"/>
                <w:sz w:val="24"/>
                <w:szCs w:val="24"/>
              </w:rPr>
            </w:pPr>
            <w:r>
              <w:rPr>
                <w:rFonts w:hint="eastAsia" w:ascii="黑体" w:hAnsi="黑体" w:eastAsia="黑体" w:cs="黑体"/>
                <w:color w:val="000000"/>
                <w:kern w:val="0"/>
                <w:sz w:val="24"/>
                <w:szCs w:val="24"/>
              </w:rPr>
              <w:t>违法行为</w:t>
            </w:r>
          </w:p>
        </w:tc>
        <w:tc>
          <w:tcPr>
            <w:tcW w:w="3327"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黑体" w:hAnsi="黑体" w:eastAsia="黑体" w:cs="黑体"/>
                <w:color w:val="000000"/>
                <w:sz w:val="24"/>
                <w:szCs w:val="24"/>
              </w:rPr>
            </w:pPr>
            <w:r>
              <w:rPr>
                <w:rFonts w:hint="eastAsia" w:ascii="黑体" w:hAnsi="黑体" w:eastAsia="黑体" w:cs="黑体"/>
                <w:color w:val="000000"/>
                <w:kern w:val="0"/>
                <w:sz w:val="24"/>
                <w:szCs w:val="24"/>
              </w:rPr>
              <w:t>处罚依据</w:t>
            </w:r>
          </w:p>
        </w:tc>
        <w:tc>
          <w:tcPr>
            <w:tcW w:w="712"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黑体" w:hAnsi="黑体" w:eastAsia="黑体" w:cs="黑体"/>
                <w:color w:val="000000"/>
                <w:sz w:val="24"/>
                <w:szCs w:val="24"/>
              </w:rPr>
            </w:pPr>
            <w:r>
              <w:rPr>
                <w:rFonts w:hint="eastAsia" w:ascii="黑体" w:hAnsi="黑体" w:eastAsia="黑体" w:cs="黑体"/>
                <w:color w:val="000000"/>
                <w:kern w:val="0"/>
                <w:sz w:val="24"/>
                <w:szCs w:val="24"/>
              </w:rPr>
              <w:t>违法程度</w:t>
            </w:r>
          </w:p>
        </w:tc>
        <w:tc>
          <w:tcPr>
            <w:tcW w:w="1656"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黑体" w:hAnsi="黑体" w:eastAsia="黑体" w:cs="黑体"/>
                <w:color w:val="000000"/>
                <w:sz w:val="24"/>
                <w:szCs w:val="24"/>
              </w:rPr>
            </w:pPr>
            <w:r>
              <w:rPr>
                <w:rFonts w:hint="eastAsia" w:ascii="黑体" w:hAnsi="黑体" w:eastAsia="黑体" w:cs="黑体"/>
                <w:color w:val="000000"/>
                <w:kern w:val="0"/>
                <w:sz w:val="24"/>
                <w:szCs w:val="24"/>
              </w:rPr>
              <w:t>违法情节</w:t>
            </w:r>
          </w:p>
        </w:tc>
        <w:tc>
          <w:tcPr>
            <w:tcW w:w="6786" w:type="dxa"/>
            <w:gridSpan w:val="2"/>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黑体" w:hAnsi="黑体" w:eastAsia="黑体" w:cs="黑体"/>
                <w:color w:val="000000"/>
                <w:sz w:val="24"/>
                <w:szCs w:val="24"/>
              </w:rPr>
            </w:pPr>
            <w:r>
              <w:rPr>
                <w:rFonts w:hint="eastAsia" w:ascii="黑体" w:hAnsi="黑体" w:eastAsia="黑体" w:cs="黑体"/>
                <w:color w:val="000000"/>
                <w:kern w:val="0"/>
                <w:sz w:val="24"/>
                <w:szCs w:val="24"/>
              </w:rPr>
              <w:t>裁量标准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jc w:val="center"/>
        </w:trPr>
        <w:tc>
          <w:tcPr>
            <w:tcW w:w="421" w:type="dxa"/>
            <w:vMerge w:val="restart"/>
            <w:tcBorders>
              <w:tl2br w:val="nil"/>
              <w:tr2bl w:val="nil"/>
            </w:tcBorders>
            <w:tcMar>
              <w:top w:w="57" w:type="dxa"/>
              <w:left w:w="57" w:type="dxa"/>
              <w:bottom w:w="57" w:type="dxa"/>
              <w:right w:w="57" w:type="dxa"/>
            </w:tcMar>
            <w:vAlign w:val="center"/>
          </w:tcPr>
          <w:p>
            <w:pPr>
              <w:widowControl/>
              <w:adjustRightInd w:val="0"/>
              <w:snapToGrid w:val="0"/>
              <w:textAlignment w:val="center"/>
              <w:rPr>
                <w:rFonts w:hint="default" w:ascii="仿宋_GB2312" w:hAnsi="仿宋_GB2312" w:eastAsia="仿宋_GB2312" w:cs="仿宋_GB2312"/>
                <w:color w:val="000000"/>
                <w:kern w:val="0"/>
                <w:sz w:val="21"/>
                <w:szCs w:val="21"/>
                <w:lang w:val="en-US" w:eastAsia="zh-CN"/>
              </w:rPr>
            </w:pPr>
            <w:r>
              <w:rPr>
                <w:rFonts w:hint="eastAsia" w:ascii="仿宋_GB2312" w:hAnsi="仿宋_GB2312" w:eastAsia="仿宋_GB2312" w:cs="仿宋_GB2312"/>
                <w:color w:val="000000"/>
                <w:kern w:val="0"/>
                <w:sz w:val="21"/>
                <w:szCs w:val="21"/>
                <w:lang w:val="en-US" w:eastAsia="zh-CN"/>
              </w:rPr>
              <w:t>21</w:t>
            </w:r>
          </w:p>
        </w:tc>
        <w:tc>
          <w:tcPr>
            <w:tcW w:w="1098" w:type="dxa"/>
            <w:vMerge w:val="restart"/>
            <w:tcBorders>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未经批准，未取得或者未按照规定使用专用标识，或者未持有、未附有人工繁育许可证、批准文件的副本或者专用标识出售、购买、利用、运输、携带、寄递国家重点保护水生野生动物及其制品</w:t>
            </w:r>
          </w:p>
        </w:tc>
        <w:tc>
          <w:tcPr>
            <w:tcW w:w="3327" w:type="dxa"/>
            <w:vMerge w:val="restart"/>
            <w:tcBorders>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eastAsia"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1.《中华人民共和国野生动物保护法》第四十八条第一款，违反本法第二十七条第一款和第二款、第二十八条第一款、第三十三条第一款规定，未经批准、未取得或者未按照规定使用专用标识，或者未持有、未附有人工繁育许可证、批准文件的副本或者专用标识出售、购买、利用、运输、携带、寄递国家重点保护野生动物及其制品或者本法第二十八条第二款规定的野生动物及其制品的，由县级以上人民政府野生动物保护主管部门或者市场监督管理部门按照职责分工没收野生动物及其制品和违法所得，并处野生动物及其制品价值二倍以上十倍以下的罚款；情节严重的，吊销人工繁育许可证、撤销批准文件、收回专用标识；构成犯罪的，依法追究刑事责任。</w:t>
            </w:r>
          </w:p>
        </w:tc>
        <w:tc>
          <w:tcPr>
            <w:tcW w:w="712" w:type="dxa"/>
            <w:vMerge w:val="restart"/>
            <w:tcBorders>
              <w:tl2br w:val="nil"/>
              <w:tr2bl w:val="nil"/>
            </w:tcBorders>
            <w:tcMar>
              <w:top w:w="57" w:type="dxa"/>
              <w:left w:w="57" w:type="dxa"/>
              <w:bottom w:w="57" w:type="dxa"/>
              <w:right w:w="57" w:type="dxa"/>
            </w:tcMar>
            <w:vAlign w:val="center"/>
          </w:tcPr>
          <w:p>
            <w:pPr>
              <w:widowControl/>
              <w:adjustRightInd w:val="0"/>
              <w:snapToGrid w:val="0"/>
              <w:textAlignment w:val="center"/>
              <w:rPr>
                <w:rFonts w:hint="eastAsia"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较轻</w:t>
            </w:r>
          </w:p>
        </w:tc>
        <w:tc>
          <w:tcPr>
            <w:tcW w:w="1656" w:type="dxa"/>
            <w:vMerge w:val="restart"/>
            <w:tcBorders>
              <w:tl2br w:val="nil"/>
              <w:tr2bl w:val="nil"/>
            </w:tcBorders>
            <w:tcMar>
              <w:top w:w="57" w:type="dxa"/>
              <w:left w:w="57" w:type="dxa"/>
              <w:bottom w:w="57" w:type="dxa"/>
              <w:right w:w="57" w:type="dxa"/>
            </w:tcMar>
            <w:vAlign w:val="center"/>
          </w:tcPr>
          <w:p>
            <w:pPr>
              <w:widowControl/>
              <w:adjustRightInd w:val="0"/>
              <w:snapToGrid w:val="0"/>
              <w:textAlignment w:val="center"/>
              <w:rPr>
                <w:rFonts w:hint="eastAsia"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价值二万五千元以下</w:t>
            </w:r>
          </w:p>
        </w:tc>
        <w:tc>
          <w:tcPr>
            <w:tcW w:w="2152" w:type="dxa"/>
            <w:tcBorders>
              <w:bottom w:val="single" w:color="auto" w:sz="4" w:space="0"/>
              <w:tl2br w:val="nil"/>
              <w:tr2bl w:val="nil"/>
            </w:tcBorders>
            <w:tcMar>
              <w:top w:w="57" w:type="dxa"/>
              <w:left w:w="57" w:type="dxa"/>
              <w:bottom w:w="57" w:type="dxa"/>
              <w:right w:w="57" w:type="dxa"/>
            </w:tcMar>
            <w:vAlign w:val="center"/>
          </w:tcPr>
          <w:p>
            <w:pPr>
              <w:widowControl/>
              <w:adjustRightInd w:val="0"/>
              <w:snapToGrid w:val="0"/>
              <w:textAlignment w:val="center"/>
              <w:rPr>
                <w:rFonts w:hint="eastAsia"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价值一万五千元以下</w:t>
            </w:r>
          </w:p>
        </w:tc>
        <w:tc>
          <w:tcPr>
            <w:tcW w:w="4634" w:type="dxa"/>
            <w:tcBorders>
              <w:bottom w:val="single" w:color="auto" w:sz="4" w:space="0"/>
              <w:tl2br w:val="nil"/>
              <w:tr2bl w:val="nil"/>
            </w:tcBorders>
            <w:tcMar>
              <w:top w:w="57" w:type="dxa"/>
              <w:left w:w="57" w:type="dxa"/>
              <w:bottom w:w="57" w:type="dxa"/>
              <w:right w:w="57" w:type="dxa"/>
            </w:tcMar>
            <w:vAlign w:val="center"/>
          </w:tcPr>
          <w:p>
            <w:pPr>
              <w:widowControl/>
              <w:adjustRightInd w:val="0"/>
              <w:snapToGrid w:val="0"/>
              <w:textAlignment w:val="center"/>
              <w:rPr>
                <w:rFonts w:hint="eastAsia"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没收水生野生动物及其制品和违法所得，并处水生野生动物及其制品价值二倍以上四倍以下罚款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9" w:hRule="atLeast"/>
          <w:jc w:val="center"/>
        </w:trPr>
        <w:tc>
          <w:tcPr>
            <w:tcW w:w="421" w:type="dxa"/>
            <w:vMerge w:val="continue"/>
            <w:tcBorders>
              <w:tl2br w:val="nil"/>
              <w:tr2bl w:val="nil"/>
            </w:tcBorders>
            <w:tcMar>
              <w:top w:w="57" w:type="dxa"/>
              <w:left w:w="57" w:type="dxa"/>
              <w:bottom w:w="57" w:type="dxa"/>
              <w:right w:w="57" w:type="dxa"/>
            </w:tcMar>
            <w:vAlign w:val="center"/>
          </w:tcPr>
          <w:p>
            <w:pPr>
              <w:widowControl/>
              <w:adjustRightInd w:val="0"/>
              <w:snapToGrid w:val="0"/>
              <w:textAlignment w:val="center"/>
              <w:rPr>
                <w:rFonts w:hint="eastAsia" w:ascii="仿宋_GB2312" w:hAnsi="仿宋_GB2312" w:eastAsia="仿宋_GB2312" w:cs="仿宋_GB2312"/>
                <w:color w:val="000000"/>
                <w:kern w:val="0"/>
                <w:sz w:val="21"/>
                <w:szCs w:val="21"/>
                <w:lang w:val="en-US" w:eastAsia="zh-CN"/>
              </w:rPr>
            </w:pPr>
          </w:p>
        </w:tc>
        <w:tc>
          <w:tcPr>
            <w:tcW w:w="1098" w:type="dxa"/>
            <w:vMerge w:val="continue"/>
            <w:tcBorders>
              <w:tl2br w:val="nil"/>
              <w:tr2bl w:val="nil"/>
            </w:tcBorders>
            <w:tcMar>
              <w:top w:w="57" w:type="dxa"/>
              <w:left w:w="57" w:type="dxa"/>
              <w:bottom w:w="57" w:type="dxa"/>
              <w:right w:w="57" w:type="dxa"/>
            </w:tcMar>
            <w:vAlign w:val="center"/>
          </w:tcPr>
          <w:p>
            <w:pPr>
              <w:widowControl/>
              <w:adjustRightInd w:val="0"/>
              <w:snapToGrid w:val="0"/>
              <w:textAlignment w:val="center"/>
              <w:rPr>
                <w:rFonts w:hint="default" w:ascii="仿宋_GB2312" w:hAnsi="仿宋_GB2312" w:eastAsia="仿宋_GB2312" w:cs="仿宋_GB2312"/>
                <w:color w:val="000000"/>
                <w:kern w:val="0"/>
                <w:sz w:val="21"/>
                <w:szCs w:val="21"/>
                <w:lang w:val="en-US" w:eastAsia="zh-CN"/>
              </w:rPr>
            </w:pPr>
          </w:p>
        </w:tc>
        <w:tc>
          <w:tcPr>
            <w:tcW w:w="3327" w:type="dxa"/>
            <w:vMerge w:val="continue"/>
            <w:tcBorders>
              <w:tl2br w:val="nil"/>
              <w:tr2bl w:val="nil"/>
            </w:tcBorders>
            <w:tcMar>
              <w:top w:w="57" w:type="dxa"/>
              <w:left w:w="57" w:type="dxa"/>
              <w:bottom w:w="57" w:type="dxa"/>
              <w:right w:w="57" w:type="dxa"/>
            </w:tcMar>
            <w:vAlign w:val="center"/>
          </w:tcPr>
          <w:p>
            <w:pPr>
              <w:widowControl/>
              <w:adjustRightInd w:val="0"/>
              <w:snapToGrid w:val="0"/>
              <w:textAlignment w:val="center"/>
              <w:rPr>
                <w:rFonts w:hint="default" w:ascii="仿宋_GB2312" w:hAnsi="仿宋_GB2312" w:eastAsia="仿宋_GB2312" w:cs="仿宋_GB2312"/>
                <w:color w:val="000000"/>
                <w:kern w:val="0"/>
                <w:sz w:val="21"/>
                <w:szCs w:val="21"/>
                <w:lang w:val="en-US" w:eastAsia="zh-CN"/>
              </w:rPr>
            </w:pPr>
          </w:p>
        </w:tc>
        <w:tc>
          <w:tcPr>
            <w:tcW w:w="712" w:type="dxa"/>
            <w:vMerge w:val="continue"/>
            <w:tcBorders>
              <w:bottom w:val="single" w:color="auto" w:sz="4" w:space="0"/>
              <w:tl2br w:val="nil"/>
              <w:tr2bl w:val="nil"/>
            </w:tcBorders>
            <w:tcMar>
              <w:top w:w="57" w:type="dxa"/>
              <w:left w:w="57" w:type="dxa"/>
              <w:bottom w:w="57" w:type="dxa"/>
              <w:right w:w="57" w:type="dxa"/>
            </w:tcMar>
            <w:vAlign w:val="center"/>
          </w:tcPr>
          <w:p>
            <w:pPr>
              <w:widowControl/>
              <w:adjustRightInd w:val="0"/>
              <w:snapToGrid w:val="0"/>
              <w:textAlignment w:val="center"/>
              <w:rPr>
                <w:rFonts w:hint="default" w:ascii="仿宋_GB2312" w:hAnsi="仿宋_GB2312" w:eastAsia="仿宋_GB2312" w:cs="仿宋_GB2312"/>
                <w:color w:val="000000"/>
                <w:kern w:val="0"/>
                <w:sz w:val="21"/>
                <w:szCs w:val="21"/>
                <w:lang w:val="en-US" w:eastAsia="zh-CN"/>
              </w:rPr>
            </w:pPr>
          </w:p>
        </w:tc>
        <w:tc>
          <w:tcPr>
            <w:tcW w:w="1656" w:type="dxa"/>
            <w:vMerge w:val="continue"/>
            <w:tcBorders>
              <w:bottom w:val="single" w:color="auto" w:sz="4" w:space="0"/>
              <w:tl2br w:val="nil"/>
              <w:tr2bl w:val="nil"/>
            </w:tcBorders>
            <w:tcMar>
              <w:top w:w="57" w:type="dxa"/>
              <w:left w:w="57" w:type="dxa"/>
              <w:bottom w:w="57" w:type="dxa"/>
              <w:right w:w="57" w:type="dxa"/>
            </w:tcMar>
            <w:vAlign w:val="center"/>
          </w:tcPr>
          <w:p>
            <w:pPr>
              <w:widowControl/>
              <w:adjustRightInd w:val="0"/>
              <w:snapToGrid w:val="0"/>
              <w:textAlignment w:val="center"/>
              <w:rPr>
                <w:rFonts w:hint="default" w:ascii="仿宋_GB2312" w:hAnsi="仿宋_GB2312" w:eastAsia="仿宋_GB2312" w:cs="仿宋_GB2312"/>
                <w:color w:val="000000"/>
                <w:kern w:val="0"/>
                <w:sz w:val="21"/>
                <w:szCs w:val="21"/>
                <w:lang w:val="en-US" w:eastAsia="zh-CN"/>
              </w:rPr>
            </w:pPr>
          </w:p>
        </w:tc>
        <w:tc>
          <w:tcPr>
            <w:tcW w:w="2152" w:type="dxa"/>
            <w:tcBorders>
              <w:top w:val="single" w:color="auto" w:sz="4" w:space="0"/>
              <w:bottom w:val="single" w:color="auto" w:sz="4" w:space="0"/>
              <w:tl2br w:val="nil"/>
              <w:tr2bl w:val="nil"/>
            </w:tcBorders>
            <w:tcMar>
              <w:top w:w="57" w:type="dxa"/>
              <w:left w:w="57" w:type="dxa"/>
              <w:bottom w:w="57" w:type="dxa"/>
              <w:right w:w="57" w:type="dxa"/>
            </w:tcMar>
            <w:vAlign w:val="center"/>
          </w:tcPr>
          <w:p>
            <w:pPr>
              <w:widowControl/>
              <w:adjustRightInd w:val="0"/>
              <w:snapToGrid w:val="0"/>
              <w:textAlignment w:val="center"/>
              <w:rPr>
                <w:rFonts w:hint="eastAsia"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价值一万五千元以上二万五千元以下</w:t>
            </w:r>
          </w:p>
        </w:tc>
        <w:tc>
          <w:tcPr>
            <w:tcW w:w="4634" w:type="dxa"/>
            <w:tcBorders>
              <w:top w:val="single" w:color="auto" w:sz="4" w:space="0"/>
              <w:bottom w:val="single" w:color="auto" w:sz="4" w:space="0"/>
              <w:tl2br w:val="nil"/>
              <w:tr2bl w:val="nil"/>
            </w:tcBorders>
            <w:tcMar>
              <w:top w:w="57" w:type="dxa"/>
              <w:left w:w="57" w:type="dxa"/>
              <w:bottom w:w="57" w:type="dxa"/>
              <w:right w:w="57" w:type="dxa"/>
            </w:tcMar>
            <w:vAlign w:val="center"/>
          </w:tcPr>
          <w:p>
            <w:pPr>
              <w:widowControl/>
              <w:adjustRightInd w:val="0"/>
              <w:snapToGrid w:val="0"/>
              <w:textAlignment w:val="center"/>
              <w:rPr>
                <w:rFonts w:hint="eastAsia"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没收水生野生动物及其制品和违法所得，并处水生野生动物及其制品价值四倍以上六倍以下罚款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8" w:hRule="atLeast"/>
          <w:jc w:val="center"/>
        </w:trPr>
        <w:tc>
          <w:tcPr>
            <w:tcW w:w="421" w:type="dxa"/>
            <w:vMerge w:val="continue"/>
            <w:tcBorders>
              <w:tl2br w:val="nil"/>
              <w:tr2bl w:val="nil"/>
            </w:tcBorders>
            <w:tcMar>
              <w:top w:w="57" w:type="dxa"/>
              <w:left w:w="57" w:type="dxa"/>
              <w:bottom w:w="57" w:type="dxa"/>
              <w:right w:w="57" w:type="dxa"/>
            </w:tcMar>
            <w:vAlign w:val="center"/>
          </w:tcPr>
          <w:p>
            <w:pPr>
              <w:widowControl/>
              <w:adjustRightInd w:val="0"/>
              <w:snapToGrid w:val="0"/>
              <w:textAlignment w:val="center"/>
              <w:rPr>
                <w:rFonts w:hint="eastAsia" w:ascii="仿宋_GB2312" w:hAnsi="仿宋_GB2312" w:eastAsia="仿宋_GB2312" w:cs="仿宋_GB2312"/>
                <w:color w:val="000000"/>
                <w:kern w:val="0"/>
                <w:sz w:val="21"/>
                <w:szCs w:val="21"/>
                <w:lang w:val="en-US" w:eastAsia="zh-CN"/>
              </w:rPr>
            </w:pPr>
          </w:p>
        </w:tc>
        <w:tc>
          <w:tcPr>
            <w:tcW w:w="1098" w:type="dxa"/>
            <w:vMerge w:val="continue"/>
            <w:tcBorders>
              <w:tl2br w:val="nil"/>
              <w:tr2bl w:val="nil"/>
            </w:tcBorders>
            <w:tcMar>
              <w:top w:w="57" w:type="dxa"/>
              <w:left w:w="57" w:type="dxa"/>
              <w:bottom w:w="57" w:type="dxa"/>
              <w:right w:w="57" w:type="dxa"/>
            </w:tcMar>
            <w:vAlign w:val="center"/>
          </w:tcPr>
          <w:p>
            <w:pPr>
              <w:widowControl/>
              <w:adjustRightInd w:val="0"/>
              <w:snapToGrid w:val="0"/>
              <w:textAlignment w:val="center"/>
              <w:rPr>
                <w:rFonts w:hint="default" w:ascii="仿宋_GB2312" w:hAnsi="仿宋_GB2312" w:eastAsia="仿宋_GB2312" w:cs="仿宋_GB2312"/>
                <w:color w:val="000000"/>
                <w:kern w:val="0"/>
                <w:sz w:val="21"/>
                <w:szCs w:val="21"/>
                <w:lang w:val="en-US" w:eastAsia="zh-CN"/>
              </w:rPr>
            </w:pPr>
          </w:p>
        </w:tc>
        <w:tc>
          <w:tcPr>
            <w:tcW w:w="3327" w:type="dxa"/>
            <w:vMerge w:val="continue"/>
            <w:tcBorders>
              <w:tl2br w:val="nil"/>
              <w:tr2bl w:val="nil"/>
            </w:tcBorders>
            <w:tcMar>
              <w:top w:w="57" w:type="dxa"/>
              <w:left w:w="57" w:type="dxa"/>
              <w:bottom w:w="57" w:type="dxa"/>
              <w:right w:w="57" w:type="dxa"/>
            </w:tcMar>
            <w:vAlign w:val="center"/>
          </w:tcPr>
          <w:p>
            <w:pPr>
              <w:widowControl/>
              <w:adjustRightInd w:val="0"/>
              <w:snapToGrid w:val="0"/>
              <w:textAlignment w:val="center"/>
              <w:rPr>
                <w:rFonts w:hint="default" w:ascii="仿宋_GB2312" w:hAnsi="仿宋_GB2312" w:eastAsia="仿宋_GB2312" w:cs="仿宋_GB2312"/>
                <w:color w:val="000000"/>
                <w:kern w:val="0"/>
                <w:sz w:val="21"/>
                <w:szCs w:val="21"/>
                <w:lang w:val="en-US" w:eastAsia="zh-CN"/>
              </w:rPr>
            </w:pPr>
          </w:p>
        </w:tc>
        <w:tc>
          <w:tcPr>
            <w:tcW w:w="712" w:type="dxa"/>
            <w:vMerge w:val="restart"/>
            <w:tcBorders>
              <w:top w:val="single" w:color="auto" w:sz="4" w:space="0"/>
              <w:tl2br w:val="nil"/>
              <w:tr2bl w:val="nil"/>
            </w:tcBorders>
            <w:tcMar>
              <w:top w:w="57" w:type="dxa"/>
              <w:left w:w="57" w:type="dxa"/>
              <w:bottom w:w="57" w:type="dxa"/>
              <w:right w:w="57" w:type="dxa"/>
            </w:tcMar>
            <w:vAlign w:val="center"/>
          </w:tcPr>
          <w:p>
            <w:pPr>
              <w:widowControl/>
              <w:adjustRightInd w:val="0"/>
              <w:snapToGrid w:val="0"/>
              <w:textAlignment w:val="center"/>
              <w:rPr>
                <w:rFonts w:hint="eastAsia"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一般</w:t>
            </w:r>
          </w:p>
        </w:tc>
        <w:tc>
          <w:tcPr>
            <w:tcW w:w="1656" w:type="dxa"/>
            <w:vMerge w:val="restart"/>
            <w:tcBorders>
              <w:top w:val="single" w:color="auto" w:sz="4" w:space="0"/>
              <w:tl2br w:val="nil"/>
              <w:tr2bl w:val="nil"/>
            </w:tcBorders>
            <w:tcMar>
              <w:top w:w="57" w:type="dxa"/>
              <w:left w:w="57" w:type="dxa"/>
              <w:bottom w:w="57" w:type="dxa"/>
              <w:right w:w="57" w:type="dxa"/>
            </w:tcMar>
            <w:vAlign w:val="center"/>
          </w:tcPr>
          <w:p>
            <w:pPr>
              <w:widowControl/>
              <w:adjustRightInd w:val="0"/>
              <w:snapToGrid w:val="0"/>
              <w:textAlignment w:val="center"/>
              <w:rPr>
                <w:rFonts w:hint="eastAsia"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价值二万五千元以上五万元以下</w:t>
            </w:r>
          </w:p>
        </w:tc>
        <w:tc>
          <w:tcPr>
            <w:tcW w:w="2152" w:type="dxa"/>
            <w:tcBorders>
              <w:top w:val="single" w:color="auto" w:sz="4" w:space="0"/>
              <w:bottom w:val="single" w:color="auto" w:sz="4" w:space="0"/>
              <w:tl2br w:val="nil"/>
              <w:tr2bl w:val="nil"/>
            </w:tcBorders>
            <w:tcMar>
              <w:top w:w="57" w:type="dxa"/>
              <w:left w:w="57" w:type="dxa"/>
              <w:bottom w:w="57" w:type="dxa"/>
              <w:right w:w="57" w:type="dxa"/>
            </w:tcMar>
            <w:vAlign w:val="center"/>
          </w:tcPr>
          <w:p>
            <w:pPr>
              <w:widowControl/>
              <w:adjustRightInd w:val="0"/>
              <w:snapToGrid w:val="0"/>
              <w:textAlignment w:val="center"/>
              <w:rPr>
                <w:rFonts w:hint="eastAsia"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价值二万五千元以上四万元以下</w:t>
            </w:r>
          </w:p>
        </w:tc>
        <w:tc>
          <w:tcPr>
            <w:tcW w:w="4634" w:type="dxa"/>
            <w:tcBorders>
              <w:top w:val="single" w:color="auto" w:sz="4" w:space="0"/>
              <w:bottom w:val="single" w:color="auto" w:sz="4" w:space="0"/>
              <w:tl2br w:val="nil"/>
              <w:tr2bl w:val="nil"/>
            </w:tcBorders>
            <w:tcMar>
              <w:top w:w="57" w:type="dxa"/>
              <w:left w:w="57" w:type="dxa"/>
              <w:bottom w:w="57" w:type="dxa"/>
              <w:right w:w="57" w:type="dxa"/>
            </w:tcMar>
            <w:vAlign w:val="center"/>
          </w:tcPr>
          <w:p>
            <w:pPr>
              <w:widowControl/>
              <w:adjustRightInd w:val="0"/>
              <w:snapToGrid w:val="0"/>
              <w:textAlignment w:val="center"/>
              <w:rPr>
                <w:rFonts w:hint="eastAsia"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没收水生野生动物及其制品和违法所得，并处水生野生动物及其制品价值六倍以上八倍以下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5" w:hRule="atLeast"/>
          <w:jc w:val="center"/>
        </w:trPr>
        <w:tc>
          <w:tcPr>
            <w:tcW w:w="421" w:type="dxa"/>
            <w:vMerge w:val="continue"/>
            <w:tcBorders>
              <w:tl2br w:val="nil"/>
              <w:tr2bl w:val="nil"/>
            </w:tcBorders>
            <w:tcMar>
              <w:top w:w="57" w:type="dxa"/>
              <w:left w:w="57" w:type="dxa"/>
              <w:bottom w:w="57" w:type="dxa"/>
              <w:right w:w="57" w:type="dxa"/>
            </w:tcMar>
            <w:vAlign w:val="center"/>
          </w:tcPr>
          <w:p>
            <w:pPr>
              <w:widowControl/>
              <w:adjustRightInd w:val="0"/>
              <w:snapToGrid w:val="0"/>
              <w:textAlignment w:val="center"/>
              <w:rPr>
                <w:rFonts w:hint="eastAsia" w:ascii="仿宋_GB2312" w:hAnsi="仿宋_GB2312" w:eastAsia="仿宋_GB2312" w:cs="仿宋_GB2312"/>
                <w:color w:val="000000"/>
                <w:kern w:val="0"/>
                <w:sz w:val="21"/>
                <w:szCs w:val="21"/>
                <w:lang w:val="en-US" w:eastAsia="zh-CN"/>
              </w:rPr>
            </w:pPr>
          </w:p>
        </w:tc>
        <w:tc>
          <w:tcPr>
            <w:tcW w:w="1098" w:type="dxa"/>
            <w:vMerge w:val="continue"/>
            <w:tcBorders>
              <w:tl2br w:val="nil"/>
              <w:tr2bl w:val="nil"/>
            </w:tcBorders>
            <w:tcMar>
              <w:top w:w="57" w:type="dxa"/>
              <w:left w:w="57" w:type="dxa"/>
              <w:bottom w:w="57" w:type="dxa"/>
              <w:right w:w="57" w:type="dxa"/>
            </w:tcMar>
            <w:vAlign w:val="center"/>
          </w:tcPr>
          <w:p>
            <w:pPr>
              <w:widowControl/>
              <w:adjustRightInd w:val="0"/>
              <w:snapToGrid w:val="0"/>
              <w:textAlignment w:val="center"/>
              <w:rPr>
                <w:rFonts w:hint="default" w:ascii="仿宋_GB2312" w:hAnsi="仿宋_GB2312" w:eastAsia="仿宋_GB2312" w:cs="仿宋_GB2312"/>
                <w:color w:val="000000"/>
                <w:kern w:val="0"/>
                <w:sz w:val="21"/>
                <w:szCs w:val="21"/>
                <w:lang w:val="en-US" w:eastAsia="zh-CN"/>
              </w:rPr>
            </w:pPr>
          </w:p>
        </w:tc>
        <w:tc>
          <w:tcPr>
            <w:tcW w:w="3327" w:type="dxa"/>
            <w:vMerge w:val="continue"/>
            <w:tcBorders>
              <w:tl2br w:val="nil"/>
              <w:tr2bl w:val="nil"/>
            </w:tcBorders>
            <w:tcMar>
              <w:top w:w="57" w:type="dxa"/>
              <w:left w:w="57" w:type="dxa"/>
              <w:bottom w:w="57" w:type="dxa"/>
              <w:right w:w="57" w:type="dxa"/>
            </w:tcMar>
            <w:vAlign w:val="center"/>
          </w:tcPr>
          <w:p>
            <w:pPr>
              <w:widowControl/>
              <w:adjustRightInd w:val="0"/>
              <w:snapToGrid w:val="0"/>
              <w:textAlignment w:val="center"/>
              <w:rPr>
                <w:rFonts w:hint="default" w:ascii="仿宋_GB2312" w:hAnsi="仿宋_GB2312" w:eastAsia="仿宋_GB2312" w:cs="仿宋_GB2312"/>
                <w:color w:val="000000"/>
                <w:kern w:val="0"/>
                <w:sz w:val="21"/>
                <w:szCs w:val="21"/>
                <w:lang w:val="en-US" w:eastAsia="zh-CN"/>
              </w:rPr>
            </w:pPr>
          </w:p>
        </w:tc>
        <w:tc>
          <w:tcPr>
            <w:tcW w:w="712" w:type="dxa"/>
            <w:vMerge w:val="continue"/>
            <w:tcBorders>
              <w:bottom w:val="single" w:color="auto" w:sz="4" w:space="0"/>
              <w:tl2br w:val="nil"/>
              <w:tr2bl w:val="nil"/>
            </w:tcBorders>
            <w:tcMar>
              <w:top w:w="57" w:type="dxa"/>
              <w:left w:w="57" w:type="dxa"/>
              <w:bottom w:w="57" w:type="dxa"/>
              <w:right w:w="57" w:type="dxa"/>
            </w:tcMar>
            <w:vAlign w:val="center"/>
          </w:tcPr>
          <w:p>
            <w:pPr>
              <w:widowControl/>
              <w:adjustRightInd w:val="0"/>
              <w:snapToGrid w:val="0"/>
              <w:textAlignment w:val="center"/>
              <w:rPr>
                <w:rFonts w:hint="default" w:ascii="仿宋_GB2312" w:hAnsi="仿宋_GB2312" w:eastAsia="仿宋_GB2312" w:cs="仿宋_GB2312"/>
                <w:color w:val="000000"/>
                <w:kern w:val="0"/>
                <w:sz w:val="21"/>
                <w:szCs w:val="21"/>
                <w:lang w:val="en-US" w:eastAsia="zh-CN"/>
              </w:rPr>
            </w:pPr>
          </w:p>
        </w:tc>
        <w:tc>
          <w:tcPr>
            <w:tcW w:w="1656" w:type="dxa"/>
            <w:vMerge w:val="continue"/>
            <w:tcBorders>
              <w:bottom w:val="single" w:color="auto" w:sz="4" w:space="0"/>
              <w:tl2br w:val="nil"/>
              <w:tr2bl w:val="nil"/>
            </w:tcBorders>
            <w:tcMar>
              <w:top w:w="57" w:type="dxa"/>
              <w:left w:w="57" w:type="dxa"/>
              <w:bottom w:w="57" w:type="dxa"/>
              <w:right w:w="57" w:type="dxa"/>
            </w:tcMar>
            <w:vAlign w:val="center"/>
          </w:tcPr>
          <w:p>
            <w:pPr>
              <w:widowControl/>
              <w:adjustRightInd w:val="0"/>
              <w:snapToGrid w:val="0"/>
              <w:textAlignment w:val="center"/>
              <w:rPr>
                <w:rFonts w:hint="default" w:ascii="仿宋_GB2312" w:hAnsi="仿宋_GB2312" w:eastAsia="仿宋_GB2312" w:cs="仿宋_GB2312"/>
                <w:color w:val="000000"/>
                <w:kern w:val="0"/>
                <w:sz w:val="21"/>
                <w:szCs w:val="21"/>
                <w:lang w:val="en-US" w:eastAsia="zh-CN"/>
              </w:rPr>
            </w:pPr>
          </w:p>
        </w:tc>
        <w:tc>
          <w:tcPr>
            <w:tcW w:w="2152" w:type="dxa"/>
            <w:tcBorders>
              <w:top w:val="single" w:color="auto" w:sz="4" w:space="0"/>
              <w:bottom w:val="single" w:color="auto" w:sz="4" w:space="0"/>
              <w:tl2br w:val="nil"/>
              <w:tr2bl w:val="nil"/>
            </w:tcBorders>
            <w:tcMar>
              <w:top w:w="57" w:type="dxa"/>
              <w:left w:w="57" w:type="dxa"/>
              <w:bottom w:w="57" w:type="dxa"/>
              <w:right w:w="57" w:type="dxa"/>
            </w:tcMar>
            <w:vAlign w:val="center"/>
          </w:tcPr>
          <w:p>
            <w:pPr>
              <w:widowControl/>
              <w:adjustRightInd w:val="0"/>
              <w:snapToGrid w:val="0"/>
              <w:textAlignment w:val="center"/>
              <w:rPr>
                <w:rFonts w:hint="eastAsia"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价值四万元以上五万元以下</w:t>
            </w:r>
          </w:p>
        </w:tc>
        <w:tc>
          <w:tcPr>
            <w:tcW w:w="4634" w:type="dxa"/>
            <w:tcBorders>
              <w:top w:val="single" w:color="auto" w:sz="4" w:space="0"/>
              <w:bottom w:val="single" w:color="auto" w:sz="4" w:space="0"/>
              <w:tl2br w:val="nil"/>
              <w:tr2bl w:val="nil"/>
            </w:tcBorders>
            <w:tcMar>
              <w:top w:w="57" w:type="dxa"/>
              <w:left w:w="57" w:type="dxa"/>
              <w:bottom w:w="57" w:type="dxa"/>
              <w:right w:w="57" w:type="dxa"/>
            </w:tcMar>
            <w:vAlign w:val="center"/>
          </w:tcPr>
          <w:p>
            <w:pPr>
              <w:widowControl/>
              <w:adjustRightInd w:val="0"/>
              <w:snapToGrid w:val="0"/>
              <w:textAlignment w:val="center"/>
              <w:rPr>
                <w:rFonts w:hint="eastAsia"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没收水生野生动物及其制品和违法所得，并处水生野生动物及其制品价值八倍以上不超过十倍罚款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37" w:hRule="atLeast"/>
          <w:jc w:val="center"/>
        </w:trPr>
        <w:tc>
          <w:tcPr>
            <w:tcW w:w="421" w:type="dxa"/>
            <w:vMerge w:val="continue"/>
            <w:tcBorders>
              <w:tl2br w:val="nil"/>
              <w:tr2bl w:val="nil"/>
            </w:tcBorders>
            <w:tcMar>
              <w:top w:w="57" w:type="dxa"/>
              <w:left w:w="57" w:type="dxa"/>
              <w:bottom w:w="57" w:type="dxa"/>
              <w:right w:w="57" w:type="dxa"/>
            </w:tcMar>
            <w:vAlign w:val="center"/>
          </w:tcPr>
          <w:p>
            <w:pPr>
              <w:widowControl/>
              <w:adjustRightInd w:val="0"/>
              <w:snapToGrid w:val="0"/>
              <w:textAlignment w:val="center"/>
              <w:rPr>
                <w:rFonts w:hint="eastAsia" w:ascii="仿宋_GB2312" w:hAnsi="仿宋_GB2312" w:eastAsia="仿宋_GB2312" w:cs="仿宋_GB2312"/>
                <w:color w:val="000000"/>
                <w:kern w:val="0"/>
                <w:sz w:val="21"/>
                <w:szCs w:val="21"/>
                <w:lang w:val="en-US" w:eastAsia="zh-CN"/>
              </w:rPr>
            </w:pPr>
          </w:p>
        </w:tc>
        <w:tc>
          <w:tcPr>
            <w:tcW w:w="1098" w:type="dxa"/>
            <w:vMerge w:val="continue"/>
            <w:tcBorders>
              <w:tl2br w:val="nil"/>
              <w:tr2bl w:val="nil"/>
            </w:tcBorders>
            <w:tcMar>
              <w:top w:w="57" w:type="dxa"/>
              <w:left w:w="57" w:type="dxa"/>
              <w:bottom w:w="57" w:type="dxa"/>
              <w:right w:w="57" w:type="dxa"/>
            </w:tcMar>
            <w:vAlign w:val="center"/>
          </w:tcPr>
          <w:p>
            <w:pPr>
              <w:widowControl/>
              <w:adjustRightInd w:val="0"/>
              <w:snapToGrid w:val="0"/>
              <w:textAlignment w:val="center"/>
              <w:rPr>
                <w:rFonts w:hint="default" w:ascii="仿宋_GB2312" w:hAnsi="仿宋_GB2312" w:eastAsia="仿宋_GB2312" w:cs="仿宋_GB2312"/>
                <w:color w:val="000000"/>
                <w:kern w:val="0"/>
                <w:sz w:val="21"/>
                <w:szCs w:val="21"/>
                <w:lang w:val="en-US" w:eastAsia="zh-CN"/>
              </w:rPr>
            </w:pPr>
          </w:p>
        </w:tc>
        <w:tc>
          <w:tcPr>
            <w:tcW w:w="3327" w:type="dxa"/>
            <w:vMerge w:val="continue"/>
            <w:tcBorders>
              <w:tl2br w:val="nil"/>
              <w:tr2bl w:val="nil"/>
            </w:tcBorders>
            <w:tcMar>
              <w:top w:w="57" w:type="dxa"/>
              <w:left w:w="57" w:type="dxa"/>
              <w:bottom w:w="57" w:type="dxa"/>
              <w:right w:w="57" w:type="dxa"/>
            </w:tcMar>
            <w:vAlign w:val="center"/>
          </w:tcPr>
          <w:p>
            <w:pPr>
              <w:widowControl/>
              <w:adjustRightInd w:val="0"/>
              <w:snapToGrid w:val="0"/>
              <w:textAlignment w:val="center"/>
              <w:rPr>
                <w:rFonts w:hint="default" w:ascii="仿宋_GB2312" w:hAnsi="仿宋_GB2312" w:eastAsia="仿宋_GB2312" w:cs="仿宋_GB2312"/>
                <w:color w:val="000000"/>
                <w:kern w:val="0"/>
                <w:sz w:val="21"/>
                <w:szCs w:val="21"/>
                <w:lang w:val="en-US" w:eastAsia="zh-CN"/>
              </w:rPr>
            </w:pPr>
          </w:p>
        </w:tc>
        <w:tc>
          <w:tcPr>
            <w:tcW w:w="712" w:type="dxa"/>
            <w:vMerge w:val="restart"/>
            <w:tcBorders>
              <w:top w:val="single" w:color="auto" w:sz="4" w:space="0"/>
              <w:tl2br w:val="nil"/>
              <w:tr2bl w:val="nil"/>
            </w:tcBorders>
            <w:tcMar>
              <w:top w:w="57" w:type="dxa"/>
              <w:left w:w="57" w:type="dxa"/>
              <w:bottom w:w="57" w:type="dxa"/>
              <w:right w:w="57" w:type="dxa"/>
            </w:tcMar>
            <w:vAlign w:val="center"/>
          </w:tcPr>
          <w:p>
            <w:pPr>
              <w:widowControl/>
              <w:adjustRightInd w:val="0"/>
              <w:snapToGrid w:val="0"/>
              <w:textAlignment w:val="center"/>
              <w:rPr>
                <w:rFonts w:hint="eastAsia"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严重</w:t>
            </w:r>
          </w:p>
        </w:tc>
        <w:tc>
          <w:tcPr>
            <w:tcW w:w="1656" w:type="dxa"/>
            <w:vMerge w:val="restart"/>
            <w:tcBorders>
              <w:top w:val="single" w:color="auto" w:sz="4" w:space="0"/>
              <w:tl2br w:val="nil"/>
              <w:tr2bl w:val="nil"/>
            </w:tcBorders>
            <w:tcMar>
              <w:top w:w="57" w:type="dxa"/>
              <w:left w:w="57" w:type="dxa"/>
              <w:bottom w:w="57" w:type="dxa"/>
              <w:right w:w="57" w:type="dxa"/>
            </w:tcMar>
            <w:vAlign w:val="center"/>
          </w:tcPr>
          <w:p>
            <w:pPr>
              <w:widowControl/>
              <w:adjustRightInd w:val="0"/>
              <w:snapToGrid w:val="0"/>
              <w:textAlignment w:val="center"/>
              <w:rPr>
                <w:rFonts w:hint="eastAsia"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价值五万元以上</w:t>
            </w:r>
          </w:p>
        </w:tc>
        <w:tc>
          <w:tcPr>
            <w:tcW w:w="2152" w:type="dxa"/>
            <w:tcBorders>
              <w:top w:val="single" w:color="auto" w:sz="4" w:space="0"/>
              <w:bottom w:val="single" w:color="auto" w:sz="4" w:space="0"/>
              <w:tl2br w:val="nil"/>
              <w:tr2bl w:val="nil"/>
            </w:tcBorders>
            <w:tcMar>
              <w:top w:w="57" w:type="dxa"/>
              <w:left w:w="57" w:type="dxa"/>
              <w:bottom w:w="57" w:type="dxa"/>
              <w:right w:w="57" w:type="dxa"/>
            </w:tcMar>
            <w:vAlign w:val="center"/>
          </w:tcPr>
          <w:p>
            <w:pPr>
              <w:widowControl/>
              <w:adjustRightInd w:val="0"/>
              <w:snapToGrid w:val="0"/>
              <w:textAlignment w:val="center"/>
              <w:rPr>
                <w:rFonts w:hint="eastAsia"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价值五万以上八万元以下</w:t>
            </w:r>
          </w:p>
        </w:tc>
        <w:tc>
          <w:tcPr>
            <w:tcW w:w="4634" w:type="dxa"/>
            <w:tcBorders>
              <w:top w:val="single" w:color="auto" w:sz="4" w:space="0"/>
              <w:bottom w:val="single" w:color="auto" w:sz="4" w:space="0"/>
              <w:tl2br w:val="nil"/>
              <w:tr2bl w:val="nil"/>
            </w:tcBorders>
            <w:tcMar>
              <w:top w:w="57" w:type="dxa"/>
              <w:left w:w="57" w:type="dxa"/>
              <w:bottom w:w="57" w:type="dxa"/>
              <w:right w:w="57" w:type="dxa"/>
            </w:tcMar>
            <w:vAlign w:val="center"/>
          </w:tcPr>
          <w:p>
            <w:pPr>
              <w:widowControl/>
              <w:adjustRightInd w:val="0"/>
              <w:snapToGrid w:val="0"/>
              <w:textAlignment w:val="center"/>
              <w:rPr>
                <w:rFonts w:hint="eastAsia"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没收水生野生动物及其制品和违法所得，并处水生野生动物及其制品价值六倍以上九倍以下罚款，没收水生野生动物及其制品和违法所得，吊销人工繁育许可证、撤销批准文件、收回专用标识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0" w:hRule="atLeast"/>
          <w:jc w:val="center"/>
        </w:trPr>
        <w:tc>
          <w:tcPr>
            <w:tcW w:w="421" w:type="dxa"/>
            <w:vMerge w:val="continue"/>
            <w:tcBorders>
              <w:tl2br w:val="nil"/>
              <w:tr2bl w:val="nil"/>
            </w:tcBorders>
            <w:tcMar>
              <w:top w:w="57" w:type="dxa"/>
              <w:left w:w="57" w:type="dxa"/>
              <w:bottom w:w="57" w:type="dxa"/>
              <w:right w:w="57" w:type="dxa"/>
            </w:tcMar>
            <w:vAlign w:val="center"/>
          </w:tcPr>
          <w:p>
            <w:pPr>
              <w:widowControl/>
              <w:adjustRightInd w:val="0"/>
              <w:snapToGrid w:val="0"/>
              <w:textAlignment w:val="center"/>
              <w:rPr>
                <w:rFonts w:hint="eastAsia" w:ascii="仿宋_GB2312" w:hAnsi="仿宋_GB2312" w:eastAsia="仿宋_GB2312" w:cs="仿宋_GB2312"/>
                <w:color w:val="000000"/>
                <w:kern w:val="0"/>
                <w:sz w:val="21"/>
                <w:szCs w:val="21"/>
                <w:lang w:val="en-US" w:eastAsia="zh-CN"/>
              </w:rPr>
            </w:pPr>
          </w:p>
        </w:tc>
        <w:tc>
          <w:tcPr>
            <w:tcW w:w="1098" w:type="dxa"/>
            <w:vMerge w:val="continue"/>
            <w:tcBorders>
              <w:tl2br w:val="nil"/>
              <w:tr2bl w:val="nil"/>
            </w:tcBorders>
            <w:tcMar>
              <w:top w:w="57" w:type="dxa"/>
              <w:left w:w="57" w:type="dxa"/>
              <w:bottom w:w="57" w:type="dxa"/>
              <w:right w:w="57" w:type="dxa"/>
            </w:tcMar>
            <w:vAlign w:val="center"/>
          </w:tcPr>
          <w:p>
            <w:pPr>
              <w:widowControl/>
              <w:adjustRightInd w:val="0"/>
              <w:snapToGrid w:val="0"/>
              <w:textAlignment w:val="center"/>
              <w:rPr>
                <w:rFonts w:hint="default" w:ascii="仿宋_GB2312" w:hAnsi="仿宋_GB2312" w:eastAsia="仿宋_GB2312" w:cs="仿宋_GB2312"/>
                <w:color w:val="000000"/>
                <w:kern w:val="0"/>
                <w:sz w:val="21"/>
                <w:szCs w:val="21"/>
                <w:lang w:val="en-US" w:eastAsia="zh-CN"/>
              </w:rPr>
            </w:pPr>
          </w:p>
        </w:tc>
        <w:tc>
          <w:tcPr>
            <w:tcW w:w="3327" w:type="dxa"/>
            <w:vMerge w:val="continue"/>
            <w:tcBorders>
              <w:tl2br w:val="nil"/>
              <w:tr2bl w:val="nil"/>
            </w:tcBorders>
            <w:tcMar>
              <w:top w:w="57" w:type="dxa"/>
              <w:left w:w="57" w:type="dxa"/>
              <w:bottom w:w="57" w:type="dxa"/>
              <w:right w:w="57" w:type="dxa"/>
            </w:tcMar>
            <w:vAlign w:val="center"/>
          </w:tcPr>
          <w:p>
            <w:pPr>
              <w:widowControl/>
              <w:adjustRightInd w:val="0"/>
              <w:snapToGrid w:val="0"/>
              <w:textAlignment w:val="center"/>
              <w:rPr>
                <w:rFonts w:hint="default" w:ascii="仿宋_GB2312" w:hAnsi="仿宋_GB2312" w:eastAsia="仿宋_GB2312" w:cs="仿宋_GB2312"/>
                <w:color w:val="000000"/>
                <w:kern w:val="0"/>
                <w:sz w:val="21"/>
                <w:szCs w:val="21"/>
                <w:lang w:val="en-US" w:eastAsia="zh-CN"/>
              </w:rPr>
            </w:pPr>
          </w:p>
        </w:tc>
        <w:tc>
          <w:tcPr>
            <w:tcW w:w="712" w:type="dxa"/>
            <w:vMerge w:val="continue"/>
            <w:tcBorders>
              <w:tl2br w:val="nil"/>
              <w:tr2bl w:val="nil"/>
            </w:tcBorders>
            <w:tcMar>
              <w:top w:w="57" w:type="dxa"/>
              <w:left w:w="57" w:type="dxa"/>
              <w:bottom w:w="57" w:type="dxa"/>
              <w:right w:w="57" w:type="dxa"/>
            </w:tcMar>
            <w:vAlign w:val="center"/>
          </w:tcPr>
          <w:p>
            <w:pPr>
              <w:widowControl/>
              <w:adjustRightInd w:val="0"/>
              <w:snapToGrid w:val="0"/>
              <w:textAlignment w:val="center"/>
              <w:rPr>
                <w:rFonts w:hint="default" w:ascii="仿宋_GB2312" w:hAnsi="仿宋_GB2312" w:eastAsia="仿宋_GB2312" w:cs="仿宋_GB2312"/>
                <w:color w:val="000000"/>
                <w:kern w:val="0"/>
                <w:sz w:val="21"/>
                <w:szCs w:val="21"/>
                <w:lang w:val="en-US" w:eastAsia="zh-CN"/>
              </w:rPr>
            </w:pPr>
          </w:p>
        </w:tc>
        <w:tc>
          <w:tcPr>
            <w:tcW w:w="1656" w:type="dxa"/>
            <w:vMerge w:val="continue"/>
            <w:tcBorders>
              <w:tl2br w:val="nil"/>
              <w:tr2bl w:val="nil"/>
            </w:tcBorders>
            <w:tcMar>
              <w:top w:w="57" w:type="dxa"/>
              <w:left w:w="57" w:type="dxa"/>
              <w:bottom w:w="57" w:type="dxa"/>
              <w:right w:w="57" w:type="dxa"/>
            </w:tcMar>
            <w:vAlign w:val="center"/>
          </w:tcPr>
          <w:p>
            <w:pPr>
              <w:widowControl/>
              <w:adjustRightInd w:val="0"/>
              <w:snapToGrid w:val="0"/>
              <w:textAlignment w:val="center"/>
              <w:rPr>
                <w:rFonts w:hint="default" w:ascii="仿宋_GB2312" w:hAnsi="仿宋_GB2312" w:eastAsia="仿宋_GB2312" w:cs="仿宋_GB2312"/>
                <w:color w:val="000000"/>
                <w:kern w:val="0"/>
                <w:sz w:val="21"/>
                <w:szCs w:val="21"/>
                <w:lang w:val="en-US" w:eastAsia="zh-CN"/>
              </w:rPr>
            </w:pPr>
          </w:p>
        </w:tc>
        <w:tc>
          <w:tcPr>
            <w:tcW w:w="2152" w:type="dxa"/>
            <w:tcBorders>
              <w:top w:val="single" w:color="auto" w:sz="4" w:space="0"/>
              <w:tl2br w:val="nil"/>
              <w:tr2bl w:val="nil"/>
            </w:tcBorders>
            <w:tcMar>
              <w:top w:w="57" w:type="dxa"/>
              <w:left w:w="57" w:type="dxa"/>
              <w:bottom w:w="57" w:type="dxa"/>
              <w:right w:w="57" w:type="dxa"/>
            </w:tcMar>
            <w:vAlign w:val="center"/>
          </w:tcPr>
          <w:p>
            <w:pPr>
              <w:widowControl/>
              <w:adjustRightInd w:val="0"/>
              <w:snapToGrid w:val="0"/>
              <w:textAlignment w:val="center"/>
              <w:rPr>
                <w:rFonts w:hint="eastAsia"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价值八万元以上</w:t>
            </w:r>
          </w:p>
        </w:tc>
        <w:tc>
          <w:tcPr>
            <w:tcW w:w="4634" w:type="dxa"/>
            <w:tcBorders>
              <w:top w:val="single" w:color="auto" w:sz="4" w:space="0"/>
              <w:tl2br w:val="nil"/>
              <w:tr2bl w:val="nil"/>
            </w:tcBorders>
            <w:tcMar>
              <w:top w:w="57" w:type="dxa"/>
              <w:left w:w="57" w:type="dxa"/>
              <w:bottom w:w="57" w:type="dxa"/>
              <w:right w:w="57" w:type="dxa"/>
            </w:tcMar>
            <w:vAlign w:val="center"/>
          </w:tcPr>
          <w:p>
            <w:pPr>
              <w:widowControl/>
              <w:adjustRightInd w:val="0"/>
              <w:snapToGrid w:val="0"/>
              <w:textAlignment w:val="center"/>
              <w:rPr>
                <w:rFonts w:hint="eastAsia"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没收水生野生动物及其制品和违法所得，并处水生野生动物及其制品价值九倍以上不超过十倍罚款，没收水生野生动物及其制品和违法所得，吊销人工繁育许可证、撤销批准文件、收回专用标识</w:t>
            </w:r>
          </w:p>
        </w:tc>
      </w:tr>
    </w:tbl>
    <w:p>
      <w:pPr>
        <w:pStyle w:val="2"/>
      </w:pPr>
    </w:p>
    <w:p>
      <w:pPr>
        <w:pStyle w:val="2"/>
      </w:pPr>
    </w:p>
    <w:p>
      <w:pPr>
        <w:pStyle w:val="2"/>
      </w:pPr>
    </w:p>
    <w:p>
      <w:pPr>
        <w:pStyle w:val="2"/>
      </w:pPr>
    </w:p>
    <w:p>
      <w:pPr>
        <w:pStyle w:val="2"/>
      </w:pPr>
    </w:p>
    <w:p>
      <w:pPr>
        <w:pStyle w:val="2"/>
      </w:pPr>
    </w:p>
    <w:tbl>
      <w:tblPr>
        <w:tblStyle w:val="7"/>
        <w:tblW w:w="140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21"/>
        <w:gridCol w:w="1700"/>
        <w:gridCol w:w="5026"/>
        <w:gridCol w:w="819"/>
        <w:gridCol w:w="1578"/>
        <w:gridCol w:w="445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tblHeader/>
          <w:jc w:val="center"/>
        </w:trPr>
        <w:tc>
          <w:tcPr>
            <w:tcW w:w="421"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黑体" w:hAnsi="黑体" w:eastAsia="黑体" w:cs="黑体"/>
                <w:color w:val="000000"/>
                <w:sz w:val="24"/>
                <w:szCs w:val="24"/>
              </w:rPr>
            </w:pPr>
            <w:r>
              <w:rPr>
                <w:rFonts w:hint="eastAsia" w:ascii="黑体" w:hAnsi="黑体" w:eastAsia="黑体" w:cs="黑体"/>
                <w:color w:val="000000"/>
                <w:kern w:val="0"/>
                <w:sz w:val="24"/>
                <w:szCs w:val="24"/>
              </w:rPr>
              <w:t>序号</w:t>
            </w:r>
          </w:p>
        </w:tc>
        <w:tc>
          <w:tcPr>
            <w:tcW w:w="1700"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黑体" w:hAnsi="黑体" w:eastAsia="黑体" w:cs="黑体"/>
                <w:color w:val="000000"/>
                <w:sz w:val="24"/>
                <w:szCs w:val="24"/>
              </w:rPr>
            </w:pPr>
            <w:r>
              <w:rPr>
                <w:rFonts w:hint="eastAsia" w:ascii="黑体" w:hAnsi="黑体" w:eastAsia="黑体" w:cs="黑体"/>
                <w:color w:val="000000"/>
                <w:kern w:val="0"/>
                <w:sz w:val="24"/>
                <w:szCs w:val="24"/>
              </w:rPr>
              <w:t>违法行为</w:t>
            </w:r>
          </w:p>
        </w:tc>
        <w:tc>
          <w:tcPr>
            <w:tcW w:w="5026"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黑体" w:hAnsi="黑体" w:eastAsia="黑体" w:cs="黑体"/>
                <w:color w:val="000000"/>
                <w:sz w:val="24"/>
                <w:szCs w:val="24"/>
              </w:rPr>
            </w:pPr>
            <w:r>
              <w:rPr>
                <w:rFonts w:hint="eastAsia" w:ascii="黑体" w:hAnsi="黑体" w:eastAsia="黑体" w:cs="黑体"/>
                <w:color w:val="000000"/>
                <w:kern w:val="0"/>
                <w:sz w:val="24"/>
                <w:szCs w:val="24"/>
              </w:rPr>
              <w:t>处罚依据</w:t>
            </w:r>
          </w:p>
        </w:tc>
        <w:tc>
          <w:tcPr>
            <w:tcW w:w="819"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黑体" w:hAnsi="黑体" w:eastAsia="黑体" w:cs="黑体"/>
                <w:color w:val="000000"/>
                <w:sz w:val="24"/>
                <w:szCs w:val="24"/>
              </w:rPr>
            </w:pPr>
            <w:r>
              <w:rPr>
                <w:rFonts w:hint="eastAsia" w:ascii="黑体" w:hAnsi="黑体" w:eastAsia="黑体" w:cs="黑体"/>
                <w:color w:val="000000"/>
                <w:kern w:val="0"/>
                <w:sz w:val="24"/>
                <w:szCs w:val="24"/>
              </w:rPr>
              <w:t>违法程度</w:t>
            </w:r>
          </w:p>
        </w:tc>
        <w:tc>
          <w:tcPr>
            <w:tcW w:w="1578"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黑体" w:hAnsi="黑体" w:eastAsia="黑体" w:cs="黑体"/>
                <w:color w:val="000000"/>
                <w:sz w:val="24"/>
                <w:szCs w:val="24"/>
              </w:rPr>
            </w:pPr>
            <w:r>
              <w:rPr>
                <w:rFonts w:hint="eastAsia" w:ascii="黑体" w:hAnsi="黑体" w:eastAsia="黑体" w:cs="黑体"/>
                <w:color w:val="000000"/>
                <w:kern w:val="0"/>
                <w:sz w:val="24"/>
                <w:szCs w:val="24"/>
              </w:rPr>
              <w:t>违法情节</w:t>
            </w:r>
          </w:p>
        </w:tc>
        <w:tc>
          <w:tcPr>
            <w:tcW w:w="4456"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黑体" w:hAnsi="黑体" w:eastAsia="黑体" w:cs="黑体"/>
                <w:color w:val="000000"/>
                <w:sz w:val="24"/>
                <w:szCs w:val="24"/>
              </w:rPr>
            </w:pPr>
            <w:r>
              <w:rPr>
                <w:rFonts w:hint="eastAsia" w:ascii="黑体" w:hAnsi="黑体" w:eastAsia="黑体" w:cs="黑体"/>
                <w:color w:val="000000"/>
                <w:kern w:val="0"/>
                <w:sz w:val="24"/>
                <w:szCs w:val="24"/>
              </w:rPr>
              <w:t>裁量标准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5" w:hRule="atLeast"/>
          <w:jc w:val="center"/>
        </w:trPr>
        <w:tc>
          <w:tcPr>
            <w:tcW w:w="421" w:type="dxa"/>
            <w:vMerge w:val="restart"/>
            <w:tcBorders>
              <w:tl2br w:val="nil"/>
              <w:tr2bl w:val="nil"/>
            </w:tcBorders>
            <w:tcMar>
              <w:top w:w="57" w:type="dxa"/>
              <w:left w:w="57" w:type="dxa"/>
              <w:bottom w:w="57" w:type="dxa"/>
              <w:right w:w="57" w:type="dxa"/>
            </w:tcMar>
            <w:vAlign w:val="center"/>
          </w:tcPr>
          <w:p>
            <w:pPr>
              <w:widowControl/>
              <w:adjustRightInd w:val="0"/>
              <w:snapToGrid w:val="0"/>
              <w:textAlignment w:val="center"/>
              <w:rPr>
                <w:rFonts w:hint="default"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22</w:t>
            </w:r>
          </w:p>
        </w:tc>
        <w:tc>
          <w:tcPr>
            <w:tcW w:w="1700" w:type="dxa"/>
            <w:vMerge w:val="restart"/>
            <w:tcBorders>
              <w:tl2br w:val="nil"/>
              <w:tr2bl w:val="nil"/>
            </w:tcBorders>
            <w:tcMar>
              <w:top w:w="57" w:type="dxa"/>
              <w:left w:w="57" w:type="dxa"/>
              <w:bottom w:w="57" w:type="dxa"/>
              <w:right w:w="57" w:type="dxa"/>
            </w:tcMar>
            <w:vAlign w:val="center"/>
          </w:tcPr>
          <w:p>
            <w:pPr>
              <w:widowControl/>
              <w:adjustRightInd w:val="0"/>
              <w:snapToGrid w:val="0"/>
              <w:textAlignment w:val="center"/>
              <w:rPr>
                <w:rFonts w:hint="default" w:ascii="仿宋_GB2312" w:hAnsi="仿宋_GB2312" w:eastAsia="仿宋_GB2312" w:cs="仿宋_GB2312"/>
                <w:color w:val="000000"/>
                <w:kern w:val="0"/>
                <w:sz w:val="24"/>
                <w:szCs w:val="24"/>
                <w:lang w:val="en-US" w:eastAsia="zh-CN"/>
              </w:rPr>
            </w:pPr>
            <w:r>
              <w:rPr>
                <w:rFonts w:hint="default" w:ascii="仿宋_GB2312" w:hAnsi="仿宋_GB2312" w:eastAsia="仿宋_GB2312" w:cs="仿宋_GB2312"/>
                <w:color w:val="000000"/>
                <w:kern w:val="0"/>
                <w:sz w:val="24"/>
                <w:szCs w:val="24"/>
                <w:lang w:val="en-US" w:eastAsia="zh-CN"/>
              </w:rPr>
              <w:t>生产、经营使用国家重点保护水生野生动物及其制品制作食品，或者为食用非法购买国家重点保护的水生野生动物及其制品</w:t>
            </w:r>
          </w:p>
        </w:tc>
        <w:tc>
          <w:tcPr>
            <w:tcW w:w="5026" w:type="dxa"/>
            <w:vMerge w:val="restart"/>
            <w:tcBorders>
              <w:tl2br w:val="nil"/>
              <w:tr2bl w:val="nil"/>
            </w:tcBorders>
            <w:tcMar>
              <w:top w:w="57" w:type="dxa"/>
              <w:left w:w="57" w:type="dxa"/>
              <w:bottom w:w="57" w:type="dxa"/>
              <w:right w:w="57" w:type="dxa"/>
            </w:tcMar>
            <w:vAlign w:val="center"/>
          </w:tcPr>
          <w:p>
            <w:pPr>
              <w:widowControl/>
              <w:adjustRightInd w:val="0"/>
              <w:snapToGrid w:val="0"/>
              <w:textAlignment w:val="center"/>
              <w:rPr>
                <w:rFonts w:hint="eastAsia" w:ascii="仿宋_GB2312" w:hAnsi="仿宋_GB2312" w:eastAsia="仿宋_GB2312" w:cs="仿宋_GB2312"/>
                <w:color w:val="000000"/>
                <w:kern w:val="0"/>
                <w:sz w:val="24"/>
                <w:szCs w:val="24"/>
                <w:lang w:val="en-US" w:eastAsia="zh-CN"/>
              </w:rPr>
            </w:pPr>
            <w:r>
              <w:rPr>
                <w:rFonts w:hint="default" w:ascii="仿宋_GB2312" w:hAnsi="仿宋_GB2312" w:eastAsia="仿宋_GB2312" w:cs="仿宋_GB2312"/>
                <w:color w:val="000000"/>
                <w:kern w:val="0"/>
                <w:sz w:val="24"/>
                <w:szCs w:val="24"/>
                <w:lang w:val="en-US" w:eastAsia="zh-CN"/>
              </w:rPr>
              <w:t>《中华人民共和国野生动物保护法》第四十九条，违反本法第三十条规定，生产、经营使用国家重点保护野生动物及其制品或者没有合法来源证明的非国家重点保护野生动物及其制品制作食品，或者为食用非法购买国家重点保护的野生动物及其制品的，由县级以上人民政府野生动物保护主管部门或者市场监督管理部门按照职责分工责令停止违法行为，没收野生动物及其制品和违法所得，并处野生动物及其制品价值二倍以上十倍以下的罚款；构成犯罪的，依法追究刑事责任。</w:t>
            </w:r>
          </w:p>
        </w:tc>
        <w:tc>
          <w:tcPr>
            <w:tcW w:w="819"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hint="eastAsia" w:ascii="仿宋_GB2312" w:hAnsi="仿宋_GB2312" w:eastAsia="仿宋_GB2312" w:cs="仿宋_GB2312"/>
                <w:color w:val="000000"/>
                <w:kern w:val="0"/>
                <w:sz w:val="24"/>
                <w:szCs w:val="24"/>
                <w:lang w:val="en-US" w:eastAsia="zh-CN"/>
              </w:rPr>
            </w:pPr>
            <w:r>
              <w:rPr>
                <w:rFonts w:hint="default" w:ascii="仿宋_GB2312" w:hAnsi="仿宋_GB2312" w:eastAsia="仿宋_GB2312" w:cs="仿宋_GB2312"/>
                <w:color w:val="000000"/>
                <w:kern w:val="0"/>
                <w:sz w:val="24"/>
                <w:szCs w:val="24"/>
                <w:lang w:val="en-US" w:eastAsia="zh-CN"/>
              </w:rPr>
              <w:t>较轻</w:t>
            </w:r>
          </w:p>
        </w:tc>
        <w:tc>
          <w:tcPr>
            <w:tcW w:w="1578"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hint="eastAsia" w:ascii="仿宋_GB2312" w:hAnsi="仿宋_GB2312" w:eastAsia="仿宋_GB2312" w:cs="仿宋_GB2312"/>
                <w:color w:val="000000"/>
                <w:kern w:val="0"/>
                <w:sz w:val="24"/>
                <w:szCs w:val="24"/>
                <w:lang w:val="en-US" w:eastAsia="zh-CN"/>
              </w:rPr>
            </w:pPr>
            <w:r>
              <w:rPr>
                <w:rFonts w:hint="default" w:ascii="仿宋_GB2312" w:hAnsi="仿宋_GB2312" w:eastAsia="仿宋_GB2312" w:cs="仿宋_GB2312"/>
                <w:color w:val="000000"/>
                <w:kern w:val="0"/>
                <w:sz w:val="24"/>
                <w:szCs w:val="24"/>
                <w:lang w:val="en-US" w:eastAsia="zh-CN"/>
              </w:rPr>
              <w:t>价值五千元以下</w:t>
            </w:r>
          </w:p>
        </w:tc>
        <w:tc>
          <w:tcPr>
            <w:tcW w:w="4456" w:type="dxa"/>
            <w:tcBorders>
              <w:bottom w:val="single" w:color="auto" w:sz="4" w:space="0"/>
              <w:tl2br w:val="nil"/>
              <w:tr2bl w:val="nil"/>
            </w:tcBorders>
            <w:tcMar>
              <w:top w:w="57" w:type="dxa"/>
              <w:left w:w="57" w:type="dxa"/>
              <w:bottom w:w="57" w:type="dxa"/>
              <w:right w:w="57" w:type="dxa"/>
            </w:tcMar>
            <w:vAlign w:val="center"/>
          </w:tcPr>
          <w:p>
            <w:pPr>
              <w:widowControl/>
              <w:adjustRightInd w:val="0"/>
              <w:snapToGrid w:val="0"/>
              <w:textAlignment w:val="center"/>
              <w:rPr>
                <w:rFonts w:hint="eastAsia" w:ascii="仿宋_GB2312" w:hAnsi="仿宋_GB2312" w:eastAsia="仿宋_GB2312" w:cs="仿宋_GB2312"/>
                <w:color w:val="000000"/>
                <w:kern w:val="0"/>
                <w:sz w:val="24"/>
                <w:szCs w:val="24"/>
                <w:lang w:val="en-US" w:eastAsia="zh-CN"/>
              </w:rPr>
            </w:pPr>
            <w:r>
              <w:rPr>
                <w:rFonts w:hint="default" w:ascii="仿宋_GB2312" w:hAnsi="仿宋_GB2312" w:eastAsia="仿宋_GB2312" w:cs="仿宋_GB2312"/>
                <w:color w:val="000000"/>
                <w:kern w:val="0"/>
                <w:sz w:val="24"/>
                <w:szCs w:val="24"/>
                <w:lang w:val="en-US" w:eastAsia="zh-CN"/>
              </w:rPr>
              <w:t>责令停止违法行为，没收水生野生动物及其制品和违法所得，并处水生野生动物及其制品价值二倍以上五倍以下罚款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1" w:hRule="atLeast"/>
          <w:jc w:val="center"/>
        </w:trPr>
        <w:tc>
          <w:tcPr>
            <w:tcW w:w="421" w:type="dxa"/>
            <w:vMerge w:val="continue"/>
            <w:tcBorders>
              <w:tl2br w:val="nil"/>
              <w:tr2bl w:val="nil"/>
            </w:tcBorders>
            <w:tcMar>
              <w:top w:w="57" w:type="dxa"/>
              <w:left w:w="57" w:type="dxa"/>
              <w:bottom w:w="57" w:type="dxa"/>
              <w:right w:w="57" w:type="dxa"/>
            </w:tcMar>
            <w:vAlign w:val="center"/>
          </w:tcPr>
          <w:p>
            <w:pPr>
              <w:widowControl/>
              <w:adjustRightInd w:val="0"/>
              <w:snapToGrid w:val="0"/>
              <w:textAlignment w:val="center"/>
              <w:rPr>
                <w:rFonts w:hint="eastAsia" w:ascii="仿宋_GB2312" w:hAnsi="仿宋_GB2312" w:eastAsia="仿宋_GB2312" w:cs="仿宋_GB2312"/>
                <w:color w:val="000000"/>
                <w:kern w:val="0"/>
                <w:sz w:val="24"/>
                <w:szCs w:val="24"/>
                <w:lang w:val="en-US" w:eastAsia="zh-CN"/>
              </w:rPr>
            </w:pPr>
          </w:p>
        </w:tc>
        <w:tc>
          <w:tcPr>
            <w:tcW w:w="1700" w:type="dxa"/>
            <w:vMerge w:val="continue"/>
            <w:tcBorders>
              <w:tl2br w:val="nil"/>
              <w:tr2bl w:val="nil"/>
            </w:tcBorders>
            <w:tcMar>
              <w:top w:w="57" w:type="dxa"/>
              <w:left w:w="57" w:type="dxa"/>
              <w:bottom w:w="57" w:type="dxa"/>
              <w:right w:w="57" w:type="dxa"/>
            </w:tcMar>
            <w:vAlign w:val="center"/>
          </w:tcPr>
          <w:p>
            <w:pPr>
              <w:widowControl/>
              <w:adjustRightInd w:val="0"/>
              <w:snapToGrid w:val="0"/>
              <w:textAlignment w:val="center"/>
              <w:rPr>
                <w:rFonts w:hint="default" w:ascii="仿宋_GB2312" w:hAnsi="仿宋_GB2312" w:eastAsia="仿宋_GB2312" w:cs="仿宋_GB2312"/>
                <w:color w:val="000000"/>
                <w:kern w:val="0"/>
                <w:sz w:val="24"/>
                <w:szCs w:val="24"/>
                <w:lang w:val="en-US" w:eastAsia="zh-CN"/>
              </w:rPr>
            </w:pPr>
          </w:p>
        </w:tc>
        <w:tc>
          <w:tcPr>
            <w:tcW w:w="5026" w:type="dxa"/>
            <w:vMerge w:val="continue"/>
            <w:tcBorders>
              <w:tl2br w:val="nil"/>
              <w:tr2bl w:val="nil"/>
            </w:tcBorders>
            <w:tcMar>
              <w:top w:w="57" w:type="dxa"/>
              <w:left w:w="57" w:type="dxa"/>
              <w:bottom w:w="57" w:type="dxa"/>
              <w:right w:w="57" w:type="dxa"/>
            </w:tcMar>
            <w:vAlign w:val="center"/>
          </w:tcPr>
          <w:p>
            <w:pPr>
              <w:widowControl/>
              <w:adjustRightInd w:val="0"/>
              <w:snapToGrid w:val="0"/>
              <w:textAlignment w:val="center"/>
              <w:rPr>
                <w:rFonts w:hint="default" w:ascii="仿宋_GB2312" w:hAnsi="仿宋_GB2312" w:eastAsia="仿宋_GB2312" w:cs="仿宋_GB2312"/>
                <w:color w:val="000000"/>
                <w:kern w:val="0"/>
                <w:sz w:val="24"/>
                <w:szCs w:val="24"/>
                <w:lang w:val="en-US" w:eastAsia="zh-CN"/>
              </w:rPr>
            </w:pPr>
          </w:p>
        </w:tc>
        <w:tc>
          <w:tcPr>
            <w:tcW w:w="819" w:type="dxa"/>
            <w:tcBorders>
              <w:top w:val="single" w:color="auto" w:sz="4" w:space="0"/>
              <w:tl2br w:val="nil"/>
              <w:tr2bl w:val="nil"/>
            </w:tcBorders>
            <w:tcMar>
              <w:top w:w="57" w:type="dxa"/>
              <w:left w:w="57" w:type="dxa"/>
              <w:bottom w:w="57" w:type="dxa"/>
              <w:right w:w="57" w:type="dxa"/>
            </w:tcMar>
            <w:vAlign w:val="center"/>
          </w:tcPr>
          <w:p>
            <w:pPr>
              <w:widowControl/>
              <w:adjustRightInd w:val="0"/>
              <w:snapToGrid w:val="0"/>
              <w:textAlignment w:val="center"/>
              <w:rPr>
                <w:rFonts w:hint="eastAsia" w:ascii="仿宋_GB2312" w:hAnsi="仿宋_GB2312" w:eastAsia="仿宋_GB2312" w:cs="仿宋_GB2312"/>
                <w:color w:val="000000"/>
                <w:kern w:val="0"/>
                <w:sz w:val="24"/>
                <w:szCs w:val="24"/>
                <w:lang w:val="en-US" w:eastAsia="zh-CN"/>
              </w:rPr>
            </w:pPr>
            <w:r>
              <w:rPr>
                <w:rFonts w:hint="default" w:ascii="仿宋_GB2312" w:hAnsi="仿宋_GB2312" w:eastAsia="仿宋_GB2312" w:cs="仿宋_GB2312"/>
                <w:color w:val="000000"/>
                <w:kern w:val="0"/>
                <w:sz w:val="24"/>
                <w:szCs w:val="24"/>
                <w:lang w:val="en-US" w:eastAsia="zh-CN"/>
              </w:rPr>
              <w:t>一般</w:t>
            </w:r>
          </w:p>
        </w:tc>
        <w:tc>
          <w:tcPr>
            <w:tcW w:w="1578" w:type="dxa"/>
            <w:tcBorders>
              <w:top w:val="single" w:color="auto" w:sz="4" w:space="0"/>
              <w:tl2br w:val="nil"/>
              <w:tr2bl w:val="nil"/>
            </w:tcBorders>
            <w:tcMar>
              <w:top w:w="57" w:type="dxa"/>
              <w:left w:w="57" w:type="dxa"/>
              <w:bottom w:w="57" w:type="dxa"/>
              <w:right w:w="57" w:type="dxa"/>
            </w:tcMar>
            <w:vAlign w:val="center"/>
          </w:tcPr>
          <w:p>
            <w:pPr>
              <w:widowControl/>
              <w:adjustRightInd w:val="0"/>
              <w:snapToGrid w:val="0"/>
              <w:textAlignment w:val="center"/>
              <w:rPr>
                <w:rFonts w:hint="eastAsia" w:ascii="仿宋_GB2312" w:hAnsi="仿宋_GB2312" w:eastAsia="仿宋_GB2312" w:cs="仿宋_GB2312"/>
                <w:color w:val="000000"/>
                <w:kern w:val="0"/>
                <w:sz w:val="24"/>
                <w:szCs w:val="24"/>
                <w:lang w:val="en-US" w:eastAsia="zh-CN"/>
              </w:rPr>
            </w:pPr>
            <w:r>
              <w:rPr>
                <w:rFonts w:hint="default" w:ascii="仿宋_GB2312" w:hAnsi="仿宋_GB2312" w:eastAsia="仿宋_GB2312" w:cs="仿宋_GB2312"/>
                <w:color w:val="000000"/>
                <w:kern w:val="0"/>
                <w:sz w:val="24"/>
                <w:szCs w:val="24"/>
                <w:lang w:val="en-US" w:eastAsia="zh-CN"/>
              </w:rPr>
              <w:t>价值五千元以上一万元以下</w:t>
            </w:r>
          </w:p>
        </w:tc>
        <w:tc>
          <w:tcPr>
            <w:tcW w:w="4456" w:type="dxa"/>
            <w:tcBorders>
              <w:top w:val="single" w:color="auto" w:sz="4" w:space="0"/>
              <w:bottom w:val="single" w:color="auto" w:sz="4" w:space="0"/>
              <w:tl2br w:val="nil"/>
              <w:tr2bl w:val="nil"/>
            </w:tcBorders>
            <w:tcMar>
              <w:top w:w="57" w:type="dxa"/>
              <w:left w:w="57" w:type="dxa"/>
              <w:bottom w:w="57" w:type="dxa"/>
              <w:right w:w="57" w:type="dxa"/>
            </w:tcMar>
            <w:vAlign w:val="center"/>
          </w:tcPr>
          <w:p>
            <w:pPr>
              <w:widowControl/>
              <w:adjustRightInd w:val="0"/>
              <w:snapToGrid w:val="0"/>
              <w:textAlignment w:val="center"/>
              <w:rPr>
                <w:rFonts w:hint="eastAsia" w:ascii="仿宋_GB2312" w:hAnsi="仿宋_GB2312" w:eastAsia="仿宋_GB2312" w:cs="仿宋_GB2312"/>
                <w:color w:val="000000"/>
                <w:kern w:val="0"/>
                <w:sz w:val="24"/>
                <w:szCs w:val="24"/>
                <w:lang w:val="en-US" w:eastAsia="zh-CN"/>
              </w:rPr>
            </w:pPr>
            <w:r>
              <w:rPr>
                <w:rFonts w:hint="default" w:ascii="仿宋_GB2312" w:hAnsi="仿宋_GB2312" w:eastAsia="仿宋_GB2312" w:cs="仿宋_GB2312"/>
                <w:color w:val="000000"/>
                <w:kern w:val="0"/>
                <w:sz w:val="24"/>
                <w:szCs w:val="24"/>
                <w:lang w:val="en-US" w:eastAsia="zh-CN"/>
              </w:rPr>
              <w:t>责令停止违法行为，没收水生野生动物及其制品和违法所得，并处水生野生动物及其制品价值五倍以上八倍以下罚款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1" w:hRule="atLeast"/>
          <w:jc w:val="center"/>
        </w:trPr>
        <w:tc>
          <w:tcPr>
            <w:tcW w:w="421" w:type="dxa"/>
            <w:vMerge w:val="continue"/>
            <w:tcBorders>
              <w:tl2br w:val="nil"/>
              <w:tr2bl w:val="nil"/>
            </w:tcBorders>
            <w:tcMar>
              <w:top w:w="57" w:type="dxa"/>
              <w:left w:w="57" w:type="dxa"/>
              <w:bottom w:w="57" w:type="dxa"/>
              <w:right w:w="57" w:type="dxa"/>
            </w:tcMar>
            <w:vAlign w:val="center"/>
          </w:tcPr>
          <w:p>
            <w:pPr>
              <w:widowControl/>
              <w:adjustRightInd w:val="0"/>
              <w:snapToGrid w:val="0"/>
              <w:textAlignment w:val="center"/>
              <w:rPr>
                <w:rFonts w:hint="eastAsia" w:ascii="仿宋_GB2312" w:hAnsi="仿宋_GB2312" w:eastAsia="仿宋_GB2312" w:cs="仿宋_GB2312"/>
                <w:color w:val="000000"/>
                <w:kern w:val="0"/>
                <w:sz w:val="24"/>
                <w:szCs w:val="24"/>
                <w:lang w:val="en-US" w:eastAsia="zh-CN"/>
              </w:rPr>
            </w:pPr>
          </w:p>
        </w:tc>
        <w:tc>
          <w:tcPr>
            <w:tcW w:w="1700" w:type="dxa"/>
            <w:vMerge w:val="continue"/>
            <w:tcBorders>
              <w:tl2br w:val="nil"/>
              <w:tr2bl w:val="nil"/>
            </w:tcBorders>
            <w:tcMar>
              <w:top w:w="57" w:type="dxa"/>
              <w:left w:w="57" w:type="dxa"/>
              <w:bottom w:w="57" w:type="dxa"/>
              <w:right w:w="57" w:type="dxa"/>
            </w:tcMar>
            <w:vAlign w:val="center"/>
          </w:tcPr>
          <w:p>
            <w:pPr>
              <w:widowControl/>
              <w:adjustRightInd w:val="0"/>
              <w:snapToGrid w:val="0"/>
              <w:textAlignment w:val="center"/>
              <w:rPr>
                <w:rFonts w:hint="default" w:ascii="仿宋_GB2312" w:hAnsi="仿宋_GB2312" w:eastAsia="仿宋_GB2312" w:cs="仿宋_GB2312"/>
                <w:color w:val="000000"/>
                <w:kern w:val="0"/>
                <w:sz w:val="24"/>
                <w:szCs w:val="24"/>
                <w:lang w:val="en-US" w:eastAsia="zh-CN"/>
              </w:rPr>
            </w:pPr>
          </w:p>
        </w:tc>
        <w:tc>
          <w:tcPr>
            <w:tcW w:w="5026" w:type="dxa"/>
            <w:vMerge w:val="continue"/>
            <w:tcBorders>
              <w:tl2br w:val="nil"/>
              <w:tr2bl w:val="nil"/>
            </w:tcBorders>
            <w:tcMar>
              <w:top w:w="57" w:type="dxa"/>
              <w:left w:w="57" w:type="dxa"/>
              <w:bottom w:w="57" w:type="dxa"/>
              <w:right w:w="57" w:type="dxa"/>
            </w:tcMar>
            <w:vAlign w:val="center"/>
          </w:tcPr>
          <w:p>
            <w:pPr>
              <w:widowControl/>
              <w:adjustRightInd w:val="0"/>
              <w:snapToGrid w:val="0"/>
              <w:textAlignment w:val="center"/>
              <w:rPr>
                <w:rFonts w:hint="default" w:ascii="仿宋_GB2312" w:hAnsi="仿宋_GB2312" w:eastAsia="仿宋_GB2312" w:cs="仿宋_GB2312"/>
                <w:color w:val="000000"/>
                <w:kern w:val="0"/>
                <w:sz w:val="24"/>
                <w:szCs w:val="24"/>
                <w:lang w:val="en-US" w:eastAsia="zh-CN"/>
              </w:rPr>
            </w:pPr>
          </w:p>
        </w:tc>
        <w:tc>
          <w:tcPr>
            <w:tcW w:w="819" w:type="dxa"/>
            <w:tcBorders>
              <w:top w:val="single" w:color="auto" w:sz="4" w:space="0"/>
              <w:tl2br w:val="nil"/>
              <w:tr2bl w:val="nil"/>
            </w:tcBorders>
            <w:tcMar>
              <w:top w:w="57" w:type="dxa"/>
              <w:left w:w="57" w:type="dxa"/>
              <w:bottom w:w="57" w:type="dxa"/>
              <w:right w:w="57" w:type="dxa"/>
            </w:tcMar>
            <w:vAlign w:val="center"/>
          </w:tcPr>
          <w:p>
            <w:pPr>
              <w:widowControl/>
              <w:adjustRightInd w:val="0"/>
              <w:snapToGrid w:val="0"/>
              <w:textAlignment w:val="center"/>
              <w:rPr>
                <w:rFonts w:hint="eastAsia" w:ascii="仿宋_GB2312" w:hAnsi="仿宋_GB2312" w:eastAsia="仿宋_GB2312" w:cs="仿宋_GB2312"/>
                <w:color w:val="000000"/>
                <w:kern w:val="0"/>
                <w:sz w:val="24"/>
                <w:szCs w:val="24"/>
                <w:lang w:val="en-US" w:eastAsia="zh-CN"/>
              </w:rPr>
            </w:pPr>
            <w:r>
              <w:rPr>
                <w:rFonts w:hint="default" w:ascii="仿宋_GB2312" w:hAnsi="仿宋_GB2312" w:eastAsia="仿宋_GB2312" w:cs="仿宋_GB2312"/>
                <w:color w:val="000000"/>
                <w:kern w:val="0"/>
                <w:sz w:val="24"/>
                <w:szCs w:val="24"/>
                <w:lang w:val="en-US" w:eastAsia="zh-CN"/>
              </w:rPr>
              <w:t>严重</w:t>
            </w:r>
          </w:p>
        </w:tc>
        <w:tc>
          <w:tcPr>
            <w:tcW w:w="1578" w:type="dxa"/>
            <w:tcBorders>
              <w:top w:val="single" w:color="auto" w:sz="4" w:space="0"/>
              <w:tl2br w:val="nil"/>
              <w:tr2bl w:val="nil"/>
            </w:tcBorders>
            <w:tcMar>
              <w:top w:w="57" w:type="dxa"/>
              <w:left w:w="57" w:type="dxa"/>
              <w:bottom w:w="57" w:type="dxa"/>
              <w:right w:w="57" w:type="dxa"/>
            </w:tcMar>
            <w:vAlign w:val="center"/>
          </w:tcPr>
          <w:p>
            <w:pPr>
              <w:widowControl/>
              <w:adjustRightInd w:val="0"/>
              <w:snapToGrid w:val="0"/>
              <w:textAlignment w:val="center"/>
              <w:rPr>
                <w:rFonts w:hint="eastAsia" w:ascii="仿宋_GB2312" w:hAnsi="仿宋_GB2312" w:eastAsia="仿宋_GB2312" w:cs="仿宋_GB2312"/>
                <w:color w:val="000000"/>
                <w:kern w:val="0"/>
                <w:sz w:val="24"/>
                <w:szCs w:val="24"/>
                <w:lang w:val="en-US" w:eastAsia="zh-CN"/>
              </w:rPr>
            </w:pPr>
            <w:r>
              <w:rPr>
                <w:rFonts w:hint="default" w:ascii="仿宋_GB2312" w:hAnsi="仿宋_GB2312" w:eastAsia="仿宋_GB2312" w:cs="仿宋_GB2312"/>
                <w:color w:val="000000"/>
                <w:kern w:val="0"/>
                <w:sz w:val="24"/>
                <w:szCs w:val="24"/>
                <w:lang w:val="en-US" w:eastAsia="zh-CN"/>
              </w:rPr>
              <w:t>价值一万元以上</w:t>
            </w:r>
          </w:p>
        </w:tc>
        <w:tc>
          <w:tcPr>
            <w:tcW w:w="4456" w:type="dxa"/>
            <w:tcBorders>
              <w:top w:val="single" w:color="auto" w:sz="4" w:space="0"/>
              <w:bottom w:val="single" w:color="auto" w:sz="4" w:space="0"/>
              <w:tl2br w:val="nil"/>
              <w:tr2bl w:val="nil"/>
            </w:tcBorders>
            <w:tcMar>
              <w:top w:w="57" w:type="dxa"/>
              <w:left w:w="57" w:type="dxa"/>
              <w:bottom w:w="57" w:type="dxa"/>
              <w:right w:w="57" w:type="dxa"/>
            </w:tcMar>
            <w:vAlign w:val="center"/>
          </w:tcPr>
          <w:p>
            <w:pPr>
              <w:widowControl/>
              <w:adjustRightInd w:val="0"/>
              <w:snapToGrid w:val="0"/>
              <w:textAlignment w:val="center"/>
              <w:rPr>
                <w:rFonts w:hint="eastAsia" w:ascii="仿宋_GB2312" w:hAnsi="仿宋_GB2312" w:eastAsia="仿宋_GB2312" w:cs="仿宋_GB2312"/>
                <w:color w:val="000000"/>
                <w:kern w:val="0"/>
                <w:sz w:val="24"/>
                <w:szCs w:val="24"/>
                <w:lang w:val="en-US" w:eastAsia="zh-CN"/>
              </w:rPr>
            </w:pPr>
            <w:r>
              <w:rPr>
                <w:rFonts w:hint="default" w:ascii="仿宋_GB2312" w:hAnsi="仿宋_GB2312" w:eastAsia="仿宋_GB2312" w:cs="仿宋_GB2312"/>
                <w:color w:val="000000"/>
                <w:kern w:val="0"/>
                <w:sz w:val="24"/>
                <w:szCs w:val="24"/>
                <w:lang w:val="en-US" w:eastAsia="zh-CN"/>
              </w:rPr>
              <w:t>责令停止违法行为，没收水生野生动物及其制品和违法所得，并处水生野生动物及其制品价值八倍以上十倍以下罚款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52" w:hRule="atLeast"/>
          <w:jc w:val="center"/>
        </w:trPr>
        <w:tc>
          <w:tcPr>
            <w:tcW w:w="421" w:type="dxa"/>
            <w:vMerge w:val="restart"/>
            <w:tcBorders>
              <w:tl2br w:val="nil"/>
              <w:tr2bl w:val="nil"/>
            </w:tcBorders>
            <w:tcMar>
              <w:top w:w="57" w:type="dxa"/>
              <w:left w:w="57" w:type="dxa"/>
              <w:bottom w:w="57" w:type="dxa"/>
              <w:right w:w="57" w:type="dxa"/>
            </w:tcMar>
            <w:vAlign w:val="center"/>
          </w:tcPr>
          <w:p>
            <w:pPr>
              <w:widowControl/>
              <w:adjustRightInd w:val="0"/>
              <w:snapToGrid w:val="0"/>
              <w:textAlignment w:val="center"/>
              <w:rPr>
                <w:rFonts w:hint="default"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23</w:t>
            </w:r>
          </w:p>
        </w:tc>
        <w:tc>
          <w:tcPr>
            <w:tcW w:w="1700" w:type="dxa"/>
            <w:vMerge w:val="restart"/>
            <w:tcBorders>
              <w:tl2br w:val="nil"/>
              <w:tr2bl w:val="nil"/>
            </w:tcBorders>
            <w:tcMar>
              <w:top w:w="57" w:type="dxa"/>
              <w:left w:w="57" w:type="dxa"/>
              <w:bottom w:w="57" w:type="dxa"/>
              <w:right w:w="57" w:type="dxa"/>
            </w:tcMar>
            <w:vAlign w:val="center"/>
          </w:tcPr>
          <w:p>
            <w:pPr>
              <w:widowControl/>
              <w:adjustRightInd w:val="0"/>
              <w:snapToGrid w:val="0"/>
              <w:textAlignment w:val="center"/>
              <w:rPr>
                <w:rFonts w:hint="default" w:ascii="仿宋_GB2312" w:hAnsi="仿宋_GB2312" w:eastAsia="仿宋_GB2312" w:cs="仿宋_GB2312"/>
                <w:color w:val="000000"/>
                <w:kern w:val="0"/>
                <w:sz w:val="24"/>
                <w:szCs w:val="24"/>
                <w:lang w:val="en-US" w:eastAsia="zh-CN"/>
              </w:rPr>
            </w:pPr>
            <w:r>
              <w:rPr>
                <w:rFonts w:hint="default" w:ascii="仿宋_GB2312" w:hAnsi="仿宋_GB2312" w:eastAsia="仿宋_GB2312" w:cs="仿宋_GB2312"/>
                <w:color w:val="000000"/>
                <w:kern w:val="0"/>
                <w:sz w:val="24"/>
                <w:szCs w:val="24"/>
                <w:lang w:val="en-US" w:eastAsia="zh-CN"/>
              </w:rPr>
              <w:t>违法从境外引进水生野生动物物种</w:t>
            </w:r>
          </w:p>
        </w:tc>
        <w:tc>
          <w:tcPr>
            <w:tcW w:w="5026" w:type="dxa"/>
            <w:vMerge w:val="restart"/>
            <w:tcBorders>
              <w:tl2br w:val="nil"/>
              <w:tr2bl w:val="nil"/>
            </w:tcBorders>
            <w:tcMar>
              <w:top w:w="57" w:type="dxa"/>
              <w:left w:w="57" w:type="dxa"/>
              <w:bottom w:w="57" w:type="dxa"/>
              <w:right w:w="57" w:type="dxa"/>
            </w:tcMar>
            <w:vAlign w:val="center"/>
          </w:tcPr>
          <w:p>
            <w:pPr>
              <w:widowControl/>
              <w:adjustRightInd w:val="0"/>
              <w:snapToGrid w:val="0"/>
              <w:textAlignment w:val="center"/>
              <w:rPr>
                <w:rFonts w:hint="default" w:ascii="仿宋_GB2312" w:hAnsi="仿宋_GB2312" w:eastAsia="仿宋_GB2312" w:cs="仿宋_GB2312"/>
                <w:color w:val="000000"/>
                <w:kern w:val="0"/>
                <w:sz w:val="24"/>
                <w:szCs w:val="24"/>
                <w:lang w:val="en-US" w:eastAsia="zh-CN"/>
              </w:rPr>
            </w:pPr>
            <w:r>
              <w:rPr>
                <w:rFonts w:hint="default" w:ascii="仿宋_GB2312" w:hAnsi="仿宋_GB2312" w:eastAsia="仿宋_GB2312" w:cs="仿宋_GB2312"/>
                <w:color w:val="000000"/>
                <w:kern w:val="0"/>
                <w:sz w:val="24"/>
                <w:szCs w:val="24"/>
                <w:lang w:val="en-US" w:eastAsia="zh-CN"/>
              </w:rPr>
              <w:t>《中华人民共和国野生动物保护法》第五十三条，违反本法第三十七条第一款规定，从境外引进野生动物物种的，由县级以上人民政府野生动物保护主管部门没收所引进的野生动物，并处五万元以上二十五万元以下的罚款；未依法实施进境检疫的，依照《中华人民共和国进出境动植物检疫法》的规定处罚；构成犯罪的，依法追究刑事责任。</w:t>
            </w:r>
          </w:p>
        </w:tc>
        <w:tc>
          <w:tcPr>
            <w:tcW w:w="819" w:type="dxa"/>
            <w:tcBorders>
              <w:bottom w:val="single" w:color="auto" w:sz="4" w:space="0"/>
              <w:tl2br w:val="nil"/>
              <w:tr2bl w:val="nil"/>
            </w:tcBorders>
            <w:tcMar>
              <w:top w:w="57" w:type="dxa"/>
              <w:left w:w="57" w:type="dxa"/>
              <w:bottom w:w="57" w:type="dxa"/>
              <w:right w:w="57" w:type="dxa"/>
            </w:tcMar>
            <w:vAlign w:val="center"/>
          </w:tcPr>
          <w:p>
            <w:pPr>
              <w:widowControl/>
              <w:adjustRightInd w:val="0"/>
              <w:snapToGrid w:val="0"/>
              <w:textAlignment w:val="center"/>
              <w:rPr>
                <w:rFonts w:hint="default" w:ascii="仿宋_GB2312" w:hAnsi="仿宋_GB2312" w:eastAsia="仿宋_GB2312" w:cs="仿宋_GB2312"/>
                <w:color w:val="000000"/>
                <w:kern w:val="0"/>
                <w:sz w:val="24"/>
                <w:szCs w:val="24"/>
                <w:lang w:val="en-US" w:eastAsia="zh-CN"/>
              </w:rPr>
            </w:pPr>
            <w:r>
              <w:rPr>
                <w:rFonts w:hint="default" w:ascii="仿宋_GB2312" w:hAnsi="仿宋_GB2312" w:eastAsia="仿宋_GB2312" w:cs="仿宋_GB2312"/>
                <w:color w:val="000000"/>
                <w:kern w:val="0"/>
                <w:sz w:val="24"/>
                <w:szCs w:val="24"/>
                <w:lang w:val="en-US" w:eastAsia="zh-CN"/>
              </w:rPr>
              <w:t>一般</w:t>
            </w:r>
          </w:p>
        </w:tc>
        <w:tc>
          <w:tcPr>
            <w:tcW w:w="1578" w:type="dxa"/>
            <w:tcBorders>
              <w:bottom w:val="single" w:color="auto" w:sz="4" w:space="0"/>
              <w:tl2br w:val="nil"/>
              <w:tr2bl w:val="nil"/>
            </w:tcBorders>
            <w:tcMar>
              <w:top w:w="57" w:type="dxa"/>
              <w:left w:w="57" w:type="dxa"/>
              <w:bottom w:w="57" w:type="dxa"/>
              <w:right w:w="57" w:type="dxa"/>
            </w:tcMar>
            <w:vAlign w:val="center"/>
          </w:tcPr>
          <w:p>
            <w:pPr>
              <w:widowControl/>
              <w:adjustRightInd w:val="0"/>
              <w:snapToGrid w:val="0"/>
              <w:textAlignment w:val="center"/>
              <w:rPr>
                <w:rFonts w:hint="default" w:ascii="仿宋_GB2312" w:hAnsi="仿宋_GB2312" w:eastAsia="仿宋_GB2312" w:cs="仿宋_GB2312"/>
                <w:color w:val="000000"/>
                <w:kern w:val="0"/>
                <w:sz w:val="24"/>
                <w:szCs w:val="24"/>
                <w:lang w:val="en-US" w:eastAsia="zh-CN"/>
              </w:rPr>
            </w:pPr>
            <w:r>
              <w:rPr>
                <w:rFonts w:hint="default" w:ascii="仿宋_GB2312" w:hAnsi="仿宋_GB2312" w:eastAsia="仿宋_GB2312" w:cs="仿宋_GB2312"/>
                <w:color w:val="000000"/>
                <w:kern w:val="0"/>
                <w:sz w:val="24"/>
                <w:szCs w:val="24"/>
                <w:lang w:val="en-US" w:eastAsia="zh-CN"/>
              </w:rPr>
              <w:t>引进未列入外来入侵物种名录的物种</w:t>
            </w:r>
          </w:p>
        </w:tc>
        <w:tc>
          <w:tcPr>
            <w:tcW w:w="4456" w:type="dxa"/>
            <w:tcBorders>
              <w:top w:val="single" w:color="auto" w:sz="4" w:space="0"/>
              <w:bottom w:val="single" w:color="auto" w:sz="4" w:space="0"/>
              <w:tl2br w:val="nil"/>
              <w:tr2bl w:val="nil"/>
            </w:tcBorders>
            <w:tcMar>
              <w:top w:w="57" w:type="dxa"/>
              <w:left w:w="57" w:type="dxa"/>
              <w:bottom w:w="57" w:type="dxa"/>
              <w:right w:w="57" w:type="dxa"/>
            </w:tcMar>
            <w:vAlign w:val="center"/>
          </w:tcPr>
          <w:p>
            <w:pPr>
              <w:widowControl/>
              <w:adjustRightInd w:val="0"/>
              <w:snapToGrid w:val="0"/>
              <w:textAlignment w:val="center"/>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没收所引进的水生野生动物，并处五万元以上十五万元以下罚款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54" w:hRule="atLeast"/>
          <w:jc w:val="center"/>
        </w:trPr>
        <w:tc>
          <w:tcPr>
            <w:tcW w:w="421" w:type="dxa"/>
            <w:vMerge w:val="continue"/>
            <w:tcBorders>
              <w:tl2br w:val="nil"/>
              <w:tr2bl w:val="nil"/>
            </w:tcBorders>
            <w:tcMar>
              <w:top w:w="57" w:type="dxa"/>
              <w:left w:w="57" w:type="dxa"/>
              <w:bottom w:w="57" w:type="dxa"/>
              <w:right w:w="57" w:type="dxa"/>
            </w:tcMar>
            <w:vAlign w:val="center"/>
          </w:tcPr>
          <w:p>
            <w:pPr>
              <w:widowControl/>
              <w:adjustRightInd w:val="0"/>
              <w:snapToGrid w:val="0"/>
              <w:textAlignment w:val="center"/>
              <w:rPr>
                <w:rFonts w:hint="eastAsia" w:ascii="仿宋_GB2312" w:hAnsi="仿宋_GB2312" w:eastAsia="仿宋_GB2312" w:cs="仿宋_GB2312"/>
                <w:color w:val="000000"/>
                <w:kern w:val="0"/>
                <w:sz w:val="24"/>
                <w:szCs w:val="24"/>
                <w:lang w:val="en-US" w:eastAsia="zh-CN"/>
              </w:rPr>
            </w:pPr>
          </w:p>
        </w:tc>
        <w:tc>
          <w:tcPr>
            <w:tcW w:w="1700" w:type="dxa"/>
            <w:vMerge w:val="continue"/>
            <w:tcBorders>
              <w:tl2br w:val="nil"/>
              <w:tr2bl w:val="nil"/>
            </w:tcBorders>
            <w:tcMar>
              <w:top w:w="57" w:type="dxa"/>
              <w:left w:w="57" w:type="dxa"/>
              <w:bottom w:w="57" w:type="dxa"/>
              <w:right w:w="57" w:type="dxa"/>
            </w:tcMar>
            <w:vAlign w:val="center"/>
          </w:tcPr>
          <w:p>
            <w:pPr>
              <w:widowControl/>
              <w:adjustRightInd w:val="0"/>
              <w:snapToGrid w:val="0"/>
              <w:textAlignment w:val="center"/>
              <w:rPr>
                <w:rFonts w:hint="default" w:ascii="仿宋_GB2312" w:hAnsi="仿宋_GB2312" w:eastAsia="仿宋_GB2312" w:cs="仿宋_GB2312"/>
                <w:color w:val="000000"/>
                <w:kern w:val="0"/>
                <w:sz w:val="24"/>
                <w:szCs w:val="24"/>
                <w:lang w:val="en-US" w:eastAsia="zh-CN"/>
              </w:rPr>
            </w:pPr>
          </w:p>
        </w:tc>
        <w:tc>
          <w:tcPr>
            <w:tcW w:w="5026" w:type="dxa"/>
            <w:vMerge w:val="continue"/>
            <w:tcBorders>
              <w:tl2br w:val="nil"/>
              <w:tr2bl w:val="nil"/>
            </w:tcBorders>
            <w:tcMar>
              <w:top w:w="57" w:type="dxa"/>
              <w:left w:w="57" w:type="dxa"/>
              <w:bottom w:w="57" w:type="dxa"/>
              <w:right w:w="57" w:type="dxa"/>
            </w:tcMar>
            <w:vAlign w:val="center"/>
          </w:tcPr>
          <w:p>
            <w:pPr>
              <w:widowControl/>
              <w:adjustRightInd w:val="0"/>
              <w:snapToGrid w:val="0"/>
              <w:textAlignment w:val="center"/>
              <w:rPr>
                <w:rFonts w:hint="default" w:ascii="仿宋_GB2312" w:hAnsi="仿宋_GB2312" w:eastAsia="仿宋_GB2312" w:cs="仿宋_GB2312"/>
                <w:color w:val="000000"/>
                <w:kern w:val="0"/>
                <w:sz w:val="24"/>
                <w:szCs w:val="24"/>
                <w:lang w:val="en-US" w:eastAsia="zh-CN"/>
              </w:rPr>
            </w:pPr>
          </w:p>
        </w:tc>
        <w:tc>
          <w:tcPr>
            <w:tcW w:w="819" w:type="dxa"/>
            <w:tcBorders>
              <w:top w:val="single" w:color="auto" w:sz="4" w:space="0"/>
              <w:bottom w:val="single" w:color="auto" w:sz="4" w:space="0"/>
              <w:tl2br w:val="nil"/>
              <w:tr2bl w:val="nil"/>
            </w:tcBorders>
            <w:tcMar>
              <w:top w:w="57" w:type="dxa"/>
              <w:left w:w="57" w:type="dxa"/>
              <w:bottom w:w="57" w:type="dxa"/>
              <w:right w:w="57" w:type="dxa"/>
            </w:tcMar>
            <w:vAlign w:val="center"/>
          </w:tcPr>
          <w:p>
            <w:pPr>
              <w:widowControl/>
              <w:adjustRightInd w:val="0"/>
              <w:snapToGrid w:val="0"/>
              <w:textAlignment w:val="center"/>
              <w:rPr>
                <w:rFonts w:hint="default" w:ascii="仿宋_GB2312" w:hAnsi="仿宋_GB2312" w:eastAsia="仿宋_GB2312" w:cs="仿宋_GB2312"/>
                <w:color w:val="000000"/>
                <w:kern w:val="0"/>
                <w:sz w:val="24"/>
                <w:szCs w:val="24"/>
                <w:lang w:val="en-US" w:eastAsia="zh-CN"/>
              </w:rPr>
            </w:pPr>
            <w:r>
              <w:rPr>
                <w:rFonts w:hint="default" w:ascii="仿宋_GB2312" w:hAnsi="仿宋_GB2312" w:eastAsia="仿宋_GB2312" w:cs="仿宋_GB2312"/>
                <w:color w:val="000000"/>
                <w:kern w:val="0"/>
                <w:sz w:val="24"/>
                <w:szCs w:val="24"/>
                <w:lang w:val="en-US" w:eastAsia="zh-CN"/>
              </w:rPr>
              <w:t>严重</w:t>
            </w:r>
          </w:p>
        </w:tc>
        <w:tc>
          <w:tcPr>
            <w:tcW w:w="1578" w:type="dxa"/>
            <w:tcBorders>
              <w:top w:val="single" w:color="auto" w:sz="4" w:space="0"/>
              <w:bottom w:val="single" w:color="auto" w:sz="4" w:space="0"/>
              <w:tl2br w:val="nil"/>
              <w:tr2bl w:val="nil"/>
            </w:tcBorders>
            <w:tcMar>
              <w:top w:w="57" w:type="dxa"/>
              <w:left w:w="57" w:type="dxa"/>
              <w:bottom w:w="57" w:type="dxa"/>
              <w:right w:w="57" w:type="dxa"/>
            </w:tcMar>
            <w:vAlign w:val="center"/>
          </w:tcPr>
          <w:p>
            <w:pPr>
              <w:widowControl/>
              <w:adjustRightInd w:val="0"/>
              <w:snapToGrid w:val="0"/>
              <w:textAlignment w:val="center"/>
              <w:rPr>
                <w:rFonts w:hint="default" w:ascii="仿宋_GB2312" w:hAnsi="仿宋_GB2312" w:eastAsia="仿宋_GB2312" w:cs="仿宋_GB2312"/>
                <w:color w:val="000000"/>
                <w:kern w:val="0"/>
                <w:sz w:val="24"/>
                <w:szCs w:val="24"/>
                <w:lang w:val="en-US" w:eastAsia="zh-CN"/>
              </w:rPr>
            </w:pPr>
            <w:r>
              <w:rPr>
                <w:rFonts w:hint="default" w:ascii="仿宋_GB2312" w:hAnsi="仿宋_GB2312" w:eastAsia="仿宋_GB2312" w:cs="仿宋_GB2312"/>
                <w:color w:val="000000"/>
                <w:kern w:val="0"/>
                <w:sz w:val="24"/>
                <w:szCs w:val="24"/>
                <w:lang w:val="en-US" w:eastAsia="zh-CN"/>
              </w:rPr>
              <w:t>引进列入外来入侵物种名录的物种</w:t>
            </w:r>
          </w:p>
        </w:tc>
        <w:tc>
          <w:tcPr>
            <w:tcW w:w="4456" w:type="dxa"/>
            <w:tcBorders>
              <w:top w:val="single" w:color="auto" w:sz="4" w:space="0"/>
              <w:bottom w:val="single" w:color="auto" w:sz="4" w:space="0"/>
              <w:tl2br w:val="nil"/>
              <w:tr2bl w:val="nil"/>
            </w:tcBorders>
            <w:tcMar>
              <w:top w:w="57" w:type="dxa"/>
              <w:left w:w="57" w:type="dxa"/>
              <w:bottom w:w="57" w:type="dxa"/>
              <w:right w:w="57" w:type="dxa"/>
            </w:tcMar>
            <w:vAlign w:val="center"/>
          </w:tcPr>
          <w:p>
            <w:pPr>
              <w:widowControl/>
              <w:adjustRightInd w:val="0"/>
              <w:snapToGrid w:val="0"/>
              <w:textAlignment w:val="center"/>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没收所引进的水生野生动物，并处十五万元以上不超过二十五万元罚款</w:t>
            </w:r>
          </w:p>
        </w:tc>
      </w:tr>
    </w:tbl>
    <w:p>
      <w:pPr>
        <w:pStyle w:val="2"/>
      </w:pPr>
    </w:p>
    <w:p>
      <w:pPr>
        <w:pStyle w:val="2"/>
      </w:pPr>
    </w:p>
    <w:p>
      <w:pPr>
        <w:pStyle w:val="2"/>
      </w:pPr>
    </w:p>
    <w:tbl>
      <w:tblPr>
        <w:tblStyle w:val="7"/>
        <w:tblW w:w="140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21"/>
        <w:gridCol w:w="1700"/>
        <w:gridCol w:w="4712"/>
        <w:gridCol w:w="780"/>
        <w:gridCol w:w="2435"/>
        <w:gridCol w:w="395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tblHeader/>
          <w:jc w:val="center"/>
        </w:trPr>
        <w:tc>
          <w:tcPr>
            <w:tcW w:w="421"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黑体" w:hAnsi="黑体" w:eastAsia="黑体" w:cs="黑体"/>
                <w:color w:val="000000"/>
                <w:sz w:val="24"/>
                <w:szCs w:val="24"/>
              </w:rPr>
            </w:pPr>
            <w:r>
              <w:rPr>
                <w:rFonts w:hint="eastAsia" w:ascii="黑体" w:hAnsi="黑体" w:eastAsia="黑体" w:cs="黑体"/>
                <w:color w:val="000000"/>
                <w:kern w:val="0"/>
                <w:sz w:val="24"/>
                <w:szCs w:val="24"/>
              </w:rPr>
              <w:t>序号</w:t>
            </w:r>
          </w:p>
        </w:tc>
        <w:tc>
          <w:tcPr>
            <w:tcW w:w="1700"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黑体" w:hAnsi="黑体" w:eastAsia="黑体" w:cs="黑体"/>
                <w:color w:val="000000"/>
                <w:sz w:val="24"/>
                <w:szCs w:val="24"/>
              </w:rPr>
            </w:pPr>
            <w:r>
              <w:rPr>
                <w:rFonts w:hint="eastAsia" w:ascii="黑体" w:hAnsi="黑体" w:eastAsia="黑体" w:cs="黑体"/>
                <w:color w:val="000000"/>
                <w:kern w:val="0"/>
                <w:sz w:val="24"/>
                <w:szCs w:val="24"/>
              </w:rPr>
              <w:t>违法行为</w:t>
            </w:r>
          </w:p>
        </w:tc>
        <w:tc>
          <w:tcPr>
            <w:tcW w:w="4712"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黑体" w:hAnsi="黑体" w:eastAsia="黑体" w:cs="黑体"/>
                <w:color w:val="000000"/>
                <w:sz w:val="24"/>
                <w:szCs w:val="24"/>
              </w:rPr>
            </w:pPr>
            <w:r>
              <w:rPr>
                <w:rFonts w:hint="eastAsia" w:ascii="黑体" w:hAnsi="黑体" w:eastAsia="黑体" w:cs="黑体"/>
                <w:color w:val="000000"/>
                <w:kern w:val="0"/>
                <w:sz w:val="24"/>
                <w:szCs w:val="24"/>
              </w:rPr>
              <w:t>处罚依据</w:t>
            </w:r>
          </w:p>
        </w:tc>
        <w:tc>
          <w:tcPr>
            <w:tcW w:w="780"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黑体" w:hAnsi="黑体" w:eastAsia="黑体" w:cs="黑体"/>
                <w:color w:val="000000"/>
                <w:sz w:val="24"/>
                <w:szCs w:val="24"/>
              </w:rPr>
            </w:pPr>
            <w:r>
              <w:rPr>
                <w:rFonts w:hint="eastAsia" w:ascii="黑体" w:hAnsi="黑体" w:eastAsia="黑体" w:cs="黑体"/>
                <w:color w:val="000000"/>
                <w:kern w:val="0"/>
                <w:sz w:val="24"/>
                <w:szCs w:val="24"/>
              </w:rPr>
              <w:t>违法程度</w:t>
            </w:r>
          </w:p>
        </w:tc>
        <w:tc>
          <w:tcPr>
            <w:tcW w:w="2435"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黑体" w:hAnsi="黑体" w:eastAsia="黑体" w:cs="黑体"/>
                <w:color w:val="000000"/>
                <w:sz w:val="24"/>
                <w:szCs w:val="24"/>
              </w:rPr>
            </w:pPr>
            <w:r>
              <w:rPr>
                <w:rFonts w:hint="eastAsia" w:ascii="黑体" w:hAnsi="黑体" w:eastAsia="黑体" w:cs="黑体"/>
                <w:color w:val="000000"/>
                <w:kern w:val="0"/>
                <w:sz w:val="24"/>
                <w:szCs w:val="24"/>
              </w:rPr>
              <w:t>违法情节</w:t>
            </w:r>
          </w:p>
        </w:tc>
        <w:tc>
          <w:tcPr>
            <w:tcW w:w="3952"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黑体" w:hAnsi="黑体" w:eastAsia="黑体" w:cs="黑体"/>
                <w:color w:val="000000"/>
                <w:sz w:val="24"/>
                <w:szCs w:val="24"/>
              </w:rPr>
            </w:pPr>
            <w:r>
              <w:rPr>
                <w:rFonts w:hint="eastAsia" w:ascii="黑体" w:hAnsi="黑体" w:eastAsia="黑体" w:cs="黑体"/>
                <w:color w:val="000000"/>
                <w:kern w:val="0"/>
                <w:sz w:val="24"/>
                <w:szCs w:val="24"/>
              </w:rPr>
              <w:t>裁量标准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5" w:hRule="atLeast"/>
          <w:jc w:val="center"/>
        </w:trPr>
        <w:tc>
          <w:tcPr>
            <w:tcW w:w="421" w:type="dxa"/>
            <w:vMerge w:val="restart"/>
            <w:tcBorders>
              <w:tl2br w:val="nil"/>
              <w:tr2bl w:val="nil"/>
            </w:tcBorders>
            <w:tcMar>
              <w:top w:w="57" w:type="dxa"/>
              <w:left w:w="57" w:type="dxa"/>
              <w:bottom w:w="57" w:type="dxa"/>
              <w:right w:w="57" w:type="dxa"/>
            </w:tcMar>
            <w:vAlign w:val="center"/>
          </w:tcPr>
          <w:p>
            <w:pPr>
              <w:widowControl/>
              <w:adjustRightInd w:val="0"/>
              <w:snapToGrid w:val="0"/>
              <w:textAlignment w:val="center"/>
              <w:rPr>
                <w:rFonts w:hint="default"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24</w:t>
            </w:r>
          </w:p>
        </w:tc>
        <w:tc>
          <w:tcPr>
            <w:tcW w:w="1700" w:type="dxa"/>
            <w:vMerge w:val="restart"/>
            <w:tcBorders>
              <w:tl2br w:val="nil"/>
              <w:tr2bl w:val="nil"/>
            </w:tcBorders>
            <w:tcMar>
              <w:top w:w="57" w:type="dxa"/>
              <w:left w:w="57" w:type="dxa"/>
              <w:bottom w:w="57" w:type="dxa"/>
              <w:right w:w="57" w:type="dxa"/>
            </w:tcMar>
            <w:vAlign w:val="center"/>
          </w:tcPr>
          <w:p>
            <w:pPr>
              <w:widowControl/>
              <w:adjustRightInd w:val="0"/>
              <w:snapToGrid w:val="0"/>
              <w:textAlignment w:val="center"/>
              <w:rPr>
                <w:rFonts w:hint="default" w:ascii="仿宋_GB2312" w:hAnsi="仿宋_GB2312" w:eastAsia="仿宋_GB2312" w:cs="仿宋_GB2312"/>
                <w:color w:val="000000"/>
                <w:kern w:val="0"/>
                <w:sz w:val="24"/>
                <w:szCs w:val="24"/>
                <w:lang w:val="en-US" w:eastAsia="zh-CN"/>
              </w:rPr>
            </w:pPr>
            <w:r>
              <w:rPr>
                <w:rFonts w:hint="default" w:ascii="仿宋_GB2312" w:hAnsi="仿宋_GB2312" w:eastAsia="仿宋_GB2312" w:cs="仿宋_GB2312"/>
                <w:color w:val="000000"/>
                <w:kern w:val="0"/>
                <w:sz w:val="24"/>
                <w:szCs w:val="24"/>
                <w:lang w:val="en-US" w:eastAsia="zh-CN"/>
              </w:rPr>
              <w:t>违法将境外引进的水生野生动物放归野外环境</w:t>
            </w:r>
          </w:p>
        </w:tc>
        <w:tc>
          <w:tcPr>
            <w:tcW w:w="4712" w:type="dxa"/>
            <w:vMerge w:val="restart"/>
            <w:tcBorders>
              <w:tl2br w:val="nil"/>
              <w:tr2bl w:val="nil"/>
            </w:tcBorders>
            <w:tcMar>
              <w:top w:w="57" w:type="dxa"/>
              <w:left w:w="57" w:type="dxa"/>
              <w:bottom w:w="57" w:type="dxa"/>
              <w:right w:w="57" w:type="dxa"/>
            </w:tcMar>
            <w:vAlign w:val="center"/>
          </w:tcPr>
          <w:p>
            <w:pPr>
              <w:widowControl/>
              <w:adjustRightInd w:val="0"/>
              <w:snapToGrid w:val="0"/>
              <w:textAlignment w:val="center"/>
              <w:rPr>
                <w:rFonts w:hint="eastAsia" w:ascii="仿宋_GB2312" w:hAnsi="仿宋_GB2312" w:eastAsia="仿宋_GB2312" w:cs="仿宋_GB2312"/>
                <w:color w:val="000000"/>
                <w:kern w:val="0"/>
                <w:sz w:val="24"/>
                <w:szCs w:val="24"/>
                <w:lang w:val="en-US" w:eastAsia="zh-CN"/>
              </w:rPr>
            </w:pPr>
            <w:r>
              <w:rPr>
                <w:rFonts w:hint="default" w:ascii="仿宋_GB2312" w:hAnsi="仿宋_GB2312" w:eastAsia="仿宋_GB2312" w:cs="仿宋_GB2312"/>
                <w:color w:val="000000"/>
                <w:kern w:val="0"/>
                <w:sz w:val="24"/>
                <w:szCs w:val="24"/>
                <w:lang w:val="en-US" w:eastAsia="zh-CN"/>
              </w:rPr>
              <w:t>《中华人民共和国野生动物保护法》第五十四条，违反本法第三十七条第二款规定，将从境外引进的野生动物放归野外环境的，由县级以上人民政府野生动物保护主管部门责令限期捕回，处一万元以上五万元以下的罚款；逾期不捕回的，由有关野生动物保护主管部门代为捕回或者采取降低影响的措施，所需费用由被责令限期捕回者承担。</w:t>
            </w:r>
          </w:p>
        </w:tc>
        <w:tc>
          <w:tcPr>
            <w:tcW w:w="780"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hint="eastAsia" w:ascii="仿宋_GB2312" w:hAnsi="仿宋_GB2312" w:eastAsia="仿宋_GB2312" w:cs="仿宋_GB2312"/>
                <w:color w:val="000000"/>
                <w:kern w:val="0"/>
                <w:sz w:val="24"/>
                <w:szCs w:val="24"/>
                <w:lang w:val="en-US" w:eastAsia="zh-CN"/>
              </w:rPr>
            </w:pPr>
            <w:r>
              <w:rPr>
                <w:rFonts w:hint="default" w:ascii="仿宋_GB2312" w:hAnsi="仿宋_GB2312" w:eastAsia="仿宋_GB2312" w:cs="仿宋_GB2312"/>
                <w:color w:val="000000"/>
                <w:kern w:val="0"/>
                <w:sz w:val="24"/>
                <w:szCs w:val="24"/>
                <w:lang w:val="en-US" w:eastAsia="zh-CN"/>
              </w:rPr>
              <w:t>一般</w:t>
            </w:r>
          </w:p>
        </w:tc>
        <w:tc>
          <w:tcPr>
            <w:tcW w:w="2435"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hint="eastAsia" w:ascii="仿宋_GB2312" w:hAnsi="仿宋_GB2312" w:eastAsia="仿宋_GB2312" w:cs="仿宋_GB2312"/>
                <w:color w:val="000000"/>
                <w:kern w:val="0"/>
                <w:sz w:val="24"/>
                <w:szCs w:val="24"/>
                <w:lang w:val="en-US" w:eastAsia="zh-CN"/>
              </w:rPr>
            </w:pPr>
            <w:r>
              <w:rPr>
                <w:rFonts w:hint="default" w:ascii="仿宋_GB2312" w:hAnsi="仿宋_GB2312" w:eastAsia="仿宋_GB2312" w:cs="仿宋_GB2312"/>
                <w:color w:val="000000"/>
                <w:kern w:val="0"/>
                <w:sz w:val="24"/>
                <w:szCs w:val="24"/>
                <w:lang w:val="en-US" w:eastAsia="zh-CN"/>
              </w:rPr>
              <w:t>放归未列入外来入侵物种名录的物种</w:t>
            </w:r>
          </w:p>
        </w:tc>
        <w:tc>
          <w:tcPr>
            <w:tcW w:w="3952" w:type="dxa"/>
            <w:tcBorders>
              <w:bottom w:val="single" w:color="auto" w:sz="4" w:space="0"/>
              <w:tl2br w:val="nil"/>
              <w:tr2bl w:val="nil"/>
            </w:tcBorders>
            <w:tcMar>
              <w:top w:w="57" w:type="dxa"/>
              <w:left w:w="57" w:type="dxa"/>
              <w:bottom w:w="57" w:type="dxa"/>
              <w:right w:w="57" w:type="dxa"/>
            </w:tcMar>
            <w:vAlign w:val="center"/>
          </w:tcPr>
          <w:p>
            <w:pPr>
              <w:widowControl/>
              <w:adjustRightInd w:val="0"/>
              <w:snapToGrid w:val="0"/>
              <w:textAlignment w:val="center"/>
              <w:rPr>
                <w:rFonts w:hint="eastAsia" w:ascii="仿宋_GB2312" w:hAnsi="仿宋_GB2312" w:eastAsia="仿宋_GB2312" w:cs="仿宋_GB2312"/>
                <w:color w:val="000000"/>
                <w:kern w:val="0"/>
                <w:sz w:val="24"/>
                <w:szCs w:val="24"/>
                <w:lang w:val="en-US" w:eastAsia="zh-CN"/>
              </w:rPr>
            </w:pPr>
            <w:r>
              <w:rPr>
                <w:rFonts w:hint="default" w:ascii="仿宋_GB2312" w:hAnsi="仿宋_GB2312" w:eastAsia="仿宋_GB2312" w:cs="仿宋_GB2312"/>
                <w:color w:val="000000"/>
                <w:kern w:val="0"/>
                <w:sz w:val="24"/>
                <w:szCs w:val="24"/>
                <w:lang w:val="en-US" w:eastAsia="zh-CN"/>
              </w:rPr>
              <w:t>责令限期捕回，处一万元以上三万元以下罚款，逾期不捕回的，由有关水生野生动物保护主管部门代为捕回或采取降低影响的措施，所需费用由被责令限期捕回者承担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95" w:hRule="atLeast"/>
          <w:jc w:val="center"/>
        </w:trPr>
        <w:tc>
          <w:tcPr>
            <w:tcW w:w="421" w:type="dxa"/>
            <w:vMerge w:val="continue"/>
            <w:tcBorders>
              <w:bottom w:val="single" w:color="auto" w:sz="4" w:space="0"/>
              <w:tl2br w:val="nil"/>
              <w:tr2bl w:val="nil"/>
            </w:tcBorders>
            <w:tcMar>
              <w:top w:w="57" w:type="dxa"/>
              <w:left w:w="57" w:type="dxa"/>
              <w:bottom w:w="57" w:type="dxa"/>
              <w:right w:w="57" w:type="dxa"/>
            </w:tcMar>
            <w:vAlign w:val="center"/>
          </w:tcPr>
          <w:p>
            <w:pPr>
              <w:widowControl/>
              <w:adjustRightInd w:val="0"/>
              <w:snapToGrid w:val="0"/>
              <w:textAlignment w:val="center"/>
              <w:rPr>
                <w:rFonts w:hint="eastAsia" w:ascii="仿宋_GB2312" w:hAnsi="仿宋_GB2312" w:eastAsia="仿宋_GB2312" w:cs="仿宋_GB2312"/>
                <w:color w:val="000000"/>
                <w:kern w:val="0"/>
                <w:sz w:val="24"/>
                <w:szCs w:val="24"/>
                <w:lang w:val="en-US" w:eastAsia="zh-CN"/>
              </w:rPr>
            </w:pPr>
          </w:p>
        </w:tc>
        <w:tc>
          <w:tcPr>
            <w:tcW w:w="1700" w:type="dxa"/>
            <w:vMerge w:val="continue"/>
            <w:tcBorders>
              <w:bottom w:val="single" w:color="auto" w:sz="4" w:space="0"/>
              <w:tl2br w:val="nil"/>
              <w:tr2bl w:val="nil"/>
            </w:tcBorders>
            <w:tcMar>
              <w:top w:w="57" w:type="dxa"/>
              <w:left w:w="57" w:type="dxa"/>
              <w:bottom w:w="57" w:type="dxa"/>
              <w:right w:w="57" w:type="dxa"/>
            </w:tcMar>
            <w:vAlign w:val="center"/>
          </w:tcPr>
          <w:p>
            <w:pPr>
              <w:widowControl/>
              <w:adjustRightInd w:val="0"/>
              <w:snapToGrid w:val="0"/>
              <w:textAlignment w:val="center"/>
              <w:rPr>
                <w:rFonts w:hint="default" w:ascii="仿宋_GB2312" w:hAnsi="仿宋_GB2312" w:eastAsia="仿宋_GB2312" w:cs="仿宋_GB2312"/>
                <w:color w:val="000000"/>
                <w:kern w:val="0"/>
                <w:sz w:val="24"/>
                <w:szCs w:val="24"/>
                <w:lang w:val="en-US" w:eastAsia="zh-CN"/>
              </w:rPr>
            </w:pPr>
          </w:p>
        </w:tc>
        <w:tc>
          <w:tcPr>
            <w:tcW w:w="4712" w:type="dxa"/>
            <w:vMerge w:val="continue"/>
            <w:tcBorders>
              <w:bottom w:val="single" w:color="auto" w:sz="4" w:space="0"/>
              <w:tl2br w:val="nil"/>
              <w:tr2bl w:val="nil"/>
            </w:tcBorders>
            <w:tcMar>
              <w:top w:w="57" w:type="dxa"/>
              <w:left w:w="57" w:type="dxa"/>
              <w:bottom w:w="57" w:type="dxa"/>
              <w:right w:w="57" w:type="dxa"/>
            </w:tcMar>
            <w:vAlign w:val="center"/>
          </w:tcPr>
          <w:p>
            <w:pPr>
              <w:widowControl/>
              <w:adjustRightInd w:val="0"/>
              <w:snapToGrid w:val="0"/>
              <w:textAlignment w:val="center"/>
              <w:rPr>
                <w:rFonts w:hint="default" w:ascii="仿宋_GB2312" w:hAnsi="仿宋_GB2312" w:eastAsia="仿宋_GB2312" w:cs="仿宋_GB2312"/>
                <w:color w:val="000000"/>
                <w:kern w:val="0"/>
                <w:sz w:val="24"/>
                <w:szCs w:val="24"/>
                <w:lang w:val="en-US" w:eastAsia="zh-CN"/>
              </w:rPr>
            </w:pPr>
          </w:p>
        </w:tc>
        <w:tc>
          <w:tcPr>
            <w:tcW w:w="780" w:type="dxa"/>
            <w:tcBorders>
              <w:top w:val="single" w:color="auto" w:sz="4" w:space="0"/>
              <w:bottom w:val="single" w:color="auto" w:sz="4" w:space="0"/>
              <w:tl2br w:val="nil"/>
              <w:tr2bl w:val="nil"/>
            </w:tcBorders>
            <w:tcMar>
              <w:top w:w="57" w:type="dxa"/>
              <w:left w:w="57" w:type="dxa"/>
              <w:bottom w:w="57" w:type="dxa"/>
              <w:right w:w="57" w:type="dxa"/>
            </w:tcMar>
            <w:vAlign w:val="center"/>
          </w:tcPr>
          <w:p>
            <w:pPr>
              <w:widowControl/>
              <w:adjustRightInd w:val="0"/>
              <w:snapToGrid w:val="0"/>
              <w:textAlignment w:val="center"/>
              <w:rPr>
                <w:rFonts w:hint="eastAsia" w:ascii="仿宋_GB2312" w:hAnsi="仿宋_GB2312" w:eastAsia="仿宋_GB2312" w:cs="仿宋_GB2312"/>
                <w:color w:val="000000"/>
                <w:kern w:val="0"/>
                <w:sz w:val="24"/>
                <w:szCs w:val="24"/>
                <w:lang w:val="en-US" w:eastAsia="zh-CN"/>
              </w:rPr>
            </w:pPr>
            <w:r>
              <w:rPr>
                <w:rFonts w:hint="default" w:ascii="仿宋_GB2312" w:hAnsi="仿宋_GB2312" w:eastAsia="仿宋_GB2312" w:cs="仿宋_GB2312"/>
                <w:color w:val="000000"/>
                <w:kern w:val="0"/>
                <w:sz w:val="24"/>
                <w:szCs w:val="24"/>
                <w:lang w:val="en-US" w:eastAsia="zh-CN"/>
              </w:rPr>
              <w:t>严重</w:t>
            </w:r>
          </w:p>
        </w:tc>
        <w:tc>
          <w:tcPr>
            <w:tcW w:w="2435" w:type="dxa"/>
            <w:tcBorders>
              <w:top w:val="single" w:color="auto" w:sz="4" w:space="0"/>
              <w:bottom w:val="single" w:color="auto" w:sz="4" w:space="0"/>
              <w:tl2br w:val="nil"/>
              <w:tr2bl w:val="nil"/>
            </w:tcBorders>
            <w:tcMar>
              <w:top w:w="57" w:type="dxa"/>
              <w:left w:w="57" w:type="dxa"/>
              <w:bottom w:w="57" w:type="dxa"/>
              <w:right w:w="57" w:type="dxa"/>
            </w:tcMar>
            <w:vAlign w:val="center"/>
          </w:tcPr>
          <w:p>
            <w:pPr>
              <w:widowControl/>
              <w:adjustRightInd w:val="0"/>
              <w:snapToGrid w:val="0"/>
              <w:textAlignment w:val="center"/>
              <w:rPr>
                <w:rFonts w:hint="eastAsia" w:ascii="仿宋_GB2312" w:hAnsi="仿宋_GB2312" w:eastAsia="仿宋_GB2312" w:cs="仿宋_GB2312"/>
                <w:color w:val="000000"/>
                <w:kern w:val="0"/>
                <w:sz w:val="24"/>
                <w:szCs w:val="24"/>
                <w:lang w:val="en-US" w:eastAsia="zh-CN"/>
              </w:rPr>
            </w:pPr>
            <w:r>
              <w:rPr>
                <w:rFonts w:hint="default" w:ascii="仿宋_GB2312" w:hAnsi="仿宋_GB2312" w:eastAsia="仿宋_GB2312" w:cs="仿宋_GB2312"/>
                <w:color w:val="000000"/>
                <w:kern w:val="0"/>
                <w:sz w:val="24"/>
                <w:szCs w:val="24"/>
                <w:lang w:val="en-US" w:eastAsia="zh-CN"/>
              </w:rPr>
              <w:t>放归列入外来入侵物种名录的物种</w:t>
            </w:r>
          </w:p>
        </w:tc>
        <w:tc>
          <w:tcPr>
            <w:tcW w:w="3952" w:type="dxa"/>
            <w:tcBorders>
              <w:top w:val="single" w:color="auto" w:sz="4" w:space="0"/>
              <w:bottom w:val="single" w:color="auto" w:sz="4" w:space="0"/>
              <w:tl2br w:val="nil"/>
              <w:tr2bl w:val="nil"/>
            </w:tcBorders>
            <w:tcMar>
              <w:top w:w="57" w:type="dxa"/>
              <w:left w:w="57" w:type="dxa"/>
              <w:bottom w:w="57" w:type="dxa"/>
              <w:right w:w="57" w:type="dxa"/>
            </w:tcMar>
            <w:vAlign w:val="center"/>
          </w:tcPr>
          <w:p>
            <w:pPr>
              <w:widowControl/>
              <w:adjustRightInd w:val="0"/>
              <w:snapToGrid w:val="0"/>
              <w:textAlignment w:val="center"/>
              <w:rPr>
                <w:rFonts w:hint="eastAsia" w:ascii="仿宋_GB2312" w:hAnsi="仿宋_GB2312" w:eastAsia="仿宋_GB2312" w:cs="仿宋_GB2312"/>
                <w:color w:val="000000"/>
                <w:kern w:val="0"/>
                <w:sz w:val="24"/>
                <w:szCs w:val="24"/>
                <w:lang w:val="en-US" w:eastAsia="zh-CN"/>
              </w:rPr>
            </w:pPr>
            <w:r>
              <w:rPr>
                <w:rFonts w:hint="default" w:ascii="仿宋_GB2312" w:hAnsi="仿宋_GB2312" w:eastAsia="仿宋_GB2312" w:cs="仿宋_GB2312"/>
                <w:color w:val="000000"/>
                <w:kern w:val="0"/>
                <w:sz w:val="24"/>
                <w:szCs w:val="24"/>
                <w:lang w:val="en-US" w:eastAsia="zh-CN"/>
              </w:rPr>
              <w:t>责令限期捕回，处三万元以上不超过五万元罚款，逾期不捕回的，由有关水生野生动物保护主管部门代为捕回或采取降低影响的措施，所需费用由被责令限期捕回者承担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2" w:hRule="atLeast"/>
          <w:jc w:val="center"/>
        </w:trPr>
        <w:tc>
          <w:tcPr>
            <w:tcW w:w="421" w:type="dxa"/>
            <w:vMerge w:val="restart"/>
            <w:tcBorders>
              <w:top w:val="single" w:color="auto" w:sz="4" w:space="0"/>
              <w:tl2br w:val="nil"/>
              <w:tr2bl w:val="nil"/>
            </w:tcBorders>
            <w:tcMar>
              <w:top w:w="57" w:type="dxa"/>
              <w:left w:w="57" w:type="dxa"/>
              <w:bottom w:w="57" w:type="dxa"/>
              <w:right w:w="57" w:type="dxa"/>
            </w:tcMar>
            <w:vAlign w:val="center"/>
          </w:tcPr>
          <w:p>
            <w:pPr>
              <w:widowControl/>
              <w:adjustRightInd w:val="0"/>
              <w:snapToGrid w:val="0"/>
              <w:textAlignment w:val="center"/>
              <w:rPr>
                <w:rFonts w:hint="default"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25</w:t>
            </w:r>
          </w:p>
        </w:tc>
        <w:tc>
          <w:tcPr>
            <w:tcW w:w="1700" w:type="dxa"/>
            <w:vMerge w:val="restart"/>
            <w:tcBorders>
              <w:top w:val="single" w:color="auto" w:sz="4" w:space="0"/>
              <w:tl2br w:val="nil"/>
              <w:tr2bl w:val="nil"/>
            </w:tcBorders>
            <w:tcMar>
              <w:top w:w="57" w:type="dxa"/>
              <w:left w:w="57" w:type="dxa"/>
              <w:bottom w:w="57" w:type="dxa"/>
              <w:right w:w="57" w:type="dxa"/>
            </w:tcMar>
            <w:vAlign w:val="center"/>
          </w:tcPr>
          <w:p>
            <w:pPr>
              <w:widowControl/>
              <w:adjustRightInd w:val="0"/>
              <w:snapToGrid w:val="0"/>
              <w:textAlignment w:val="center"/>
              <w:rPr>
                <w:rFonts w:hint="default" w:ascii="仿宋_GB2312" w:hAnsi="仿宋_GB2312" w:eastAsia="仿宋_GB2312" w:cs="仿宋_GB2312"/>
                <w:color w:val="000000"/>
                <w:kern w:val="0"/>
                <w:sz w:val="24"/>
                <w:szCs w:val="24"/>
                <w:lang w:val="en-US" w:eastAsia="zh-CN"/>
              </w:rPr>
            </w:pPr>
            <w:r>
              <w:rPr>
                <w:rFonts w:hint="default" w:ascii="仿宋_GB2312" w:hAnsi="仿宋_GB2312" w:eastAsia="仿宋_GB2312" w:cs="仿宋_GB2312"/>
                <w:color w:val="000000"/>
                <w:kern w:val="0"/>
                <w:sz w:val="24"/>
                <w:szCs w:val="24"/>
                <w:lang w:val="en-US" w:eastAsia="zh-CN"/>
              </w:rPr>
              <w:t>伪造、变造、买卖、转让、租借水生野生动物有关证件、专用标识或者有关批准文件</w:t>
            </w:r>
          </w:p>
        </w:tc>
        <w:tc>
          <w:tcPr>
            <w:tcW w:w="4712" w:type="dxa"/>
            <w:vMerge w:val="restart"/>
            <w:tcBorders>
              <w:top w:val="single" w:color="auto" w:sz="4" w:space="0"/>
              <w:tl2br w:val="nil"/>
              <w:tr2bl w:val="nil"/>
            </w:tcBorders>
            <w:tcMar>
              <w:top w:w="57" w:type="dxa"/>
              <w:left w:w="57" w:type="dxa"/>
              <w:bottom w:w="57" w:type="dxa"/>
              <w:right w:w="57" w:type="dxa"/>
            </w:tcMar>
            <w:vAlign w:val="center"/>
          </w:tcPr>
          <w:p>
            <w:pPr>
              <w:widowControl/>
              <w:adjustRightInd w:val="0"/>
              <w:snapToGrid w:val="0"/>
              <w:textAlignment w:val="center"/>
              <w:rPr>
                <w:rFonts w:hint="default" w:ascii="仿宋_GB2312" w:hAnsi="仿宋_GB2312" w:eastAsia="仿宋_GB2312" w:cs="仿宋_GB2312"/>
                <w:color w:val="000000"/>
                <w:kern w:val="0"/>
                <w:sz w:val="24"/>
                <w:szCs w:val="24"/>
                <w:lang w:val="en-US" w:eastAsia="zh-CN"/>
              </w:rPr>
            </w:pPr>
            <w:r>
              <w:rPr>
                <w:rFonts w:hint="default" w:ascii="仿宋_GB2312" w:hAnsi="仿宋_GB2312" w:eastAsia="仿宋_GB2312" w:cs="仿宋_GB2312"/>
                <w:color w:val="000000"/>
                <w:kern w:val="0"/>
                <w:sz w:val="24"/>
                <w:szCs w:val="24"/>
                <w:lang w:val="en-US" w:eastAsia="zh-CN"/>
              </w:rPr>
              <w:t>《中华人民共和国野生动物保护法》第五十五条违反本法第三十九条第一款规定，伪造、变造、买卖、转让、租借有关证件、专用标识或者有关批准文件的，由县级以上人民政府野生动物保护主管部门没收违法证件、专用标识、有关批准文件和违法所得，并处五万元以上二十五万元以下的罚款；构成违反治安管理行为的，由公安机关依法给予治安管理处罚；构成犯罪的，依法追究刑事责任。</w:t>
            </w:r>
          </w:p>
        </w:tc>
        <w:tc>
          <w:tcPr>
            <w:tcW w:w="780" w:type="dxa"/>
            <w:tcBorders>
              <w:top w:val="single" w:color="auto" w:sz="4" w:space="0"/>
              <w:tl2br w:val="nil"/>
              <w:tr2bl w:val="nil"/>
            </w:tcBorders>
            <w:tcMar>
              <w:top w:w="57" w:type="dxa"/>
              <w:left w:w="57" w:type="dxa"/>
              <w:bottom w:w="57" w:type="dxa"/>
              <w:right w:w="57" w:type="dxa"/>
            </w:tcMar>
            <w:vAlign w:val="center"/>
          </w:tcPr>
          <w:p>
            <w:pPr>
              <w:widowControl/>
              <w:adjustRightInd w:val="0"/>
              <w:snapToGrid w:val="0"/>
              <w:textAlignment w:val="center"/>
              <w:rPr>
                <w:rFonts w:hint="eastAsia" w:ascii="仿宋_GB2312" w:hAnsi="仿宋_GB2312" w:eastAsia="仿宋_GB2312" w:cs="仿宋_GB2312"/>
                <w:color w:val="000000"/>
                <w:kern w:val="0"/>
                <w:sz w:val="24"/>
                <w:szCs w:val="24"/>
                <w:lang w:val="en-US" w:eastAsia="zh-CN"/>
              </w:rPr>
            </w:pPr>
            <w:r>
              <w:rPr>
                <w:rFonts w:hint="default" w:ascii="仿宋_GB2312" w:hAnsi="仿宋_GB2312" w:eastAsia="仿宋_GB2312" w:cs="仿宋_GB2312"/>
                <w:color w:val="000000"/>
                <w:kern w:val="0"/>
                <w:sz w:val="24"/>
                <w:szCs w:val="24"/>
                <w:lang w:val="en-US" w:eastAsia="zh-CN"/>
              </w:rPr>
              <w:t>较轻</w:t>
            </w:r>
          </w:p>
        </w:tc>
        <w:tc>
          <w:tcPr>
            <w:tcW w:w="2435" w:type="dxa"/>
            <w:tcBorders>
              <w:top w:val="single" w:color="auto" w:sz="4" w:space="0"/>
              <w:tl2br w:val="nil"/>
              <w:tr2bl w:val="nil"/>
            </w:tcBorders>
            <w:tcMar>
              <w:top w:w="57" w:type="dxa"/>
              <w:left w:w="57" w:type="dxa"/>
              <w:bottom w:w="57" w:type="dxa"/>
              <w:right w:w="57" w:type="dxa"/>
            </w:tcMar>
            <w:vAlign w:val="center"/>
          </w:tcPr>
          <w:p>
            <w:pPr>
              <w:widowControl/>
              <w:adjustRightInd w:val="0"/>
              <w:snapToGrid w:val="0"/>
              <w:textAlignment w:val="center"/>
              <w:rPr>
                <w:rFonts w:hint="eastAsia" w:ascii="仿宋_GB2312" w:hAnsi="仿宋_GB2312" w:eastAsia="仿宋_GB2312" w:cs="仿宋_GB2312"/>
                <w:color w:val="000000"/>
                <w:kern w:val="0"/>
                <w:sz w:val="24"/>
                <w:szCs w:val="24"/>
                <w:lang w:val="en-US" w:eastAsia="zh-CN"/>
              </w:rPr>
            </w:pPr>
            <w:r>
              <w:rPr>
                <w:rFonts w:hint="default" w:ascii="仿宋_GB2312" w:hAnsi="仿宋_GB2312" w:eastAsia="仿宋_GB2312" w:cs="仿宋_GB2312"/>
                <w:color w:val="000000"/>
                <w:kern w:val="0"/>
                <w:sz w:val="24"/>
                <w:szCs w:val="24"/>
                <w:lang w:val="en-US" w:eastAsia="zh-CN"/>
              </w:rPr>
              <w:t>租借水生野生动物有关证件、专用标识或者有关批准文件</w:t>
            </w:r>
          </w:p>
        </w:tc>
        <w:tc>
          <w:tcPr>
            <w:tcW w:w="3952" w:type="dxa"/>
            <w:tcBorders>
              <w:top w:val="single" w:color="auto" w:sz="4" w:space="0"/>
              <w:bottom w:val="single" w:color="auto" w:sz="4" w:space="0"/>
              <w:tl2br w:val="nil"/>
              <w:tr2bl w:val="nil"/>
            </w:tcBorders>
            <w:tcMar>
              <w:top w:w="57" w:type="dxa"/>
              <w:left w:w="57" w:type="dxa"/>
              <w:bottom w:w="57" w:type="dxa"/>
              <w:right w:w="57" w:type="dxa"/>
            </w:tcMar>
            <w:vAlign w:val="center"/>
          </w:tcPr>
          <w:p>
            <w:pPr>
              <w:widowControl/>
              <w:adjustRightInd w:val="0"/>
              <w:snapToGrid w:val="0"/>
              <w:textAlignment w:val="center"/>
              <w:rPr>
                <w:rFonts w:hint="eastAsia" w:ascii="仿宋_GB2312" w:hAnsi="仿宋_GB2312" w:eastAsia="仿宋_GB2312" w:cs="仿宋_GB2312"/>
                <w:color w:val="000000"/>
                <w:kern w:val="0"/>
                <w:sz w:val="24"/>
                <w:szCs w:val="24"/>
                <w:lang w:val="en-US" w:eastAsia="zh-CN"/>
              </w:rPr>
            </w:pPr>
            <w:r>
              <w:rPr>
                <w:rFonts w:hint="default" w:ascii="仿宋_GB2312" w:hAnsi="仿宋_GB2312" w:eastAsia="仿宋_GB2312" w:cs="仿宋_GB2312"/>
                <w:color w:val="000000"/>
                <w:kern w:val="0"/>
                <w:sz w:val="24"/>
                <w:szCs w:val="24"/>
                <w:lang w:val="en-US" w:eastAsia="zh-CN"/>
              </w:rPr>
              <w:t>没收违法证件、专用标识、有关批准文件和违法所得，并处五万元以上十万元以下罚款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52" w:hRule="atLeast"/>
          <w:jc w:val="center"/>
        </w:trPr>
        <w:tc>
          <w:tcPr>
            <w:tcW w:w="421" w:type="dxa"/>
            <w:vMerge w:val="continue"/>
            <w:tcBorders>
              <w:tl2br w:val="nil"/>
              <w:tr2bl w:val="nil"/>
            </w:tcBorders>
            <w:tcMar>
              <w:top w:w="57" w:type="dxa"/>
              <w:left w:w="57" w:type="dxa"/>
              <w:bottom w:w="57" w:type="dxa"/>
              <w:right w:w="57" w:type="dxa"/>
            </w:tcMar>
            <w:vAlign w:val="center"/>
          </w:tcPr>
          <w:p>
            <w:pPr>
              <w:widowControl/>
              <w:adjustRightInd w:val="0"/>
              <w:snapToGrid w:val="0"/>
              <w:textAlignment w:val="center"/>
              <w:rPr>
                <w:rFonts w:hint="default" w:ascii="仿宋_GB2312" w:hAnsi="仿宋_GB2312" w:eastAsia="仿宋_GB2312" w:cs="仿宋_GB2312"/>
                <w:color w:val="000000"/>
                <w:kern w:val="0"/>
                <w:sz w:val="24"/>
                <w:szCs w:val="24"/>
                <w:lang w:val="en-US" w:eastAsia="zh-CN"/>
              </w:rPr>
            </w:pPr>
          </w:p>
        </w:tc>
        <w:tc>
          <w:tcPr>
            <w:tcW w:w="1700" w:type="dxa"/>
            <w:vMerge w:val="continue"/>
            <w:tcBorders>
              <w:tl2br w:val="nil"/>
              <w:tr2bl w:val="nil"/>
            </w:tcBorders>
            <w:tcMar>
              <w:top w:w="57" w:type="dxa"/>
              <w:left w:w="57" w:type="dxa"/>
              <w:bottom w:w="57" w:type="dxa"/>
              <w:right w:w="57" w:type="dxa"/>
            </w:tcMar>
            <w:vAlign w:val="center"/>
          </w:tcPr>
          <w:p>
            <w:pPr>
              <w:widowControl/>
              <w:adjustRightInd w:val="0"/>
              <w:snapToGrid w:val="0"/>
              <w:textAlignment w:val="center"/>
              <w:rPr>
                <w:rFonts w:hint="default" w:ascii="仿宋_GB2312" w:hAnsi="仿宋_GB2312" w:eastAsia="仿宋_GB2312" w:cs="仿宋_GB2312"/>
                <w:color w:val="000000"/>
                <w:kern w:val="0"/>
                <w:sz w:val="24"/>
                <w:szCs w:val="24"/>
                <w:lang w:val="en-US" w:eastAsia="zh-CN"/>
              </w:rPr>
            </w:pPr>
          </w:p>
        </w:tc>
        <w:tc>
          <w:tcPr>
            <w:tcW w:w="4712" w:type="dxa"/>
            <w:vMerge w:val="continue"/>
            <w:tcBorders>
              <w:tl2br w:val="nil"/>
              <w:tr2bl w:val="nil"/>
            </w:tcBorders>
            <w:tcMar>
              <w:top w:w="57" w:type="dxa"/>
              <w:left w:w="57" w:type="dxa"/>
              <w:bottom w:w="57" w:type="dxa"/>
              <w:right w:w="57" w:type="dxa"/>
            </w:tcMar>
            <w:vAlign w:val="center"/>
          </w:tcPr>
          <w:p>
            <w:pPr>
              <w:widowControl/>
              <w:adjustRightInd w:val="0"/>
              <w:snapToGrid w:val="0"/>
              <w:textAlignment w:val="center"/>
              <w:rPr>
                <w:rFonts w:hint="default" w:ascii="仿宋_GB2312" w:hAnsi="仿宋_GB2312" w:eastAsia="仿宋_GB2312" w:cs="仿宋_GB2312"/>
                <w:color w:val="000000"/>
                <w:kern w:val="0"/>
                <w:sz w:val="24"/>
                <w:szCs w:val="24"/>
                <w:lang w:val="en-US" w:eastAsia="zh-CN"/>
              </w:rPr>
            </w:pPr>
          </w:p>
        </w:tc>
        <w:tc>
          <w:tcPr>
            <w:tcW w:w="780" w:type="dxa"/>
            <w:tcBorders>
              <w:bottom w:val="single" w:color="auto" w:sz="4" w:space="0"/>
              <w:tl2br w:val="nil"/>
              <w:tr2bl w:val="nil"/>
            </w:tcBorders>
            <w:tcMar>
              <w:top w:w="57" w:type="dxa"/>
              <w:left w:w="57" w:type="dxa"/>
              <w:bottom w:w="57" w:type="dxa"/>
              <w:right w:w="57" w:type="dxa"/>
            </w:tcMar>
            <w:vAlign w:val="center"/>
          </w:tcPr>
          <w:p>
            <w:pPr>
              <w:widowControl/>
              <w:adjustRightInd w:val="0"/>
              <w:snapToGrid w:val="0"/>
              <w:textAlignment w:val="center"/>
              <w:rPr>
                <w:rFonts w:hint="default" w:ascii="仿宋_GB2312" w:hAnsi="仿宋_GB2312" w:eastAsia="仿宋_GB2312" w:cs="仿宋_GB2312"/>
                <w:color w:val="000000"/>
                <w:kern w:val="0"/>
                <w:sz w:val="24"/>
                <w:szCs w:val="24"/>
                <w:lang w:val="en-US" w:eastAsia="zh-CN"/>
              </w:rPr>
            </w:pPr>
            <w:r>
              <w:rPr>
                <w:rFonts w:hint="default" w:ascii="仿宋_GB2312" w:hAnsi="仿宋_GB2312" w:eastAsia="仿宋_GB2312" w:cs="仿宋_GB2312"/>
                <w:color w:val="000000"/>
                <w:kern w:val="0"/>
                <w:sz w:val="24"/>
                <w:szCs w:val="24"/>
                <w:lang w:val="en-US" w:eastAsia="zh-CN"/>
              </w:rPr>
              <w:t>一般</w:t>
            </w:r>
          </w:p>
        </w:tc>
        <w:tc>
          <w:tcPr>
            <w:tcW w:w="2435" w:type="dxa"/>
            <w:tcBorders>
              <w:bottom w:val="single" w:color="auto" w:sz="4" w:space="0"/>
              <w:tl2br w:val="nil"/>
              <w:tr2bl w:val="nil"/>
            </w:tcBorders>
            <w:tcMar>
              <w:top w:w="57" w:type="dxa"/>
              <w:left w:w="57" w:type="dxa"/>
              <w:bottom w:w="57" w:type="dxa"/>
              <w:right w:w="57" w:type="dxa"/>
            </w:tcMar>
            <w:vAlign w:val="center"/>
          </w:tcPr>
          <w:p>
            <w:pPr>
              <w:widowControl/>
              <w:adjustRightInd w:val="0"/>
              <w:snapToGrid w:val="0"/>
              <w:textAlignment w:val="center"/>
              <w:rPr>
                <w:rFonts w:hint="default" w:ascii="仿宋_GB2312" w:hAnsi="仿宋_GB2312" w:eastAsia="仿宋_GB2312" w:cs="仿宋_GB2312"/>
                <w:color w:val="000000"/>
                <w:kern w:val="0"/>
                <w:sz w:val="24"/>
                <w:szCs w:val="24"/>
                <w:lang w:val="en-US" w:eastAsia="zh-CN"/>
              </w:rPr>
            </w:pPr>
            <w:r>
              <w:rPr>
                <w:rFonts w:hint="default" w:ascii="仿宋_GB2312" w:hAnsi="仿宋_GB2312" w:eastAsia="仿宋_GB2312" w:cs="仿宋_GB2312"/>
                <w:color w:val="000000"/>
                <w:kern w:val="0"/>
                <w:sz w:val="24"/>
                <w:szCs w:val="24"/>
                <w:lang w:val="en-US" w:eastAsia="zh-CN"/>
              </w:rPr>
              <w:t>伪造、变造、买卖、转让水生野生动物有关证件、专用标识或者有关批准文件</w:t>
            </w:r>
          </w:p>
        </w:tc>
        <w:tc>
          <w:tcPr>
            <w:tcW w:w="3952" w:type="dxa"/>
            <w:tcBorders>
              <w:top w:val="single" w:color="auto" w:sz="4" w:space="0"/>
              <w:bottom w:val="single" w:color="auto" w:sz="4" w:space="0"/>
              <w:tl2br w:val="nil"/>
              <w:tr2bl w:val="nil"/>
            </w:tcBorders>
            <w:tcMar>
              <w:top w:w="57" w:type="dxa"/>
              <w:left w:w="57" w:type="dxa"/>
              <w:bottom w:w="57" w:type="dxa"/>
              <w:right w:w="57" w:type="dxa"/>
            </w:tcMar>
            <w:vAlign w:val="center"/>
          </w:tcPr>
          <w:p>
            <w:pPr>
              <w:widowControl/>
              <w:adjustRightInd w:val="0"/>
              <w:snapToGrid w:val="0"/>
              <w:textAlignment w:val="center"/>
              <w:rPr>
                <w:rFonts w:hint="eastAsia" w:ascii="仿宋_GB2312" w:hAnsi="仿宋_GB2312" w:eastAsia="仿宋_GB2312" w:cs="仿宋_GB2312"/>
                <w:color w:val="000000"/>
                <w:kern w:val="0"/>
                <w:sz w:val="24"/>
                <w:szCs w:val="24"/>
                <w:lang w:val="en-US" w:eastAsia="zh-CN"/>
              </w:rPr>
            </w:pPr>
            <w:r>
              <w:rPr>
                <w:rFonts w:hint="default" w:ascii="仿宋_GB2312" w:hAnsi="仿宋_GB2312" w:eastAsia="仿宋_GB2312" w:cs="仿宋_GB2312"/>
                <w:color w:val="000000"/>
                <w:kern w:val="0"/>
                <w:sz w:val="24"/>
                <w:szCs w:val="24"/>
                <w:lang w:val="en-US" w:eastAsia="zh-CN"/>
              </w:rPr>
              <w:t>没收违法证件、专用标识、有关批准文件和违法所得，并处十万元以上十七万元以下罚款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54" w:hRule="atLeast"/>
          <w:jc w:val="center"/>
        </w:trPr>
        <w:tc>
          <w:tcPr>
            <w:tcW w:w="421" w:type="dxa"/>
            <w:vMerge w:val="continue"/>
            <w:tcBorders>
              <w:tl2br w:val="nil"/>
              <w:tr2bl w:val="nil"/>
            </w:tcBorders>
            <w:tcMar>
              <w:top w:w="57" w:type="dxa"/>
              <w:left w:w="57" w:type="dxa"/>
              <w:bottom w:w="57" w:type="dxa"/>
              <w:right w:w="57" w:type="dxa"/>
            </w:tcMar>
            <w:vAlign w:val="center"/>
          </w:tcPr>
          <w:p>
            <w:pPr>
              <w:widowControl/>
              <w:adjustRightInd w:val="0"/>
              <w:snapToGrid w:val="0"/>
              <w:textAlignment w:val="center"/>
              <w:rPr>
                <w:rFonts w:hint="eastAsia" w:ascii="仿宋_GB2312" w:hAnsi="仿宋_GB2312" w:eastAsia="仿宋_GB2312" w:cs="仿宋_GB2312"/>
                <w:color w:val="000000"/>
                <w:kern w:val="0"/>
                <w:sz w:val="24"/>
                <w:szCs w:val="24"/>
                <w:lang w:val="en-US" w:eastAsia="zh-CN"/>
              </w:rPr>
            </w:pPr>
          </w:p>
        </w:tc>
        <w:tc>
          <w:tcPr>
            <w:tcW w:w="1700" w:type="dxa"/>
            <w:vMerge w:val="continue"/>
            <w:tcBorders>
              <w:tl2br w:val="nil"/>
              <w:tr2bl w:val="nil"/>
            </w:tcBorders>
            <w:tcMar>
              <w:top w:w="57" w:type="dxa"/>
              <w:left w:w="57" w:type="dxa"/>
              <w:bottom w:w="57" w:type="dxa"/>
              <w:right w:w="57" w:type="dxa"/>
            </w:tcMar>
            <w:vAlign w:val="center"/>
          </w:tcPr>
          <w:p>
            <w:pPr>
              <w:widowControl/>
              <w:adjustRightInd w:val="0"/>
              <w:snapToGrid w:val="0"/>
              <w:textAlignment w:val="center"/>
              <w:rPr>
                <w:rFonts w:hint="default" w:ascii="仿宋_GB2312" w:hAnsi="仿宋_GB2312" w:eastAsia="仿宋_GB2312" w:cs="仿宋_GB2312"/>
                <w:color w:val="000000"/>
                <w:kern w:val="0"/>
                <w:sz w:val="24"/>
                <w:szCs w:val="24"/>
                <w:lang w:val="en-US" w:eastAsia="zh-CN"/>
              </w:rPr>
            </w:pPr>
          </w:p>
        </w:tc>
        <w:tc>
          <w:tcPr>
            <w:tcW w:w="4712" w:type="dxa"/>
            <w:vMerge w:val="continue"/>
            <w:tcBorders>
              <w:tl2br w:val="nil"/>
              <w:tr2bl w:val="nil"/>
            </w:tcBorders>
            <w:tcMar>
              <w:top w:w="57" w:type="dxa"/>
              <w:left w:w="57" w:type="dxa"/>
              <w:bottom w:w="57" w:type="dxa"/>
              <w:right w:w="57" w:type="dxa"/>
            </w:tcMar>
            <w:vAlign w:val="center"/>
          </w:tcPr>
          <w:p>
            <w:pPr>
              <w:widowControl/>
              <w:adjustRightInd w:val="0"/>
              <w:snapToGrid w:val="0"/>
              <w:textAlignment w:val="center"/>
              <w:rPr>
                <w:rFonts w:hint="default" w:ascii="仿宋_GB2312" w:hAnsi="仿宋_GB2312" w:eastAsia="仿宋_GB2312" w:cs="仿宋_GB2312"/>
                <w:color w:val="000000"/>
                <w:kern w:val="0"/>
                <w:sz w:val="24"/>
                <w:szCs w:val="24"/>
                <w:lang w:val="en-US" w:eastAsia="zh-CN"/>
              </w:rPr>
            </w:pPr>
          </w:p>
        </w:tc>
        <w:tc>
          <w:tcPr>
            <w:tcW w:w="780" w:type="dxa"/>
            <w:tcBorders>
              <w:top w:val="single" w:color="auto" w:sz="4" w:space="0"/>
              <w:bottom w:val="single" w:color="auto" w:sz="4" w:space="0"/>
              <w:tl2br w:val="nil"/>
              <w:tr2bl w:val="nil"/>
            </w:tcBorders>
            <w:tcMar>
              <w:top w:w="57" w:type="dxa"/>
              <w:left w:w="57" w:type="dxa"/>
              <w:bottom w:w="57" w:type="dxa"/>
              <w:right w:w="57" w:type="dxa"/>
            </w:tcMar>
            <w:vAlign w:val="center"/>
          </w:tcPr>
          <w:p>
            <w:pPr>
              <w:widowControl/>
              <w:adjustRightInd w:val="0"/>
              <w:snapToGrid w:val="0"/>
              <w:textAlignment w:val="center"/>
              <w:rPr>
                <w:rFonts w:hint="default" w:ascii="仿宋_GB2312" w:hAnsi="仿宋_GB2312" w:eastAsia="仿宋_GB2312" w:cs="仿宋_GB2312"/>
                <w:color w:val="000000"/>
                <w:kern w:val="0"/>
                <w:sz w:val="24"/>
                <w:szCs w:val="24"/>
                <w:lang w:val="en-US" w:eastAsia="zh-CN"/>
              </w:rPr>
            </w:pPr>
            <w:r>
              <w:rPr>
                <w:rFonts w:hint="default" w:ascii="仿宋_GB2312" w:hAnsi="仿宋_GB2312" w:eastAsia="仿宋_GB2312" w:cs="仿宋_GB2312"/>
                <w:color w:val="000000"/>
                <w:kern w:val="0"/>
                <w:sz w:val="24"/>
                <w:szCs w:val="24"/>
                <w:lang w:val="en-US" w:eastAsia="zh-CN"/>
              </w:rPr>
              <w:t>严重</w:t>
            </w:r>
          </w:p>
        </w:tc>
        <w:tc>
          <w:tcPr>
            <w:tcW w:w="2435" w:type="dxa"/>
            <w:tcBorders>
              <w:top w:val="single" w:color="auto" w:sz="4" w:space="0"/>
              <w:bottom w:val="single" w:color="auto" w:sz="4" w:space="0"/>
              <w:tl2br w:val="nil"/>
              <w:tr2bl w:val="nil"/>
            </w:tcBorders>
            <w:tcMar>
              <w:top w:w="57" w:type="dxa"/>
              <w:left w:w="57" w:type="dxa"/>
              <w:bottom w:w="57" w:type="dxa"/>
              <w:right w:w="57" w:type="dxa"/>
            </w:tcMar>
            <w:vAlign w:val="center"/>
          </w:tcPr>
          <w:p>
            <w:pPr>
              <w:widowControl/>
              <w:adjustRightInd w:val="0"/>
              <w:snapToGrid w:val="0"/>
              <w:textAlignment w:val="center"/>
              <w:rPr>
                <w:rFonts w:hint="default" w:ascii="仿宋_GB2312" w:hAnsi="仿宋_GB2312" w:eastAsia="仿宋_GB2312" w:cs="仿宋_GB2312"/>
                <w:color w:val="000000"/>
                <w:kern w:val="0"/>
                <w:sz w:val="24"/>
                <w:szCs w:val="24"/>
                <w:lang w:val="en-US" w:eastAsia="zh-CN"/>
              </w:rPr>
            </w:pPr>
            <w:r>
              <w:rPr>
                <w:rFonts w:hint="default" w:ascii="仿宋_GB2312" w:hAnsi="仿宋_GB2312" w:eastAsia="仿宋_GB2312" w:cs="仿宋_GB2312"/>
                <w:color w:val="000000"/>
                <w:kern w:val="0"/>
                <w:sz w:val="24"/>
                <w:szCs w:val="24"/>
                <w:lang w:val="en-US" w:eastAsia="zh-CN"/>
              </w:rPr>
              <w:t>伪造、变造并买卖、转让、租借水生野生动物有关证件、专用标识或者有关批准文件</w:t>
            </w:r>
          </w:p>
        </w:tc>
        <w:tc>
          <w:tcPr>
            <w:tcW w:w="3952" w:type="dxa"/>
            <w:tcBorders>
              <w:top w:val="single" w:color="auto" w:sz="4" w:space="0"/>
              <w:bottom w:val="single" w:color="auto" w:sz="4" w:space="0"/>
              <w:tl2br w:val="nil"/>
              <w:tr2bl w:val="nil"/>
            </w:tcBorders>
            <w:tcMar>
              <w:top w:w="57" w:type="dxa"/>
              <w:left w:w="57" w:type="dxa"/>
              <w:bottom w:w="57" w:type="dxa"/>
              <w:right w:w="57" w:type="dxa"/>
            </w:tcMar>
            <w:vAlign w:val="center"/>
          </w:tcPr>
          <w:p>
            <w:pPr>
              <w:widowControl/>
              <w:adjustRightInd w:val="0"/>
              <w:snapToGrid w:val="0"/>
              <w:textAlignment w:val="center"/>
              <w:rPr>
                <w:rFonts w:hint="eastAsia" w:ascii="仿宋_GB2312" w:hAnsi="仿宋_GB2312" w:eastAsia="仿宋_GB2312" w:cs="仿宋_GB2312"/>
                <w:color w:val="000000"/>
                <w:kern w:val="0"/>
                <w:sz w:val="24"/>
                <w:szCs w:val="24"/>
                <w:lang w:val="en-US" w:eastAsia="zh-CN"/>
              </w:rPr>
            </w:pPr>
            <w:r>
              <w:rPr>
                <w:rFonts w:hint="default" w:ascii="仿宋_GB2312" w:hAnsi="仿宋_GB2312" w:eastAsia="仿宋_GB2312" w:cs="仿宋_GB2312"/>
                <w:color w:val="000000"/>
                <w:kern w:val="0"/>
                <w:sz w:val="24"/>
                <w:szCs w:val="24"/>
                <w:lang w:val="en-US" w:eastAsia="zh-CN"/>
              </w:rPr>
              <w:t>没收违法证件、专用标识、有关批准文件和违法所得，并处十七万元以上不超过二十五万元罚款</w:t>
            </w:r>
          </w:p>
        </w:tc>
      </w:tr>
    </w:tbl>
    <w:p>
      <w:pPr>
        <w:pStyle w:val="2"/>
      </w:pPr>
    </w:p>
    <w:tbl>
      <w:tblPr>
        <w:tblStyle w:val="7"/>
        <w:tblW w:w="140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21"/>
        <w:gridCol w:w="1213"/>
        <w:gridCol w:w="3020"/>
        <w:gridCol w:w="604"/>
        <w:gridCol w:w="1870"/>
        <w:gridCol w:w="1344"/>
        <w:gridCol w:w="552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tblHeader/>
          <w:jc w:val="center"/>
        </w:trPr>
        <w:tc>
          <w:tcPr>
            <w:tcW w:w="421"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黑体" w:hAnsi="黑体" w:eastAsia="黑体" w:cs="黑体"/>
                <w:color w:val="000000"/>
                <w:sz w:val="24"/>
                <w:szCs w:val="24"/>
              </w:rPr>
            </w:pPr>
            <w:r>
              <w:rPr>
                <w:rFonts w:hint="eastAsia" w:ascii="黑体" w:hAnsi="黑体" w:eastAsia="黑体" w:cs="黑体"/>
                <w:color w:val="000000"/>
                <w:kern w:val="0"/>
                <w:sz w:val="24"/>
                <w:szCs w:val="24"/>
              </w:rPr>
              <w:t>序号</w:t>
            </w:r>
          </w:p>
        </w:tc>
        <w:tc>
          <w:tcPr>
            <w:tcW w:w="1213"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黑体" w:hAnsi="黑体" w:eastAsia="黑体" w:cs="黑体"/>
                <w:color w:val="000000"/>
                <w:sz w:val="24"/>
                <w:szCs w:val="24"/>
              </w:rPr>
            </w:pPr>
            <w:r>
              <w:rPr>
                <w:rFonts w:hint="eastAsia" w:ascii="黑体" w:hAnsi="黑体" w:eastAsia="黑体" w:cs="黑体"/>
                <w:color w:val="000000"/>
                <w:kern w:val="0"/>
                <w:sz w:val="24"/>
                <w:szCs w:val="24"/>
              </w:rPr>
              <w:t>违法行为</w:t>
            </w:r>
          </w:p>
        </w:tc>
        <w:tc>
          <w:tcPr>
            <w:tcW w:w="3020"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黑体" w:hAnsi="黑体" w:eastAsia="黑体" w:cs="黑体"/>
                <w:color w:val="000000"/>
                <w:sz w:val="24"/>
                <w:szCs w:val="24"/>
              </w:rPr>
            </w:pPr>
            <w:r>
              <w:rPr>
                <w:rFonts w:hint="eastAsia" w:ascii="黑体" w:hAnsi="黑体" w:eastAsia="黑体" w:cs="黑体"/>
                <w:color w:val="000000"/>
                <w:kern w:val="0"/>
                <w:sz w:val="24"/>
                <w:szCs w:val="24"/>
              </w:rPr>
              <w:t>处罚依据</w:t>
            </w:r>
          </w:p>
        </w:tc>
        <w:tc>
          <w:tcPr>
            <w:tcW w:w="604"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黑体" w:hAnsi="黑体" w:eastAsia="黑体" w:cs="黑体"/>
                <w:color w:val="000000"/>
                <w:sz w:val="24"/>
                <w:szCs w:val="24"/>
              </w:rPr>
            </w:pPr>
            <w:r>
              <w:rPr>
                <w:rFonts w:hint="eastAsia" w:ascii="黑体" w:hAnsi="黑体" w:eastAsia="黑体" w:cs="黑体"/>
                <w:color w:val="000000"/>
                <w:kern w:val="0"/>
                <w:sz w:val="24"/>
                <w:szCs w:val="24"/>
              </w:rPr>
              <w:t>违法程度</w:t>
            </w:r>
          </w:p>
        </w:tc>
        <w:tc>
          <w:tcPr>
            <w:tcW w:w="1870"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黑体" w:hAnsi="黑体" w:eastAsia="黑体" w:cs="黑体"/>
                <w:color w:val="000000"/>
                <w:sz w:val="24"/>
                <w:szCs w:val="24"/>
              </w:rPr>
            </w:pPr>
            <w:r>
              <w:rPr>
                <w:rFonts w:hint="eastAsia" w:ascii="黑体" w:hAnsi="黑体" w:eastAsia="黑体" w:cs="黑体"/>
                <w:color w:val="000000"/>
                <w:kern w:val="0"/>
                <w:sz w:val="24"/>
                <w:szCs w:val="24"/>
              </w:rPr>
              <w:t>违法情节</w:t>
            </w:r>
          </w:p>
        </w:tc>
        <w:tc>
          <w:tcPr>
            <w:tcW w:w="6872" w:type="dxa"/>
            <w:gridSpan w:val="2"/>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黑体" w:hAnsi="黑体" w:eastAsia="黑体" w:cs="黑体"/>
                <w:color w:val="000000"/>
                <w:sz w:val="24"/>
                <w:szCs w:val="24"/>
              </w:rPr>
            </w:pPr>
            <w:r>
              <w:rPr>
                <w:rFonts w:hint="eastAsia" w:ascii="黑体" w:hAnsi="黑体" w:eastAsia="黑体" w:cs="黑体"/>
                <w:color w:val="000000"/>
                <w:kern w:val="0"/>
                <w:sz w:val="24"/>
                <w:szCs w:val="24"/>
              </w:rPr>
              <w:t>裁量标准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jc w:val="center"/>
        </w:trPr>
        <w:tc>
          <w:tcPr>
            <w:tcW w:w="421" w:type="dxa"/>
            <w:vMerge w:val="restart"/>
            <w:tcBorders>
              <w:tl2br w:val="nil"/>
              <w:tr2bl w:val="nil"/>
            </w:tcBorders>
            <w:tcMar>
              <w:top w:w="57" w:type="dxa"/>
              <w:left w:w="57" w:type="dxa"/>
              <w:bottom w:w="57" w:type="dxa"/>
              <w:right w:w="57" w:type="dxa"/>
            </w:tcMar>
            <w:vAlign w:val="center"/>
          </w:tcPr>
          <w:p>
            <w:pPr>
              <w:widowControl/>
              <w:adjustRightInd w:val="0"/>
              <w:snapToGrid w:val="0"/>
              <w:textAlignment w:val="center"/>
              <w:rPr>
                <w:rFonts w:hint="default"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26</w:t>
            </w:r>
          </w:p>
        </w:tc>
        <w:tc>
          <w:tcPr>
            <w:tcW w:w="1213" w:type="dxa"/>
            <w:vMerge w:val="restart"/>
            <w:tcBorders>
              <w:tl2br w:val="nil"/>
              <w:tr2bl w:val="nil"/>
            </w:tcBorders>
            <w:tcMar>
              <w:top w:w="57" w:type="dxa"/>
              <w:left w:w="57" w:type="dxa"/>
              <w:bottom w:w="57" w:type="dxa"/>
              <w:right w:w="57" w:type="dxa"/>
            </w:tcMar>
            <w:vAlign w:val="center"/>
          </w:tcPr>
          <w:p>
            <w:pPr>
              <w:widowControl/>
              <w:adjustRightInd w:val="0"/>
              <w:snapToGrid w:val="0"/>
              <w:textAlignment w:val="center"/>
              <w:rPr>
                <w:rFonts w:hint="default"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外国人未经批准在中国境内对国家重点保护的水生野生动物进行科学考察、标本采集、拍摄电影、录像</w:t>
            </w:r>
          </w:p>
        </w:tc>
        <w:tc>
          <w:tcPr>
            <w:tcW w:w="3020" w:type="dxa"/>
            <w:vMerge w:val="restart"/>
            <w:tcBorders>
              <w:tl2br w:val="nil"/>
              <w:tr2bl w:val="nil"/>
            </w:tcBorders>
            <w:tcMar>
              <w:top w:w="57" w:type="dxa"/>
              <w:left w:w="57" w:type="dxa"/>
              <w:bottom w:w="57" w:type="dxa"/>
              <w:right w:w="57" w:type="dxa"/>
            </w:tcMar>
            <w:vAlign w:val="center"/>
          </w:tcPr>
          <w:p>
            <w:pPr>
              <w:widowControl/>
              <w:adjustRightInd w:val="0"/>
              <w:snapToGrid w:val="0"/>
              <w:textAlignment w:val="center"/>
              <w:rPr>
                <w:rFonts w:hint="eastAsia"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《中华人民共和国水生野生动物保护实施条例》第三十一条  外国人未经批准在中国境内对国家重点保护的水生野生动物进行科学考察、标本采集、拍摄电影、录像的，由渔业行政主管部门没收考察、拍摄的资料以及所获标本，可以并处5万元以下的罚款。</w:t>
            </w:r>
          </w:p>
        </w:tc>
        <w:tc>
          <w:tcPr>
            <w:tcW w:w="604"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hint="eastAsia"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较轻</w:t>
            </w:r>
          </w:p>
        </w:tc>
        <w:tc>
          <w:tcPr>
            <w:tcW w:w="1870"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hint="eastAsia"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尚未取得实质性资料或直接相关标本</w:t>
            </w:r>
          </w:p>
        </w:tc>
        <w:tc>
          <w:tcPr>
            <w:tcW w:w="6872" w:type="dxa"/>
            <w:gridSpan w:val="2"/>
            <w:tcBorders>
              <w:bottom w:val="single" w:color="auto" w:sz="4" w:space="0"/>
              <w:tl2br w:val="nil"/>
              <w:tr2bl w:val="nil"/>
            </w:tcBorders>
            <w:tcMar>
              <w:top w:w="57" w:type="dxa"/>
              <w:left w:w="57" w:type="dxa"/>
              <w:bottom w:w="57" w:type="dxa"/>
              <w:right w:w="57" w:type="dxa"/>
            </w:tcMar>
            <w:vAlign w:val="center"/>
          </w:tcPr>
          <w:p>
            <w:pPr>
              <w:widowControl/>
              <w:adjustRightInd w:val="0"/>
              <w:snapToGrid w:val="0"/>
              <w:textAlignment w:val="center"/>
              <w:rPr>
                <w:rFonts w:hint="eastAsia"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没收考察、拍摄的资料，可以并处一万元以下罚款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7" w:hRule="atLeast"/>
          <w:jc w:val="center"/>
        </w:trPr>
        <w:tc>
          <w:tcPr>
            <w:tcW w:w="421" w:type="dxa"/>
            <w:vMerge w:val="continue"/>
            <w:tcBorders>
              <w:bottom w:val="single" w:color="auto" w:sz="4" w:space="0"/>
              <w:tl2br w:val="nil"/>
              <w:tr2bl w:val="nil"/>
            </w:tcBorders>
            <w:tcMar>
              <w:top w:w="57" w:type="dxa"/>
              <w:left w:w="57" w:type="dxa"/>
              <w:bottom w:w="57" w:type="dxa"/>
              <w:right w:w="57" w:type="dxa"/>
            </w:tcMar>
            <w:vAlign w:val="center"/>
          </w:tcPr>
          <w:p>
            <w:pPr>
              <w:widowControl/>
              <w:adjustRightInd w:val="0"/>
              <w:snapToGrid w:val="0"/>
              <w:textAlignment w:val="center"/>
              <w:rPr>
                <w:rFonts w:hint="eastAsia" w:ascii="仿宋_GB2312" w:hAnsi="仿宋_GB2312" w:eastAsia="仿宋_GB2312" w:cs="仿宋_GB2312"/>
                <w:color w:val="000000"/>
                <w:kern w:val="0"/>
                <w:sz w:val="24"/>
                <w:szCs w:val="24"/>
                <w:lang w:val="en-US" w:eastAsia="zh-CN"/>
              </w:rPr>
            </w:pPr>
          </w:p>
        </w:tc>
        <w:tc>
          <w:tcPr>
            <w:tcW w:w="1213" w:type="dxa"/>
            <w:vMerge w:val="continue"/>
            <w:tcBorders>
              <w:bottom w:val="single" w:color="auto" w:sz="4" w:space="0"/>
              <w:tl2br w:val="nil"/>
              <w:tr2bl w:val="nil"/>
            </w:tcBorders>
            <w:tcMar>
              <w:top w:w="57" w:type="dxa"/>
              <w:left w:w="57" w:type="dxa"/>
              <w:bottom w:w="57" w:type="dxa"/>
              <w:right w:w="57" w:type="dxa"/>
            </w:tcMar>
            <w:vAlign w:val="center"/>
          </w:tcPr>
          <w:p>
            <w:pPr>
              <w:widowControl/>
              <w:adjustRightInd w:val="0"/>
              <w:snapToGrid w:val="0"/>
              <w:textAlignment w:val="center"/>
              <w:rPr>
                <w:rFonts w:hint="default" w:ascii="仿宋_GB2312" w:hAnsi="仿宋_GB2312" w:eastAsia="仿宋_GB2312" w:cs="仿宋_GB2312"/>
                <w:color w:val="000000"/>
                <w:kern w:val="0"/>
                <w:sz w:val="21"/>
                <w:szCs w:val="21"/>
                <w:lang w:val="en-US" w:eastAsia="zh-CN"/>
              </w:rPr>
            </w:pPr>
          </w:p>
        </w:tc>
        <w:tc>
          <w:tcPr>
            <w:tcW w:w="3020" w:type="dxa"/>
            <w:vMerge w:val="continue"/>
            <w:tcBorders>
              <w:bottom w:val="single" w:color="auto" w:sz="4" w:space="0"/>
              <w:tl2br w:val="nil"/>
              <w:tr2bl w:val="nil"/>
            </w:tcBorders>
            <w:tcMar>
              <w:top w:w="57" w:type="dxa"/>
              <w:left w:w="57" w:type="dxa"/>
              <w:bottom w:w="57" w:type="dxa"/>
              <w:right w:w="57" w:type="dxa"/>
            </w:tcMar>
            <w:vAlign w:val="center"/>
          </w:tcPr>
          <w:p>
            <w:pPr>
              <w:widowControl/>
              <w:adjustRightInd w:val="0"/>
              <w:snapToGrid w:val="0"/>
              <w:textAlignment w:val="center"/>
              <w:rPr>
                <w:rFonts w:hint="default" w:ascii="仿宋_GB2312" w:hAnsi="仿宋_GB2312" w:eastAsia="仿宋_GB2312" w:cs="仿宋_GB2312"/>
                <w:color w:val="000000"/>
                <w:kern w:val="0"/>
                <w:sz w:val="21"/>
                <w:szCs w:val="21"/>
                <w:lang w:val="en-US" w:eastAsia="zh-CN"/>
              </w:rPr>
            </w:pPr>
          </w:p>
        </w:tc>
        <w:tc>
          <w:tcPr>
            <w:tcW w:w="604" w:type="dxa"/>
            <w:tcBorders>
              <w:top w:val="single" w:color="auto" w:sz="4" w:space="0"/>
              <w:bottom w:val="single" w:color="auto" w:sz="4" w:space="0"/>
              <w:tl2br w:val="nil"/>
              <w:tr2bl w:val="nil"/>
            </w:tcBorders>
            <w:tcMar>
              <w:top w:w="57" w:type="dxa"/>
              <w:left w:w="57" w:type="dxa"/>
              <w:bottom w:w="57" w:type="dxa"/>
              <w:right w:w="57" w:type="dxa"/>
            </w:tcMar>
            <w:vAlign w:val="center"/>
          </w:tcPr>
          <w:p>
            <w:pPr>
              <w:widowControl/>
              <w:adjustRightInd w:val="0"/>
              <w:snapToGrid w:val="0"/>
              <w:textAlignment w:val="center"/>
              <w:rPr>
                <w:rFonts w:hint="eastAsia"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一般</w:t>
            </w:r>
          </w:p>
        </w:tc>
        <w:tc>
          <w:tcPr>
            <w:tcW w:w="1870" w:type="dxa"/>
            <w:tcBorders>
              <w:top w:val="single" w:color="auto" w:sz="4" w:space="0"/>
              <w:bottom w:val="single" w:color="auto" w:sz="4" w:space="0"/>
              <w:tl2br w:val="nil"/>
              <w:tr2bl w:val="nil"/>
            </w:tcBorders>
            <w:tcMar>
              <w:top w:w="57" w:type="dxa"/>
              <w:left w:w="57" w:type="dxa"/>
              <w:bottom w:w="57" w:type="dxa"/>
              <w:right w:w="57" w:type="dxa"/>
            </w:tcMar>
            <w:vAlign w:val="center"/>
          </w:tcPr>
          <w:p>
            <w:pPr>
              <w:widowControl/>
              <w:adjustRightInd w:val="0"/>
              <w:snapToGrid w:val="0"/>
              <w:textAlignment w:val="center"/>
              <w:rPr>
                <w:rFonts w:hint="eastAsia"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已有实质性资料或直接相关标本，涉及国家二级重点保护水生野生动物</w:t>
            </w:r>
          </w:p>
        </w:tc>
        <w:tc>
          <w:tcPr>
            <w:tcW w:w="6872" w:type="dxa"/>
            <w:gridSpan w:val="2"/>
            <w:tcBorders>
              <w:top w:val="single" w:color="auto" w:sz="4" w:space="0"/>
              <w:bottom w:val="single" w:color="auto" w:sz="4" w:space="0"/>
              <w:tl2br w:val="nil"/>
              <w:tr2bl w:val="nil"/>
            </w:tcBorders>
            <w:tcMar>
              <w:top w:w="57" w:type="dxa"/>
              <w:left w:w="57" w:type="dxa"/>
              <w:bottom w:w="57" w:type="dxa"/>
              <w:right w:w="57" w:type="dxa"/>
            </w:tcMar>
            <w:vAlign w:val="center"/>
          </w:tcPr>
          <w:p>
            <w:pPr>
              <w:widowControl/>
              <w:adjustRightInd w:val="0"/>
              <w:snapToGrid w:val="0"/>
              <w:textAlignment w:val="center"/>
              <w:rPr>
                <w:rFonts w:hint="eastAsia"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没收考察、拍摄的资料，可以并处一万元以上三万元以下罚款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3" w:hRule="atLeast"/>
          <w:jc w:val="center"/>
        </w:trPr>
        <w:tc>
          <w:tcPr>
            <w:tcW w:w="421" w:type="dxa"/>
            <w:vMerge w:val="continue"/>
            <w:tcBorders>
              <w:bottom w:val="single" w:color="auto" w:sz="4" w:space="0"/>
              <w:tl2br w:val="nil"/>
              <w:tr2bl w:val="nil"/>
            </w:tcBorders>
            <w:tcMar>
              <w:top w:w="57" w:type="dxa"/>
              <w:left w:w="57" w:type="dxa"/>
              <w:bottom w:w="57" w:type="dxa"/>
              <w:right w:w="57" w:type="dxa"/>
            </w:tcMar>
            <w:vAlign w:val="center"/>
          </w:tcPr>
          <w:p>
            <w:pPr>
              <w:widowControl/>
              <w:adjustRightInd w:val="0"/>
              <w:snapToGrid w:val="0"/>
              <w:textAlignment w:val="center"/>
              <w:rPr>
                <w:rFonts w:hint="eastAsia" w:ascii="仿宋_GB2312" w:hAnsi="仿宋_GB2312" w:eastAsia="仿宋_GB2312" w:cs="仿宋_GB2312"/>
                <w:color w:val="000000"/>
                <w:kern w:val="0"/>
                <w:sz w:val="24"/>
                <w:szCs w:val="24"/>
                <w:lang w:val="en-US" w:eastAsia="zh-CN"/>
              </w:rPr>
            </w:pPr>
          </w:p>
        </w:tc>
        <w:tc>
          <w:tcPr>
            <w:tcW w:w="1213" w:type="dxa"/>
            <w:vMerge w:val="continue"/>
            <w:tcBorders>
              <w:bottom w:val="single" w:color="auto" w:sz="4" w:space="0"/>
              <w:tl2br w:val="nil"/>
              <w:tr2bl w:val="nil"/>
            </w:tcBorders>
            <w:tcMar>
              <w:top w:w="57" w:type="dxa"/>
              <w:left w:w="57" w:type="dxa"/>
              <w:bottom w:w="57" w:type="dxa"/>
              <w:right w:w="57" w:type="dxa"/>
            </w:tcMar>
            <w:vAlign w:val="center"/>
          </w:tcPr>
          <w:p>
            <w:pPr>
              <w:widowControl/>
              <w:adjustRightInd w:val="0"/>
              <w:snapToGrid w:val="0"/>
              <w:textAlignment w:val="center"/>
              <w:rPr>
                <w:rFonts w:hint="default" w:ascii="仿宋_GB2312" w:hAnsi="仿宋_GB2312" w:eastAsia="仿宋_GB2312" w:cs="仿宋_GB2312"/>
                <w:color w:val="000000"/>
                <w:kern w:val="0"/>
                <w:sz w:val="21"/>
                <w:szCs w:val="21"/>
                <w:lang w:val="en-US" w:eastAsia="zh-CN"/>
              </w:rPr>
            </w:pPr>
          </w:p>
        </w:tc>
        <w:tc>
          <w:tcPr>
            <w:tcW w:w="3020" w:type="dxa"/>
            <w:vMerge w:val="continue"/>
            <w:tcBorders>
              <w:bottom w:val="single" w:color="auto" w:sz="4" w:space="0"/>
              <w:tl2br w:val="nil"/>
              <w:tr2bl w:val="nil"/>
            </w:tcBorders>
            <w:tcMar>
              <w:top w:w="57" w:type="dxa"/>
              <w:left w:w="57" w:type="dxa"/>
              <w:bottom w:w="57" w:type="dxa"/>
              <w:right w:w="57" w:type="dxa"/>
            </w:tcMar>
            <w:vAlign w:val="center"/>
          </w:tcPr>
          <w:p>
            <w:pPr>
              <w:widowControl/>
              <w:adjustRightInd w:val="0"/>
              <w:snapToGrid w:val="0"/>
              <w:textAlignment w:val="center"/>
              <w:rPr>
                <w:rFonts w:hint="default" w:ascii="仿宋_GB2312" w:hAnsi="仿宋_GB2312" w:eastAsia="仿宋_GB2312" w:cs="仿宋_GB2312"/>
                <w:color w:val="000000"/>
                <w:kern w:val="0"/>
                <w:sz w:val="21"/>
                <w:szCs w:val="21"/>
                <w:lang w:val="en-US" w:eastAsia="zh-CN"/>
              </w:rPr>
            </w:pPr>
          </w:p>
        </w:tc>
        <w:tc>
          <w:tcPr>
            <w:tcW w:w="604" w:type="dxa"/>
            <w:tcBorders>
              <w:top w:val="single" w:color="auto" w:sz="4" w:space="0"/>
              <w:bottom w:val="single" w:color="auto" w:sz="4" w:space="0"/>
              <w:tl2br w:val="nil"/>
              <w:tr2bl w:val="nil"/>
            </w:tcBorders>
            <w:tcMar>
              <w:top w:w="57" w:type="dxa"/>
              <w:left w:w="57" w:type="dxa"/>
              <w:bottom w:w="57" w:type="dxa"/>
              <w:right w:w="57" w:type="dxa"/>
            </w:tcMar>
            <w:vAlign w:val="center"/>
          </w:tcPr>
          <w:p>
            <w:pPr>
              <w:widowControl/>
              <w:adjustRightInd w:val="0"/>
              <w:snapToGrid w:val="0"/>
              <w:textAlignment w:val="center"/>
              <w:rPr>
                <w:rFonts w:hint="eastAsia"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严重</w:t>
            </w:r>
          </w:p>
        </w:tc>
        <w:tc>
          <w:tcPr>
            <w:tcW w:w="1870" w:type="dxa"/>
            <w:tcBorders>
              <w:top w:val="single" w:color="auto" w:sz="4" w:space="0"/>
              <w:bottom w:val="single" w:color="auto" w:sz="4" w:space="0"/>
              <w:tl2br w:val="nil"/>
              <w:tr2bl w:val="nil"/>
            </w:tcBorders>
            <w:tcMar>
              <w:top w:w="57" w:type="dxa"/>
              <w:left w:w="57" w:type="dxa"/>
              <w:bottom w:w="57" w:type="dxa"/>
              <w:right w:w="57" w:type="dxa"/>
            </w:tcMar>
            <w:vAlign w:val="center"/>
          </w:tcPr>
          <w:p>
            <w:pPr>
              <w:widowControl/>
              <w:adjustRightInd w:val="0"/>
              <w:snapToGrid w:val="0"/>
              <w:textAlignment w:val="center"/>
              <w:rPr>
                <w:rFonts w:hint="eastAsia"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已有实质性资料或直接相关标本，涉及国家一级重点保护水生野生动物</w:t>
            </w:r>
          </w:p>
        </w:tc>
        <w:tc>
          <w:tcPr>
            <w:tcW w:w="6872" w:type="dxa"/>
            <w:gridSpan w:val="2"/>
            <w:tcBorders>
              <w:top w:val="single" w:color="auto" w:sz="4" w:space="0"/>
              <w:bottom w:val="single" w:color="auto" w:sz="4" w:space="0"/>
              <w:tl2br w:val="nil"/>
              <w:tr2bl w:val="nil"/>
            </w:tcBorders>
            <w:tcMar>
              <w:top w:w="57" w:type="dxa"/>
              <w:left w:w="57" w:type="dxa"/>
              <w:bottom w:w="57" w:type="dxa"/>
              <w:right w:w="57" w:type="dxa"/>
            </w:tcMar>
            <w:vAlign w:val="center"/>
          </w:tcPr>
          <w:p>
            <w:pPr>
              <w:widowControl/>
              <w:adjustRightInd w:val="0"/>
              <w:snapToGrid w:val="0"/>
              <w:textAlignment w:val="center"/>
              <w:rPr>
                <w:rFonts w:hint="eastAsia"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没收考察、拍摄的资料，可以并处三万元以上不超过五万元罚款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421" w:type="dxa"/>
            <w:vMerge w:val="restart"/>
            <w:tcBorders>
              <w:top w:val="single" w:color="auto" w:sz="4" w:space="0"/>
              <w:tl2br w:val="nil"/>
              <w:tr2bl w:val="nil"/>
            </w:tcBorders>
            <w:tcMar>
              <w:top w:w="57" w:type="dxa"/>
              <w:left w:w="57" w:type="dxa"/>
              <w:bottom w:w="57" w:type="dxa"/>
              <w:right w:w="57" w:type="dxa"/>
            </w:tcMar>
            <w:vAlign w:val="center"/>
          </w:tcPr>
          <w:p>
            <w:pPr>
              <w:widowControl/>
              <w:adjustRightInd w:val="0"/>
              <w:snapToGrid w:val="0"/>
              <w:textAlignment w:val="center"/>
              <w:rPr>
                <w:rFonts w:hint="default"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27</w:t>
            </w:r>
          </w:p>
        </w:tc>
        <w:tc>
          <w:tcPr>
            <w:tcW w:w="1213" w:type="dxa"/>
            <w:vMerge w:val="restart"/>
            <w:tcBorders>
              <w:top w:val="single" w:color="auto" w:sz="4" w:space="0"/>
              <w:tl2br w:val="nil"/>
              <w:tr2bl w:val="nil"/>
            </w:tcBorders>
            <w:tcMar>
              <w:top w:w="57" w:type="dxa"/>
              <w:left w:w="57" w:type="dxa"/>
              <w:bottom w:w="57" w:type="dxa"/>
              <w:right w:w="57" w:type="dxa"/>
            </w:tcMar>
            <w:vAlign w:val="center"/>
          </w:tcPr>
          <w:p>
            <w:pPr>
              <w:widowControl/>
              <w:adjustRightInd w:val="0"/>
              <w:snapToGrid w:val="0"/>
              <w:textAlignment w:val="center"/>
              <w:rPr>
                <w:rFonts w:hint="default"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渔港水域内的船舶、海上设施未持有有效的证书、文书</w:t>
            </w:r>
          </w:p>
        </w:tc>
        <w:tc>
          <w:tcPr>
            <w:tcW w:w="3020" w:type="dxa"/>
            <w:vMerge w:val="restart"/>
            <w:tcBorders>
              <w:top w:val="single" w:color="auto" w:sz="4" w:space="0"/>
              <w:tl2br w:val="nil"/>
              <w:tr2bl w:val="nil"/>
            </w:tcBorders>
            <w:tcMar>
              <w:top w:w="57" w:type="dxa"/>
              <w:left w:w="57" w:type="dxa"/>
              <w:bottom w:w="57" w:type="dxa"/>
              <w:right w:w="57" w:type="dxa"/>
            </w:tcMar>
            <w:vAlign w:val="center"/>
          </w:tcPr>
          <w:p>
            <w:pPr>
              <w:widowControl/>
              <w:adjustRightInd w:val="0"/>
              <w:snapToGrid w:val="0"/>
              <w:textAlignment w:val="center"/>
              <w:rPr>
                <w:rFonts w:hint="default"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中华人民共和国海上交通安全法》第九十五条船舶、海上设施未持有有效的证书、文书的，由海事管理机构责令改正，对违法船舶或者海上设施的所有人、经营人或者管理人处三万元以上三十万元以下的罚款，对船长和有关责任人员处三千元以上三万元以下的罚款；情节严重的，暂扣船长、责任船员的船员适任证书十八个月至三十个月，直至吊销船员适任证书；对船舶持有的伪造、变造证书、文书，予以没收；对存在严重安全隐患的船舶，可以依法予以没收。</w:t>
            </w:r>
          </w:p>
        </w:tc>
        <w:tc>
          <w:tcPr>
            <w:tcW w:w="604" w:type="dxa"/>
            <w:tcBorders>
              <w:top w:val="single" w:color="auto" w:sz="4" w:space="0"/>
              <w:tl2br w:val="nil"/>
              <w:tr2bl w:val="nil"/>
            </w:tcBorders>
            <w:tcMar>
              <w:top w:w="57" w:type="dxa"/>
              <w:left w:w="57" w:type="dxa"/>
              <w:bottom w:w="57" w:type="dxa"/>
              <w:right w:w="57" w:type="dxa"/>
            </w:tcMar>
            <w:vAlign w:val="center"/>
          </w:tcPr>
          <w:p>
            <w:pPr>
              <w:widowControl/>
              <w:adjustRightInd w:val="0"/>
              <w:snapToGrid w:val="0"/>
              <w:textAlignment w:val="center"/>
              <w:rPr>
                <w:rFonts w:hint="eastAsia"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较轻</w:t>
            </w:r>
          </w:p>
        </w:tc>
        <w:tc>
          <w:tcPr>
            <w:tcW w:w="1870" w:type="dxa"/>
            <w:tcBorders>
              <w:top w:val="single" w:color="auto" w:sz="4" w:space="0"/>
              <w:tl2br w:val="nil"/>
              <w:tr2bl w:val="nil"/>
            </w:tcBorders>
            <w:tcMar>
              <w:top w:w="57" w:type="dxa"/>
              <w:left w:w="57" w:type="dxa"/>
              <w:bottom w:w="57" w:type="dxa"/>
              <w:right w:w="57" w:type="dxa"/>
            </w:tcMar>
            <w:vAlign w:val="center"/>
          </w:tcPr>
          <w:p>
            <w:pPr>
              <w:widowControl/>
              <w:adjustRightInd w:val="0"/>
              <w:snapToGrid w:val="0"/>
              <w:textAlignment w:val="center"/>
              <w:rPr>
                <w:rFonts w:hint="eastAsia"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持有部分的有效证书、文书，但不全</w:t>
            </w:r>
          </w:p>
        </w:tc>
        <w:tc>
          <w:tcPr>
            <w:tcW w:w="6872" w:type="dxa"/>
            <w:gridSpan w:val="2"/>
            <w:tcBorders>
              <w:top w:val="single" w:color="auto" w:sz="4" w:space="0"/>
              <w:bottom w:val="single" w:color="auto" w:sz="4" w:space="0"/>
              <w:tl2br w:val="nil"/>
              <w:tr2bl w:val="nil"/>
            </w:tcBorders>
            <w:tcMar>
              <w:top w:w="57" w:type="dxa"/>
              <w:left w:w="57" w:type="dxa"/>
              <w:bottom w:w="57" w:type="dxa"/>
              <w:right w:w="57" w:type="dxa"/>
            </w:tcMar>
            <w:vAlign w:val="center"/>
          </w:tcPr>
          <w:p>
            <w:pPr>
              <w:widowControl/>
              <w:adjustRightInd w:val="0"/>
              <w:snapToGrid w:val="0"/>
              <w:textAlignment w:val="center"/>
              <w:rPr>
                <w:rFonts w:hint="eastAsia"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责令改正，对违法船舶的所有人、经营人或管理人处三万元以上十万元以下罚款，并对船长和有关责任人员处三千元以上一万五千元以下罚款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0" w:hRule="atLeast"/>
          <w:jc w:val="center"/>
        </w:trPr>
        <w:tc>
          <w:tcPr>
            <w:tcW w:w="421" w:type="dxa"/>
            <w:vMerge w:val="continue"/>
            <w:tcBorders>
              <w:tl2br w:val="nil"/>
              <w:tr2bl w:val="nil"/>
            </w:tcBorders>
            <w:tcMar>
              <w:top w:w="57" w:type="dxa"/>
              <w:left w:w="57" w:type="dxa"/>
              <w:bottom w:w="57" w:type="dxa"/>
              <w:right w:w="57" w:type="dxa"/>
            </w:tcMar>
            <w:vAlign w:val="center"/>
          </w:tcPr>
          <w:p>
            <w:pPr>
              <w:widowControl/>
              <w:adjustRightInd w:val="0"/>
              <w:snapToGrid w:val="0"/>
              <w:textAlignment w:val="center"/>
              <w:rPr>
                <w:rFonts w:hint="default" w:ascii="仿宋_GB2312" w:hAnsi="仿宋_GB2312" w:eastAsia="仿宋_GB2312" w:cs="仿宋_GB2312"/>
                <w:color w:val="000000"/>
                <w:kern w:val="0"/>
                <w:sz w:val="24"/>
                <w:szCs w:val="24"/>
                <w:lang w:val="en-US" w:eastAsia="zh-CN"/>
              </w:rPr>
            </w:pPr>
          </w:p>
        </w:tc>
        <w:tc>
          <w:tcPr>
            <w:tcW w:w="1213" w:type="dxa"/>
            <w:vMerge w:val="continue"/>
            <w:tcBorders>
              <w:tl2br w:val="nil"/>
              <w:tr2bl w:val="nil"/>
            </w:tcBorders>
            <w:tcMar>
              <w:top w:w="57" w:type="dxa"/>
              <w:left w:w="57" w:type="dxa"/>
              <w:bottom w:w="57" w:type="dxa"/>
              <w:right w:w="57" w:type="dxa"/>
            </w:tcMar>
            <w:vAlign w:val="center"/>
          </w:tcPr>
          <w:p>
            <w:pPr>
              <w:widowControl/>
              <w:adjustRightInd w:val="0"/>
              <w:snapToGrid w:val="0"/>
              <w:textAlignment w:val="center"/>
              <w:rPr>
                <w:rFonts w:hint="default" w:ascii="仿宋_GB2312" w:hAnsi="仿宋_GB2312" w:eastAsia="仿宋_GB2312" w:cs="仿宋_GB2312"/>
                <w:color w:val="000000"/>
                <w:kern w:val="0"/>
                <w:sz w:val="21"/>
                <w:szCs w:val="21"/>
                <w:lang w:val="en-US" w:eastAsia="zh-CN"/>
              </w:rPr>
            </w:pPr>
          </w:p>
        </w:tc>
        <w:tc>
          <w:tcPr>
            <w:tcW w:w="3020" w:type="dxa"/>
            <w:vMerge w:val="continue"/>
            <w:tcBorders>
              <w:tl2br w:val="nil"/>
              <w:tr2bl w:val="nil"/>
            </w:tcBorders>
            <w:tcMar>
              <w:top w:w="57" w:type="dxa"/>
              <w:left w:w="57" w:type="dxa"/>
              <w:bottom w:w="57" w:type="dxa"/>
              <w:right w:w="57" w:type="dxa"/>
            </w:tcMar>
            <w:vAlign w:val="center"/>
          </w:tcPr>
          <w:p>
            <w:pPr>
              <w:widowControl/>
              <w:adjustRightInd w:val="0"/>
              <w:snapToGrid w:val="0"/>
              <w:textAlignment w:val="center"/>
              <w:rPr>
                <w:rFonts w:hint="default" w:ascii="仿宋_GB2312" w:hAnsi="仿宋_GB2312" w:eastAsia="仿宋_GB2312" w:cs="仿宋_GB2312"/>
                <w:color w:val="000000"/>
                <w:kern w:val="0"/>
                <w:sz w:val="21"/>
                <w:szCs w:val="21"/>
                <w:lang w:val="en-US" w:eastAsia="zh-CN"/>
              </w:rPr>
            </w:pPr>
          </w:p>
        </w:tc>
        <w:tc>
          <w:tcPr>
            <w:tcW w:w="604" w:type="dxa"/>
            <w:tcBorders>
              <w:bottom w:val="single" w:color="auto" w:sz="4" w:space="0"/>
              <w:tl2br w:val="nil"/>
              <w:tr2bl w:val="nil"/>
            </w:tcBorders>
            <w:tcMar>
              <w:top w:w="57" w:type="dxa"/>
              <w:left w:w="57" w:type="dxa"/>
              <w:bottom w:w="57" w:type="dxa"/>
              <w:right w:w="57" w:type="dxa"/>
            </w:tcMar>
            <w:vAlign w:val="center"/>
          </w:tcPr>
          <w:p>
            <w:pPr>
              <w:widowControl/>
              <w:adjustRightInd w:val="0"/>
              <w:snapToGrid w:val="0"/>
              <w:textAlignment w:val="center"/>
              <w:rPr>
                <w:rFonts w:hint="default"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一般</w:t>
            </w:r>
          </w:p>
        </w:tc>
        <w:tc>
          <w:tcPr>
            <w:tcW w:w="1870" w:type="dxa"/>
            <w:tcBorders>
              <w:bottom w:val="single" w:color="auto" w:sz="4" w:space="0"/>
              <w:tl2br w:val="nil"/>
              <w:tr2bl w:val="nil"/>
            </w:tcBorders>
            <w:tcMar>
              <w:top w:w="57" w:type="dxa"/>
              <w:left w:w="57" w:type="dxa"/>
              <w:bottom w:w="57" w:type="dxa"/>
              <w:right w:w="57" w:type="dxa"/>
            </w:tcMar>
            <w:vAlign w:val="center"/>
          </w:tcPr>
          <w:p>
            <w:pPr>
              <w:widowControl/>
              <w:adjustRightInd w:val="0"/>
              <w:snapToGrid w:val="0"/>
              <w:textAlignment w:val="center"/>
              <w:rPr>
                <w:rFonts w:hint="default"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未持有任何有效证书、文书，但不属于“三无”船舶</w:t>
            </w:r>
          </w:p>
        </w:tc>
        <w:tc>
          <w:tcPr>
            <w:tcW w:w="6872" w:type="dxa"/>
            <w:gridSpan w:val="2"/>
            <w:tcBorders>
              <w:top w:val="single" w:color="auto" w:sz="4" w:space="0"/>
              <w:bottom w:val="single" w:color="auto" w:sz="4" w:space="0"/>
              <w:tl2br w:val="nil"/>
              <w:tr2bl w:val="nil"/>
            </w:tcBorders>
            <w:tcMar>
              <w:top w:w="57" w:type="dxa"/>
              <w:left w:w="57" w:type="dxa"/>
              <w:bottom w:w="57" w:type="dxa"/>
              <w:right w:w="57" w:type="dxa"/>
            </w:tcMar>
            <w:vAlign w:val="center"/>
          </w:tcPr>
          <w:p>
            <w:pPr>
              <w:widowControl/>
              <w:adjustRightInd w:val="0"/>
              <w:snapToGrid w:val="0"/>
              <w:textAlignment w:val="center"/>
              <w:rPr>
                <w:rFonts w:hint="eastAsia"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责令改正，对违法船舶的所有人、经营人或管理人处十万元以上十五万元以下罚款，并对船长和有关责任人员处一万五千元以上不超过三万元罚款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2" w:hRule="atLeast"/>
          <w:jc w:val="center"/>
        </w:trPr>
        <w:tc>
          <w:tcPr>
            <w:tcW w:w="421" w:type="dxa"/>
            <w:vMerge w:val="continue"/>
            <w:tcBorders>
              <w:tl2br w:val="nil"/>
              <w:tr2bl w:val="nil"/>
            </w:tcBorders>
            <w:tcMar>
              <w:top w:w="57" w:type="dxa"/>
              <w:left w:w="57" w:type="dxa"/>
              <w:bottom w:w="57" w:type="dxa"/>
              <w:right w:w="57" w:type="dxa"/>
            </w:tcMar>
            <w:vAlign w:val="center"/>
          </w:tcPr>
          <w:p>
            <w:pPr>
              <w:widowControl/>
              <w:adjustRightInd w:val="0"/>
              <w:snapToGrid w:val="0"/>
              <w:textAlignment w:val="center"/>
              <w:rPr>
                <w:rFonts w:hint="eastAsia" w:ascii="仿宋_GB2312" w:hAnsi="仿宋_GB2312" w:eastAsia="仿宋_GB2312" w:cs="仿宋_GB2312"/>
                <w:color w:val="000000"/>
                <w:kern w:val="0"/>
                <w:sz w:val="24"/>
                <w:szCs w:val="24"/>
                <w:lang w:val="en-US" w:eastAsia="zh-CN"/>
              </w:rPr>
            </w:pPr>
          </w:p>
        </w:tc>
        <w:tc>
          <w:tcPr>
            <w:tcW w:w="1213" w:type="dxa"/>
            <w:vMerge w:val="continue"/>
            <w:tcBorders>
              <w:tl2br w:val="nil"/>
              <w:tr2bl w:val="nil"/>
            </w:tcBorders>
            <w:tcMar>
              <w:top w:w="57" w:type="dxa"/>
              <w:left w:w="57" w:type="dxa"/>
              <w:bottom w:w="57" w:type="dxa"/>
              <w:right w:w="57" w:type="dxa"/>
            </w:tcMar>
            <w:vAlign w:val="center"/>
          </w:tcPr>
          <w:p>
            <w:pPr>
              <w:widowControl/>
              <w:adjustRightInd w:val="0"/>
              <w:snapToGrid w:val="0"/>
              <w:textAlignment w:val="center"/>
              <w:rPr>
                <w:rFonts w:hint="default" w:ascii="仿宋_GB2312" w:hAnsi="仿宋_GB2312" w:eastAsia="仿宋_GB2312" w:cs="仿宋_GB2312"/>
                <w:color w:val="000000"/>
                <w:kern w:val="0"/>
                <w:sz w:val="21"/>
                <w:szCs w:val="21"/>
                <w:lang w:val="en-US" w:eastAsia="zh-CN"/>
              </w:rPr>
            </w:pPr>
          </w:p>
        </w:tc>
        <w:tc>
          <w:tcPr>
            <w:tcW w:w="3020" w:type="dxa"/>
            <w:vMerge w:val="continue"/>
            <w:tcBorders>
              <w:tl2br w:val="nil"/>
              <w:tr2bl w:val="nil"/>
            </w:tcBorders>
            <w:tcMar>
              <w:top w:w="57" w:type="dxa"/>
              <w:left w:w="57" w:type="dxa"/>
              <w:bottom w:w="57" w:type="dxa"/>
              <w:right w:w="57" w:type="dxa"/>
            </w:tcMar>
            <w:vAlign w:val="center"/>
          </w:tcPr>
          <w:p>
            <w:pPr>
              <w:widowControl/>
              <w:adjustRightInd w:val="0"/>
              <w:snapToGrid w:val="0"/>
              <w:textAlignment w:val="center"/>
              <w:rPr>
                <w:rFonts w:hint="default" w:ascii="仿宋_GB2312" w:hAnsi="仿宋_GB2312" w:eastAsia="仿宋_GB2312" w:cs="仿宋_GB2312"/>
                <w:color w:val="000000"/>
                <w:kern w:val="0"/>
                <w:sz w:val="21"/>
                <w:szCs w:val="21"/>
                <w:lang w:val="en-US" w:eastAsia="zh-CN"/>
              </w:rPr>
            </w:pPr>
          </w:p>
        </w:tc>
        <w:tc>
          <w:tcPr>
            <w:tcW w:w="604" w:type="dxa"/>
            <w:vMerge w:val="restart"/>
            <w:tcBorders>
              <w:top w:val="single" w:color="auto" w:sz="4" w:space="0"/>
              <w:tl2br w:val="nil"/>
              <w:tr2bl w:val="nil"/>
            </w:tcBorders>
            <w:tcMar>
              <w:top w:w="57" w:type="dxa"/>
              <w:left w:w="57" w:type="dxa"/>
              <w:bottom w:w="57" w:type="dxa"/>
              <w:right w:w="57" w:type="dxa"/>
            </w:tcMar>
            <w:vAlign w:val="center"/>
          </w:tcPr>
          <w:p>
            <w:pPr>
              <w:widowControl/>
              <w:adjustRightInd w:val="0"/>
              <w:snapToGrid w:val="0"/>
              <w:textAlignment w:val="center"/>
              <w:rPr>
                <w:rFonts w:hint="default"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严重</w:t>
            </w:r>
          </w:p>
        </w:tc>
        <w:tc>
          <w:tcPr>
            <w:tcW w:w="1870" w:type="dxa"/>
            <w:vMerge w:val="restart"/>
            <w:tcBorders>
              <w:top w:val="single" w:color="auto" w:sz="4" w:space="0"/>
              <w:tl2br w:val="nil"/>
              <w:tr2bl w:val="nil"/>
            </w:tcBorders>
            <w:tcMar>
              <w:top w:w="57" w:type="dxa"/>
              <w:left w:w="57" w:type="dxa"/>
              <w:bottom w:w="57" w:type="dxa"/>
              <w:right w:w="57" w:type="dxa"/>
            </w:tcMar>
            <w:vAlign w:val="center"/>
          </w:tcPr>
          <w:p>
            <w:pPr>
              <w:widowControl/>
              <w:adjustRightInd w:val="0"/>
              <w:snapToGrid w:val="0"/>
              <w:textAlignment w:val="center"/>
              <w:rPr>
                <w:rFonts w:hint="default"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属于“三无”船舶</w:t>
            </w:r>
          </w:p>
        </w:tc>
        <w:tc>
          <w:tcPr>
            <w:tcW w:w="1344" w:type="dxa"/>
            <w:tcBorders>
              <w:top w:val="single" w:color="auto" w:sz="4" w:space="0"/>
              <w:bottom w:val="single" w:color="auto" w:sz="4" w:space="0"/>
              <w:right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eastAsia"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无伪造、变造、套用证书、文书行为</w:t>
            </w:r>
          </w:p>
        </w:tc>
        <w:tc>
          <w:tcPr>
            <w:tcW w:w="5528" w:type="dxa"/>
            <w:tcBorders>
              <w:top w:val="single" w:color="auto" w:sz="4" w:space="0"/>
              <w:left w:val="single" w:color="auto" w:sz="4" w:space="0"/>
              <w:bottom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eastAsia"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责令改正，对违法船舶的所有人、经营人或管理人处十五万元以上二十万元以下罚款，暂扣船长、责任船员的船员证书十八个月至二十四个月；对存在严重安全隐患的船舶，可以依法予以没收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0" w:hRule="atLeast"/>
          <w:jc w:val="center"/>
        </w:trPr>
        <w:tc>
          <w:tcPr>
            <w:tcW w:w="421" w:type="dxa"/>
            <w:vMerge w:val="continue"/>
            <w:tcBorders>
              <w:tl2br w:val="nil"/>
              <w:tr2bl w:val="nil"/>
            </w:tcBorders>
            <w:tcMar>
              <w:top w:w="57" w:type="dxa"/>
              <w:left w:w="57" w:type="dxa"/>
              <w:bottom w:w="57" w:type="dxa"/>
              <w:right w:w="57" w:type="dxa"/>
            </w:tcMar>
            <w:vAlign w:val="center"/>
          </w:tcPr>
          <w:p>
            <w:pPr>
              <w:widowControl/>
              <w:adjustRightInd w:val="0"/>
              <w:snapToGrid w:val="0"/>
              <w:textAlignment w:val="center"/>
              <w:rPr>
                <w:rFonts w:hint="eastAsia" w:ascii="仿宋_GB2312" w:hAnsi="仿宋_GB2312" w:eastAsia="仿宋_GB2312" w:cs="仿宋_GB2312"/>
                <w:color w:val="000000"/>
                <w:kern w:val="0"/>
                <w:sz w:val="24"/>
                <w:szCs w:val="24"/>
                <w:lang w:val="en-US" w:eastAsia="zh-CN"/>
              </w:rPr>
            </w:pPr>
          </w:p>
        </w:tc>
        <w:tc>
          <w:tcPr>
            <w:tcW w:w="1213" w:type="dxa"/>
            <w:vMerge w:val="continue"/>
            <w:tcBorders>
              <w:tl2br w:val="nil"/>
              <w:tr2bl w:val="nil"/>
            </w:tcBorders>
            <w:tcMar>
              <w:top w:w="57" w:type="dxa"/>
              <w:left w:w="57" w:type="dxa"/>
              <w:bottom w:w="57" w:type="dxa"/>
              <w:right w:w="57" w:type="dxa"/>
            </w:tcMar>
            <w:vAlign w:val="center"/>
          </w:tcPr>
          <w:p>
            <w:pPr>
              <w:widowControl/>
              <w:adjustRightInd w:val="0"/>
              <w:snapToGrid w:val="0"/>
              <w:textAlignment w:val="center"/>
              <w:rPr>
                <w:rFonts w:hint="default" w:ascii="仿宋_GB2312" w:hAnsi="仿宋_GB2312" w:eastAsia="仿宋_GB2312" w:cs="仿宋_GB2312"/>
                <w:color w:val="000000"/>
                <w:kern w:val="0"/>
                <w:sz w:val="21"/>
                <w:szCs w:val="21"/>
                <w:lang w:val="en-US" w:eastAsia="zh-CN"/>
              </w:rPr>
            </w:pPr>
          </w:p>
        </w:tc>
        <w:tc>
          <w:tcPr>
            <w:tcW w:w="3020" w:type="dxa"/>
            <w:vMerge w:val="continue"/>
            <w:tcBorders>
              <w:tl2br w:val="nil"/>
              <w:tr2bl w:val="nil"/>
            </w:tcBorders>
            <w:tcMar>
              <w:top w:w="57" w:type="dxa"/>
              <w:left w:w="57" w:type="dxa"/>
              <w:bottom w:w="57" w:type="dxa"/>
              <w:right w:w="57" w:type="dxa"/>
            </w:tcMar>
            <w:vAlign w:val="center"/>
          </w:tcPr>
          <w:p>
            <w:pPr>
              <w:widowControl/>
              <w:adjustRightInd w:val="0"/>
              <w:snapToGrid w:val="0"/>
              <w:textAlignment w:val="center"/>
              <w:rPr>
                <w:rFonts w:hint="default" w:ascii="仿宋_GB2312" w:hAnsi="仿宋_GB2312" w:eastAsia="仿宋_GB2312" w:cs="仿宋_GB2312"/>
                <w:color w:val="000000"/>
                <w:kern w:val="0"/>
                <w:sz w:val="21"/>
                <w:szCs w:val="21"/>
                <w:lang w:val="en-US" w:eastAsia="zh-CN"/>
              </w:rPr>
            </w:pPr>
          </w:p>
        </w:tc>
        <w:tc>
          <w:tcPr>
            <w:tcW w:w="604" w:type="dxa"/>
            <w:vMerge w:val="continue"/>
            <w:tcBorders>
              <w:tl2br w:val="nil"/>
              <w:tr2bl w:val="nil"/>
            </w:tcBorders>
            <w:tcMar>
              <w:top w:w="57" w:type="dxa"/>
              <w:left w:w="57" w:type="dxa"/>
              <w:bottom w:w="57" w:type="dxa"/>
              <w:right w:w="57" w:type="dxa"/>
            </w:tcMar>
            <w:vAlign w:val="center"/>
          </w:tcPr>
          <w:p>
            <w:pPr>
              <w:widowControl/>
              <w:adjustRightInd w:val="0"/>
              <w:snapToGrid w:val="0"/>
              <w:textAlignment w:val="center"/>
              <w:rPr>
                <w:rFonts w:hint="default" w:ascii="仿宋_GB2312" w:hAnsi="仿宋_GB2312" w:eastAsia="仿宋_GB2312" w:cs="仿宋_GB2312"/>
                <w:color w:val="000000"/>
                <w:kern w:val="0"/>
                <w:sz w:val="21"/>
                <w:szCs w:val="21"/>
                <w:lang w:val="en-US" w:eastAsia="zh-CN"/>
              </w:rPr>
            </w:pPr>
          </w:p>
        </w:tc>
        <w:tc>
          <w:tcPr>
            <w:tcW w:w="1870" w:type="dxa"/>
            <w:vMerge w:val="continue"/>
            <w:tcBorders>
              <w:tl2br w:val="nil"/>
              <w:tr2bl w:val="nil"/>
            </w:tcBorders>
            <w:tcMar>
              <w:top w:w="57" w:type="dxa"/>
              <w:left w:w="57" w:type="dxa"/>
              <w:bottom w:w="57" w:type="dxa"/>
              <w:right w:w="57" w:type="dxa"/>
            </w:tcMar>
            <w:vAlign w:val="center"/>
          </w:tcPr>
          <w:p>
            <w:pPr>
              <w:widowControl/>
              <w:adjustRightInd w:val="0"/>
              <w:snapToGrid w:val="0"/>
              <w:textAlignment w:val="center"/>
              <w:rPr>
                <w:rFonts w:hint="default" w:ascii="仿宋_GB2312" w:hAnsi="仿宋_GB2312" w:eastAsia="仿宋_GB2312" w:cs="仿宋_GB2312"/>
                <w:color w:val="000000"/>
                <w:kern w:val="0"/>
                <w:sz w:val="21"/>
                <w:szCs w:val="21"/>
                <w:lang w:val="en-US" w:eastAsia="zh-CN"/>
              </w:rPr>
            </w:pPr>
          </w:p>
        </w:tc>
        <w:tc>
          <w:tcPr>
            <w:tcW w:w="1344" w:type="dxa"/>
            <w:tcBorders>
              <w:top w:val="single" w:color="auto" w:sz="4" w:space="0"/>
              <w:bottom w:val="single" w:color="auto" w:sz="4" w:space="0"/>
              <w:right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有伪造、变造、套用证书、文书行为</w:t>
            </w:r>
          </w:p>
        </w:tc>
        <w:tc>
          <w:tcPr>
            <w:tcW w:w="5528" w:type="dxa"/>
            <w:tcBorders>
              <w:top w:val="single" w:color="auto" w:sz="4" w:space="0"/>
              <w:left w:val="single" w:color="auto" w:sz="4" w:space="0"/>
              <w:bottom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责令改正，对违法船舶的所有人、经营人或管理人处二十万元以上不超过三十万元罚款，暂扣船长、责任船员的船员证书二十四个月至三十个月，直至吊销船长、责任船员的船员证书；对船舶 持有的伪造、变造证书、文书予以没收；对存在严重安全隐患的船舶，可以依法予以没收</w:t>
            </w:r>
          </w:p>
        </w:tc>
      </w:tr>
    </w:tbl>
    <w:p>
      <w:pPr>
        <w:pStyle w:val="2"/>
      </w:pPr>
    </w:p>
    <w:tbl>
      <w:tblPr>
        <w:tblStyle w:val="7"/>
        <w:tblW w:w="140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21"/>
        <w:gridCol w:w="1114"/>
        <w:gridCol w:w="3604"/>
        <w:gridCol w:w="759"/>
        <w:gridCol w:w="2299"/>
        <w:gridCol w:w="1247"/>
        <w:gridCol w:w="455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tblHeader/>
          <w:jc w:val="center"/>
        </w:trPr>
        <w:tc>
          <w:tcPr>
            <w:tcW w:w="421"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黑体" w:hAnsi="黑体" w:eastAsia="黑体" w:cs="黑体"/>
                <w:color w:val="000000"/>
                <w:sz w:val="24"/>
                <w:szCs w:val="24"/>
              </w:rPr>
            </w:pPr>
            <w:r>
              <w:rPr>
                <w:rFonts w:hint="eastAsia" w:ascii="黑体" w:hAnsi="黑体" w:eastAsia="黑体" w:cs="黑体"/>
                <w:color w:val="000000"/>
                <w:kern w:val="0"/>
                <w:sz w:val="24"/>
                <w:szCs w:val="24"/>
              </w:rPr>
              <w:t>序号</w:t>
            </w:r>
          </w:p>
        </w:tc>
        <w:tc>
          <w:tcPr>
            <w:tcW w:w="1114"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黑体" w:hAnsi="黑体" w:eastAsia="黑体" w:cs="黑体"/>
                <w:color w:val="000000"/>
                <w:sz w:val="24"/>
                <w:szCs w:val="24"/>
              </w:rPr>
            </w:pPr>
            <w:r>
              <w:rPr>
                <w:rFonts w:hint="eastAsia" w:ascii="黑体" w:hAnsi="黑体" w:eastAsia="黑体" w:cs="黑体"/>
                <w:color w:val="000000"/>
                <w:kern w:val="0"/>
                <w:sz w:val="24"/>
                <w:szCs w:val="24"/>
              </w:rPr>
              <w:t>违法行为</w:t>
            </w:r>
          </w:p>
        </w:tc>
        <w:tc>
          <w:tcPr>
            <w:tcW w:w="3604"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黑体" w:hAnsi="黑体" w:eastAsia="黑体" w:cs="黑体"/>
                <w:color w:val="000000"/>
                <w:sz w:val="24"/>
                <w:szCs w:val="24"/>
              </w:rPr>
            </w:pPr>
            <w:r>
              <w:rPr>
                <w:rFonts w:hint="eastAsia" w:ascii="黑体" w:hAnsi="黑体" w:eastAsia="黑体" w:cs="黑体"/>
                <w:color w:val="000000"/>
                <w:kern w:val="0"/>
                <w:sz w:val="24"/>
                <w:szCs w:val="24"/>
              </w:rPr>
              <w:t>处罚依据</w:t>
            </w:r>
          </w:p>
        </w:tc>
        <w:tc>
          <w:tcPr>
            <w:tcW w:w="759"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黑体" w:hAnsi="黑体" w:eastAsia="黑体" w:cs="黑体"/>
                <w:color w:val="000000"/>
                <w:sz w:val="24"/>
                <w:szCs w:val="24"/>
              </w:rPr>
            </w:pPr>
            <w:r>
              <w:rPr>
                <w:rFonts w:hint="eastAsia" w:ascii="黑体" w:hAnsi="黑体" w:eastAsia="黑体" w:cs="黑体"/>
                <w:color w:val="000000"/>
                <w:kern w:val="0"/>
                <w:sz w:val="24"/>
                <w:szCs w:val="24"/>
              </w:rPr>
              <w:t>违法程度</w:t>
            </w:r>
          </w:p>
        </w:tc>
        <w:tc>
          <w:tcPr>
            <w:tcW w:w="2299"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黑体" w:hAnsi="黑体" w:eastAsia="黑体" w:cs="黑体"/>
                <w:color w:val="000000"/>
                <w:sz w:val="24"/>
                <w:szCs w:val="24"/>
              </w:rPr>
            </w:pPr>
            <w:r>
              <w:rPr>
                <w:rFonts w:hint="eastAsia" w:ascii="黑体" w:hAnsi="黑体" w:eastAsia="黑体" w:cs="黑体"/>
                <w:color w:val="000000"/>
                <w:kern w:val="0"/>
                <w:sz w:val="24"/>
                <w:szCs w:val="24"/>
              </w:rPr>
              <w:t>违法情节</w:t>
            </w:r>
          </w:p>
        </w:tc>
        <w:tc>
          <w:tcPr>
            <w:tcW w:w="5803" w:type="dxa"/>
            <w:gridSpan w:val="2"/>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黑体" w:hAnsi="黑体" w:eastAsia="黑体" w:cs="黑体"/>
                <w:color w:val="000000"/>
                <w:sz w:val="24"/>
                <w:szCs w:val="24"/>
              </w:rPr>
            </w:pPr>
            <w:r>
              <w:rPr>
                <w:rFonts w:hint="eastAsia" w:ascii="黑体" w:hAnsi="黑体" w:eastAsia="黑体" w:cs="黑体"/>
                <w:color w:val="000000"/>
                <w:kern w:val="0"/>
                <w:sz w:val="24"/>
                <w:szCs w:val="24"/>
              </w:rPr>
              <w:t>裁量标准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5" w:hRule="atLeast"/>
          <w:jc w:val="center"/>
        </w:trPr>
        <w:tc>
          <w:tcPr>
            <w:tcW w:w="421" w:type="dxa"/>
            <w:vMerge w:val="restart"/>
            <w:tcBorders>
              <w:tl2br w:val="nil"/>
              <w:tr2bl w:val="nil"/>
            </w:tcBorders>
            <w:tcMar>
              <w:top w:w="57" w:type="dxa"/>
              <w:left w:w="57" w:type="dxa"/>
              <w:bottom w:w="57" w:type="dxa"/>
              <w:right w:w="57" w:type="dxa"/>
            </w:tcMar>
            <w:vAlign w:val="center"/>
          </w:tcPr>
          <w:p>
            <w:pPr>
              <w:widowControl/>
              <w:adjustRightInd w:val="0"/>
              <w:snapToGrid w:val="0"/>
              <w:textAlignment w:val="center"/>
              <w:rPr>
                <w:rFonts w:hint="default" w:ascii="仿宋_GB2312" w:hAnsi="仿宋_GB2312" w:eastAsia="仿宋_GB2312" w:cs="仿宋_GB2312"/>
                <w:color w:val="000000"/>
                <w:kern w:val="0"/>
                <w:sz w:val="21"/>
                <w:szCs w:val="21"/>
                <w:lang w:val="en-US" w:eastAsia="zh-CN"/>
              </w:rPr>
            </w:pPr>
            <w:r>
              <w:rPr>
                <w:rFonts w:hint="eastAsia" w:ascii="仿宋_GB2312" w:hAnsi="仿宋_GB2312" w:eastAsia="仿宋_GB2312" w:cs="仿宋_GB2312"/>
                <w:color w:val="000000"/>
                <w:kern w:val="0"/>
                <w:sz w:val="21"/>
                <w:szCs w:val="21"/>
                <w:lang w:val="en-US" w:eastAsia="zh-CN"/>
              </w:rPr>
              <w:t>28</w:t>
            </w:r>
          </w:p>
        </w:tc>
        <w:tc>
          <w:tcPr>
            <w:tcW w:w="1114" w:type="dxa"/>
            <w:vMerge w:val="restart"/>
            <w:tcBorders>
              <w:tl2br w:val="nil"/>
              <w:tr2bl w:val="nil"/>
            </w:tcBorders>
            <w:tcMar>
              <w:top w:w="57" w:type="dxa"/>
              <w:left w:w="57" w:type="dxa"/>
              <w:bottom w:w="57" w:type="dxa"/>
              <w:right w:w="57" w:type="dxa"/>
            </w:tcMar>
            <w:vAlign w:val="center"/>
          </w:tcPr>
          <w:p>
            <w:pPr>
              <w:widowControl/>
              <w:adjustRightInd w:val="0"/>
              <w:snapToGrid w:val="0"/>
              <w:textAlignment w:val="center"/>
              <w:rPr>
                <w:rFonts w:hint="default"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渔港水域内非军事船舶的实际状况与持有的证书、文书不符</w:t>
            </w:r>
          </w:p>
        </w:tc>
        <w:tc>
          <w:tcPr>
            <w:tcW w:w="3604" w:type="dxa"/>
            <w:vMerge w:val="restart"/>
            <w:tcBorders>
              <w:tl2br w:val="nil"/>
              <w:tr2bl w:val="nil"/>
            </w:tcBorders>
            <w:tcMar>
              <w:top w:w="57" w:type="dxa"/>
              <w:left w:w="57" w:type="dxa"/>
              <w:bottom w:w="57" w:type="dxa"/>
              <w:right w:w="57" w:type="dxa"/>
            </w:tcMar>
            <w:vAlign w:val="center"/>
          </w:tcPr>
          <w:p>
            <w:pPr>
              <w:widowControl/>
              <w:adjustRightInd w:val="0"/>
              <w:snapToGrid w:val="0"/>
              <w:textAlignment w:val="center"/>
              <w:rPr>
                <w:rFonts w:hint="eastAsia"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中华人民共和国海上交通安全法》第九十六条船舶或者海上设施有下列情形之一的，由海事管理机构责令改正，对违法船舶或者海上设施的所有人、经营人或者管理人处二万元以上二十万元以下的罚款，对船长和有关责任人员处二千元以上二万元以下的罚款；情节严重的，吊销违法船舶所有人、经营人或者管理人的有关证书、文书，暂扣船长、责任船员的船员适任证书十二个月至二十四个月，直至吊销船员适任证书：</w:t>
            </w:r>
            <w:r>
              <w:rPr>
                <w:rFonts w:hint="default" w:ascii="仿宋_GB2312" w:hAnsi="仿宋_GB2312" w:eastAsia="仿宋_GB2312" w:cs="仿宋_GB2312"/>
                <w:color w:val="000000"/>
                <w:kern w:val="0"/>
                <w:sz w:val="21"/>
                <w:szCs w:val="21"/>
                <w:lang w:val="en-US" w:eastAsia="zh-CN"/>
              </w:rPr>
              <w:br w:type="textWrapping"/>
            </w:r>
            <w:r>
              <w:rPr>
                <w:rFonts w:hint="default" w:ascii="仿宋_GB2312" w:hAnsi="仿宋_GB2312" w:eastAsia="仿宋_GB2312" w:cs="仿宋_GB2312"/>
                <w:color w:val="000000"/>
                <w:kern w:val="0"/>
                <w:sz w:val="21"/>
                <w:szCs w:val="21"/>
                <w:lang w:val="en-US" w:eastAsia="zh-CN"/>
              </w:rPr>
              <w:t>（一）船舶、海上设施的实际状况与持有的证书、文书不符；（二）船舶未依法悬挂国旗，或者违法悬挂其他国家、地区或者组织的旗帜；（三）船舶未按规定标明船名、船舶识别号、船籍港、载重线标志；（四）船舶、海上设施的配员不符合最低安全配员要求。</w:t>
            </w:r>
          </w:p>
        </w:tc>
        <w:tc>
          <w:tcPr>
            <w:tcW w:w="759"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hint="eastAsia"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较轻</w:t>
            </w:r>
          </w:p>
        </w:tc>
        <w:tc>
          <w:tcPr>
            <w:tcW w:w="2299" w:type="dxa"/>
            <w:tcBorders>
              <w:tl2br w:val="nil"/>
              <w:tr2bl w:val="nil"/>
            </w:tcBorders>
            <w:tcMar>
              <w:top w:w="57" w:type="dxa"/>
              <w:left w:w="57" w:type="dxa"/>
              <w:bottom w:w="57" w:type="dxa"/>
              <w:right w:w="57" w:type="dxa"/>
            </w:tcMar>
            <w:vAlign w:val="center"/>
          </w:tcPr>
          <w:p>
            <w:pPr>
              <w:widowControl/>
              <w:adjustRightInd w:val="0"/>
              <w:snapToGrid w:val="0"/>
              <w:textAlignment w:val="center"/>
              <w:rPr>
                <w:rFonts w:hint="eastAsia"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不符之处不涉及船舶主尺度、吨位、船舶种类，也不涉及主机类型、数量、功率</w:t>
            </w:r>
          </w:p>
        </w:tc>
        <w:tc>
          <w:tcPr>
            <w:tcW w:w="5803" w:type="dxa"/>
            <w:gridSpan w:val="2"/>
            <w:tcBorders>
              <w:bottom w:val="single" w:color="auto" w:sz="4" w:space="0"/>
              <w:tl2br w:val="nil"/>
              <w:tr2bl w:val="nil"/>
            </w:tcBorders>
            <w:tcMar>
              <w:top w:w="57" w:type="dxa"/>
              <w:left w:w="57" w:type="dxa"/>
              <w:bottom w:w="57" w:type="dxa"/>
              <w:right w:w="57" w:type="dxa"/>
            </w:tcMar>
            <w:vAlign w:val="center"/>
          </w:tcPr>
          <w:p>
            <w:pPr>
              <w:widowControl/>
              <w:adjustRightInd w:val="0"/>
              <w:snapToGrid w:val="0"/>
              <w:textAlignment w:val="center"/>
              <w:rPr>
                <w:rFonts w:hint="eastAsia"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责令改正，对违法船舶的所有人、经营人或管理人处二万元以上六万元以下罚款，对船长和有关责任人员处二千元以上六千元以下罚款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65" w:hRule="atLeast"/>
          <w:jc w:val="center"/>
        </w:trPr>
        <w:tc>
          <w:tcPr>
            <w:tcW w:w="421" w:type="dxa"/>
            <w:vMerge w:val="continue"/>
            <w:tcBorders>
              <w:bottom w:val="single" w:color="auto" w:sz="4" w:space="0"/>
              <w:tl2br w:val="nil"/>
              <w:tr2bl w:val="nil"/>
            </w:tcBorders>
            <w:tcMar>
              <w:top w:w="57" w:type="dxa"/>
              <w:left w:w="57" w:type="dxa"/>
              <w:bottom w:w="57" w:type="dxa"/>
              <w:right w:w="57" w:type="dxa"/>
            </w:tcMar>
            <w:vAlign w:val="center"/>
          </w:tcPr>
          <w:p>
            <w:pPr>
              <w:widowControl/>
              <w:adjustRightInd w:val="0"/>
              <w:snapToGrid w:val="0"/>
              <w:textAlignment w:val="center"/>
              <w:rPr>
                <w:rFonts w:hint="eastAsia" w:ascii="仿宋_GB2312" w:hAnsi="仿宋_GB2312" w:eastAsia="仿宋_GB2312" w:cs="仿宋_GB2312"/>
                <w:color w:val="000000"/>
                <w:kern w:val="0"/>
                <w:sz w:val="21"/>
                <w:szCs w:val="21"/>
                <w:lang w:val="en-US" w:eastAsia="zh-CN"/>
              </w:rPr>
            </w:pPr>
          </w:p>
        </w:tc>
        <w:tc>
          <w:tcPr>
            <w:tcW w:w="1114" w:type="dxa"/>
            <w:vMerge w:val="continue"/>
            <w:tcBorders>
              <w:bottom w:val="single" w:color="auto" w:sz="4" w:space="0"/>
              <w:tl2br w:val="nil"/>
              <w:tr2bl w:val="nil"/>
            </w:tcBorders>
            <w:tcMar>
              <w:top w:w="57" w:type="dxa"/>
              <w:left w:w="57" w:type="dxa"/>
              <w:bottom w:w="57" w:type="dxa"/>
              <w:right w:w="57" w:type="dxa"/>
            </w:tcMar>
            <w:vAlign w:val="center"/>
          </w:tcPr>
          <w:p>
            <w:pPr>
              <w:widowControl/>
              <w:adjustRightInd w:val="0"/>
              <w:snapToGrid w:val="0"/>
              <w:textAlignment w:val="center"/>
              <w:rPr>
                <w:rFonts w:hint="default" w:ascii="仿宋_GB2312" w:hAnsi="仿宋_GB2312" w:eastAsia="仿宋_GB2312" w:cs="仿宋_GB2312"/>
                <w:color w:val="000000"/>
                <w:kern w:val="0"/>
                <w:sz w:val="21"/>
                <w:szCs w:val="21"/>
                <w:lang w:val="en-US" w:eastAsia="zh-CN"/>
              </w:rPr>
            </w:pPr>
          </w:p>
        </w:tc>
        <w:tc>
          <w:tcPr>
            <w:tcW w:w="3604" w:type="dxa"/>
            <w:vMerge w:val="continue"/>
            <w:tcBorders>
              <w:bottom w:val="single" w:color="auto" w:sz="4" w:space="0"/>
              <w:tl2br w:val="nil"/>
              <w:tr2bl w:val="nil"/>
            </w:tcBorders>
            <w:tcMar>
              <w:top w:w="57" w:type="dxa"/>
              <w:left w:w="57" w:type="dxa"/>
              <w:bottom w:w="57" w:type="dxa"/>
              <w:right w:w="57" w:type="dxa"/>
            </w:tcMar>
            <w:vAlign w:val="center"/>
          </w:tcPr>
          <w:p>
            <w:pPr>
              <w:widowControl/>
              <w:adjustRightInd w:val="0"/>
              <w:snapToGrid w:val="0"/>
              <w:textAlignment w:val="center"/>
              <w:rPr>
                <w:rFonts w:hint="default" w:ascii="仿宋_GB2312" w:hAnsi="仿宋_GB2312" w:eastAsia="仿宋_GB2312" w:cs="仿宋_GB2312"/>
                <w:color w:val="000000"/>
                <w:kern w:val="0"/>
                <w:sz w:val="21"/>
                <w:szCs w:val="21"/>
                <w:lang w:val="en-US" w:eastAsia="zh-CN"/>
              </w:rPr>
            </w:pPr>
          </w:p>
        </w:tc>
        <w:tc>
          <w:tcPr>
            <w:tcW w:w="759" w:type="dxa"/>
            <w:tcBorders>
              <w:top w:val="single" w:color="auto" w:sz="4" w:space="0"/>
              <w:bottom w:val="single" w:color="auto" w:sz="4" w:space="0"/>
              <w:tl2br w:val="nil"/>
              <w:tr2bl w:val="nil"/>
            </w:tcBorders>
            <w:tcMar>
              <w:top w:w="57" w:type="dxa"/>
              <w:left w:w="57" w:type="dxa"/>
              <w:bottom w:w="57" w:type="dxa"/>
              <w:right w:w="57" w:type="dxa"/>
            </w:tcMar>
            <w:vAlign w:val="center"/>
          </w:tcPr>
          <w:p>
            <w:pPr>
              <w:widowControl/>
              <w:adjustRightInd w:val="0"/>
              <w:snapToGrid w:val="0"/>
              <w:textAlignment w:val="center"/>
              <w:rPr>
                <w:rFonts w:hint="eastAsia"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一般</w:t>
            </w:r>
          </w:p>
        </w:tc>
        <w:tc>
          <w:tcPr>
            <w:tcW w:w="2299" w:type="dxa"/>
            <w:tcBorders>
              <w:top w:val="single" w:color="auto" w:sz="4" w:space="0"/>
              <w:bottom w:val="single" w:color="auto" w:sz="4" w:space="0"/>
              <w:tl2br w:val="nil"/>
              <w:tr2bl w:val="nil"/>
            </w:tcBorders>
            <w:tcMar>
              <w:top w:w="57" w:type="dxa"/>
              <w:left w:w="57" w:type="dxa"/>
              <w:bottom w:w="57" w:type="dxa"/>
              <w:right w:w="57" w:type="dxa"/>
            </w:tcMar>
            <w:vAlign w:val="center"/>
          </w:tcPr>
          <w:p>
            <w:pPr>
              <w:widowControl/>
              <w:adjustRightInd w:val="0"/>
              <w:snapToGrid w:val="0"/>
              <w:textAlignment w:val="center"/>
              <w:rPr>
                <w:rFonts w:hint="eastAsia"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船舶主尺度、吨位、主机类型、数量与持有的证书、文书不符，或主机功率低于证书、文书载明的功率</w:t>
            </w:r>
          </w:p>
        </w:tc>
        <w:tc>
          <w:tcPr>
            <w:tcW w:w="5803" w:type="dxa"/>
            <w:gridSpan w:val="2"/>
            <w:tcBorders>
              <w:top w:val="single" w:color="auto" w:sz="4" w:space="0"/>
              <w:bottom w:val="single" w:color="auto" w:sz="4" w:space="0"/>
              <w:tl2br w:val="nil"/>
              <w:tr2bl w:val="nil"/>
            </w:tcBorders>
            <w:tcMar>
              <w:top w:w="57" w:type="dxa"/>
              <w:left w:w="57" w:type="dxa"/>
              <w:bottom w:w="57" w:type="dxa"/>
              <w:right w:w="57" w:type="dxa"/>
            </w:tcMar>
            <w:vAlign w:val="center"/>
          </w:tcPr>
          <w:p>
            <w:pPr>
              <w:widowControl/>
              <w:adjustRightInd w:val="0"/>
              <w:snapToGrid w:val="0"/>
              <w:textAlignment w:val="center"/>
              <w:rPr>
                <w:rFonts w:hint="eastAsia"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责令改正，对违法船舶的所有人、经营人或管理人处六万元以上十万元以下罚款，对船长和有关责任人员处六千元以上一万元以下罚款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96" w:hRule="atLeast"/>
          <w:jc w:val="center"/>
        </w:trPr>
        <w:tc>
          <w:tcPr>
            <w:tcW w:w="421" w:type="dxa"/>
            <w:vMerge w:val="continue"/>
            <w:tcBorders>
              <w:bottom w:val="single" w:color="auto" w:sz="4" w:space="0"/>
              <w:tl2br w:val="nil"/>
              <w:tr2bl w:val="nil"/>
            </w:tcBorders>
            <w:tcMar>
              <w:top w:w="57" w:type="dxa"/>
              <w:left w:w="57" w:type="dxa"/>
              <w:bottom w:w="57" w:type="dxa"/>
              <w:right w:w="57" w:type="dxa"/>
            </w:tcMar>
            <w:vAlign w:val="center"/>
          </w:tcPr>
          <w:p>
            <w:pPr>
              <w:widowControl/>
              <w:adjustRightInd w:val="0"/>
              <w:snapToGrid w:val="0"/>
              <w:textAlignment w:val="center"/>
              <w:rPr>
                <w:rFonts w:hint="eastAsia" w:ascii="仿宋_GB2312" w:hAnsi="仿宋_GB2312" w:eastAsia="仿宋_GB2312" w:cs="仿宋_GB2312"/>
                <w:color w:val="000000"/>
                <w:kern w:val="0"/>
                <w:sz w:val="21"/>
                <w:szCs w:val="21"/>
                <w:lang w:val="en-US" w:eastAsia="zh-CN"/>
              </w:rPr>
            </w:pPr>
          </w:p>
        </w:tc>
        <w:tc>
          <w:tcPr>
            <w:tcW w:w="1114" w:type="dxa"/>
            <w:vMerge w:val="continue"/>
            <w:tcBorders>
              <w:bottom w:val="single" w:color="auto" w:sz="4" w:space="0"/>
              <w:tl2br w:val="nil"/>
              <w:tr2bl w:val="nil"/>
            </w:tcBorders>
            <w:tcMar>
              <w:top w:w="57" w:type="dxa"/>
              <w:left w:w="57" w:type="dxa"/>
              <w:bottom w:w="57" w:type="dxa"/>
              <w:right w:w="57" w:type="dxa"/>
            </w:tcMar>
            <w:vAlign w:val="center"/>
          </w:tcPr>
          <w:p>
            <w:pPr>
              <w:widowControl/>
              <w:adjustRightInd w:val="0"/>
              <w:snapToGrid w:val="0"/>
              <w:textAlignment w:val="center"/>
              <w:rPr>
                <w:rFonts w:hint="default" w:ascii="仿宋_GB2312" w:hAnsi="仿宋_GB2312" w:eastAsia="仿宋_GB2312" w:cs="仿宋_GB2312"/>
                <w:color w:val="000000"/>
                <w:kern w:val="0"/>
                <w:sz w:val="21"/>
                <w:szCs w:val="21"/>
                <w:lang w:val="en-US" w:eastAsia="zh-CN"/>
              </w:rPr>
            </w:pPr>
          </w:p>
        </w:tc>
        <w:tc>
          <w:tcPr>
            <w:tcW w:w="3604" w:type="dxa"/>
            <w:vMerge w:val="continue"/>
            <w:tcBorders>
              <w:bottom w:val="single" w:color="auto" w:sz="4" w:space="0"/>
              <w:tl2br w:val="nil"/>
              <w:tr2bl w:val="nil"/>
            </w:tcBorders>
            <w:tcMar>
              <w:top w:w="57" w:type="dxa"/>
              <w:left w:w="57" w:type="dxa"/>
              <w:bottom w:w="57" w:type="dxa"/>
              <w:right w:w="57" w:type="dxa"/>
            </w:tcMar>
            <w:vAlign w:val="center"/>
          </w:tcPr>
          <w:p>
            <w:pPr>
              <w:widowControl/>
              <w:adjustRightInd w:val="0"/>
              <w:snapToGrid w:val="0"/>
              <w:textAlignment w:val="center"/>
              <w:rPr>
                <w:rFonts w:hint="default" w:ascii="仿宋_GB2312" w:hAnsi="仿宋_GB2312" w:eastAsia="仿宋_GB2312" w:cs="仿宋_GB2312"/>
                <w:color w:val="000000"/>
                <w:kern w:val="0"/>
                <w:sz w:val="21"/>
                <w:szCs w:val="21"/>
                <w:lang w:val="en-US" w:eastAsia="zh-CN"/>
              </w:rPr>
            </w:pPr>
          </w:p>
        </w:tc>
        <w:tc>
          <w:tcPr>
            <w:tcW w:w="759" w:type="dxa"/>
            <w:vMerge w:val="restart"/>
            <w:tcBorders>
              <w:top w:val="single" w:color="auto" w:sz="4" w:space="0"/>
              <w:tl2br w:val="nil"/>
              <w:tr2bl w:val="nil"/>
            </w:tcBorders>
            <w:tcMar>
              <w:top w:w="57" w:type="dxa"/>
              <w:left w:w="57" w:type="dxa"/>
              <w:bottom w:w="57" w:type="dxa"/>
              <w:right w:w="57" w:type="dxa"/>
            </w:tcMar>
            <w:vAlign w:val="center"/>
          </w:tcPr>
          <w:p>
            <w:pPr>
              <w:widowControl/>
              <w:adjustRightInd w:val="0"/>
              <w:snapToGrid w:val="0"/>
              <w:textAlignment w:val="center"/>
              <w:rPr>
                <w:rFonts w:hint="eastAsia"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严重</w:t>
            </w:r>
          </w:p>
        </w:tc>
        <w:tc>
          <w:tcPr>
            <w:tcW w:w="2299" w:type="dxa"/>
            <w:vMerge w:val="restart"/>
            <w:tcBorders>
              <w:top w:val="single" w:color="auto" w:sz="4" w:space="0"/>
              <w:tl2br w:val="nil"/>
              <w:tr2bl w:val="nil"/>
            </w:tcBorders>
            <w:tcMar>
              <w:top w:w="57" w:type="dxa"/>
              <w:left w:w="57" w:type="dxa"/>
              <w:bottom w:w="57" w:type="dxa"/>
              <w:right w:w="57" w:type="dxa"/>
            </w:tcMar>
            <w:vAlign w:val="center"/>
          </w:tcPr>
          <w:p>
            <w:pPr>
              <w:widowControl/>
              <w:adjustRightInd w:val="0"/>
              <w:snapToGrid w:val="0"/>
              <w:textAlignment w:val="center"/>
              <w:rPr>
                <w:rFonts w:hint="eastAsia"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船舶主机功率超出证书、文书载明的功率</w:t>
            </w:r>
          </w:p>
        </w:tc>
        <w:tc>
          <w:tcPr>
            <w:tcW w:w="1247" w:type="dxa"/>
            <w:tcBorders>
              <w:top w:val="single" w:color="auto" w:sz="4" w:space="0"/>
              <w:bottom w:val="single" w:color="auto" w:sz="4" w:space="0"/>
              <w:right w:val="single" w:color="auto" w:sz="4" w:space="0"/>
              <w:tl2br w:val="nil"/>
              <w:tr2bl w:val="nil"/>
            </w:tcBorders>
            <w:tcMar>
              <w:top w:w="57" w:type="dxa"/>
              <w:left w:w="57" w:type="dxa"/>
              <w:bottom w:w="57" w:type="dxa"/>
              <w:right w:w="57" w:type="dxa"/>
            </w:tcMar>
            <w:vAlign w:val="center"/>
          </w:tcPr>
          <w:p>
            <w:pPr>
              <w:widowControl/>
              <w:adjustRightInd w:val="0"/>
              <w:snapToGrid w:val="0"/>
              <w:textAlignment w:val="center"/>
              <w:rPr>
                <w:rFonts w:hint="eastAsia"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主机功率超出证书、文书载明的功率百分之五十以下</w:t>
            </w:r>
          </w:p>
        </w:tc>
        <w:tc>
          <w:tcPr>
            <w:tcW w:w="4556" w:type="dxa"/>
            <w:tcBorders>
              <w:top w:val="single" w:color="auto" w:sz="4" w:space="0"/>
              <w:left w:val="single" w:color="auto" w:sz="4" w:space="0"/>
              <w:bottom w:val="single" w:color="auto" w:sz="4" w:space="0"/>
              <w:tl2br w:val="nil"/>
              <w:tr2bl w:val="nil"/>
            </w:tcBorders>
            <w:tcMar>
              <w:top w:w="57" w:type="dxa"/>
              <w:left w:w="57" w:type="dxa"/>
              <w:bottom w:w="57" w:type="dxa"/>
              <w:right w:w="57" w:type="dxa"/>
            </w:tcMar>
            <w:vAlign w:val="center"/>
          </w:tcPr>
          <w:p>
            <w:pPr>
              <w:widowControl/>
              <w:adjustRightInd w:val="0"/>
              <w:snapToGrid w:val="0"/>
              <w:textAlignment w:val="center"/>
              <w:rPr>
                <w:rFonts w:hint="eastAsia"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责令改正，对违法船舶的所有人、经营人或管理人处十万元以上十五万元以下罚款，对船长和有关责任人员处一万元以上一万五千元以下罚款，吊销违法船舶所有人、经营人或管理人的有关证书、文书，暂扣船长、责任船员的船员证书十二个月至十八个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81" w:hRule="atLeast"/>
          <w:jc w:val="center"/>
        </w:trPr>
        <w:tc>
          <w:tcPr>
            <w:tcW w:w="421" w:type="dxa"/>
            <w:vMerge w:val="continue"/>
            <w:tcBorders>
              <w:bottom w:val="single" w:color="auto" w:sz="4" w:space="0"/>
              <w:tl2br w:val="nil"/>
              <w:tr2bl w:val="nil"/>
            </w:tcBorders>
            <w:tcMar>
              <w:top w:w="57" w:type="dxa"/>
              <w:left w:w="57" w:type="dxa"/>
              <w:bottom w:w="57" w:type="dxa"/>
              <w:right w:w="57" w:type="dxa"/>
            </w:tcMar>
            <w:vAlign w:val="center"/>
          </w:tcPr>
          <w:p>
            <w:pPr>
              <w:widowControl/>
              <w:adjustRightInd w:val="0"/>
              <w:snapToGrid w:val="0"/>
              <w:textAlignment w:val="center"/>
              <w:rPr>
                <w:rFonts w:hint="eastAsia" w:ascii="仿宋_GB2312" w:hAnsi="仿宋_GB2312" w:eastAsia="仿宋_GB2312" w:cs="仿宋_GB2312"/>
                <w:color w:val="000000"/>
                <w:kern w:val="0"/>
                <w:sz w:val="21"/>
                <w:szCs w:val="21"/>
                <w:lang w:val="en-US" w:eastAsia="zh-CN"/>
              </w:rPr>
            </w:pPr>
          </w:p>
        </w:tc>
        <w:tc>
          <w:tcPr>
            <w:tcW w:w="1114" w:type="dxa"/>
            <w:vMerge w:val="continue"/>
            <w:tcBorders>
              <w:bottom w:val="single" w:color="auto" w:sz="4" w:space="0"/>
              <w:tl2br w:val="nil"/>
              <w:tr2bl w:val="nil"/>
            </w:tcBorders>
            <w:tcMar>
              <w:top w:w="57" w:type="dxa"/>
              <w:left w:w="57" w:type="dxa"/>
              <w:bottom w:w="57" w:type="dxa"/>
              <w:right w:w="57" w:type="dxa"/>
            </w:tcMar>
            <w:vAlign w:val="center"/>
          </w:tcPr>
          <w:p>
            <w:pPr>
              <w:widowControl/>
              <w:adjustRightInd w:val="0"/>
              <w:snapToGrid w:val="0"/>
              <w:textAlignment w:val="center"/>
              <w:rPr>
                <w:rFonts w:hint="default" w:ascii="仿宋_GB2312" w:hAnsi="仿宋_GB2312" w:eastAsia="仿宋_GB2312" w:cs="仿宋_GB2312"/>
                <w:color w:val="000000"/>
                <w:kern w:val="0"/>
                <w:sz w:val="21"/>
                <w:szCs w:val="21"/>
                <w:lang w:val="en-US" w:eastAsia="zh-CN"/>
              </w:rPr>
            </w:pPr>
          </w:p>
        </w:tc>
        <w:tc>
          <w:tcPr>
            <w:tcW w:w="3604" w:type="dxa"/>
            <w:vMerge w:val="continue"/>
            <w:tcBorders>
              <w:bottom w:val="single" w:color="auto" w:sz="4" w:space="0"/>
              <w:tl2br w:val="nil"/>
              <w:tr2bl w:val="nil"/>
            </w:tcBorders>
            <w:tcMar>
              <w:top w:w="57" w:type="dxa"/>
              <w:left w:w="57" w:type="dxa"/>
              <w:bottom w:w="57" w:type="dxa"/>
              <w:right w:w="57" w:type="dxa"/>
            </w:tcMar>
            <w:vAlign w:val="center"/>
          </w:tcPr>
          <w:p>
            <w:pPr>
              <w:widowControl/>
              <w:adjustRightInd w:val="0"/>
              <w:snapToGrid w:val="0"/>
              <w:textAlignment w:val="center"/>
              <w:rPr>
                <w:rFonts w:hint="default" w:ascii="仿宋_GB2312" w:hAnsi="仿宋_GB2312" w:eastAsia="仿宋_GB2312" w:cs="仿宋_GB2312"/>
                <w:color w:val="000000"/>
                <w:kern w:val="0"/>
                <w:sz w:val="21"/>
                <w:szCs w:val="21"/>
                <w:lang w:val="en-US" w:eastAsia="zh-CN"/>
              </w:rPr>
            </w:pPr>
          </w:p>
        </w:tc>
        <w:tc>
          <w:tcPr>
            <w:tcW w:w="759" w:type="dxa"/>
            <w:vMerge w:val="continue"/>
            <w:tcBorders>
              <w:tl2br w:val="nil"/>
              <w:tr2bl w:val="nil"/>
            </w:tcBorders>
            <w:tcMar>
              <w:top w:w="57" w:type="dxa"/>
              <w:left w:w="57" w:type="dxa"/>
              <w:bottom w:w="57" w:type="dxa"/>
              <w:right w:w="57" w:type="dxa"/>
            </w:tcMar>
            <w:vAlign w:val="center"/>
          </w:tcPr>
          <w:p>
            <w:pPr>
              <w:widowControl/>
              <w:adjustRightInd w:val="0"/>
              <w:snapToGrid w:val="0"/>
              <w:textAlignment w:val="center"/>
              <w:rPr>
                <w:rFonts w:hint="default" w:ascii="仿宋_GB2312" w:hAnsi="仿宋_GB2312" w:eastAsia="仿宋_GB2312" w:cs="仿宋_GB2312"/>
                <w:color w:val="000000"/>
                <w:kern w:val="0"/>
                <w:sz w:val="21"/>
                <w:szCs w:val="21"/>
                <w:lang w:val="en-US" w:eastAsia="zh-CN"/>
              </w:rPr>
            </w:pPr>
          </w:p>
        </w:tc>
        <w:tc>
          <w:tcPr>
            <w:tcW w:w="2299" w:type="dxa"/>
            <w:vMerge w:val="continue"/>
            <w:tcBorders>
              <w:tl2br w:val="nil"/>
              <w:tr2bl w:val="nil"/>
            </w:tcBorders>
            <w:tcMar>
              <w:top w:w="57" w:type="dxa"/>
              <w:left w:w="57" w:type="dxa"/>
              <w:bottom w:w="57" w:type="dxa"/>
              <w:right w:w="57" w:type="dxa"/>
            </w:tcMar>
            <w:vAlign w:val="center"/>
          </w:tcPr>
          <w:p>
            <w:pPr>
              <w:widowControl/>
              <w:adjustRightInd w:val="0"/>
              <w:snapToGrid w:val="0"/>
              <w:textAlignment w:val="center"/>
              <w:rPr>
                <w:rFonts w:hint="default" w:ascii="仿宋_GB2312" w:hAnsi="仿宋_GB2312" w:eastAsia="仿宋_GB2312" w:cs="仿宋_GB2312"/>
                <w:color w:val="000000"/>
                <w:kern w:val="0"/>
                <w:sz w:val="21"/>
                <w:szCs w:val="21"/>
                <w:lang w:val="en-US" w:eastAsia="zh-CN"/>
              </w:rPr>
            </w:pPr>
          </w:p>
        </w:tc>
        <w:tc>
          <w:tcPr>
            <w:tcW w:w="1247" w:type="dxa"/>
            <w:tcBorders>
              <w:top w:val="single" w:color="auto" w:sz="4" w:space="0"/>
              <w:bottom w:val="single" w:color="auto" w:sz="4" w:space="0"/>
              <w:right w:val="single" w:color="auto" w:sz="4" w:space="0"/>
              <w:tl2br w:val="nil"/>
              <w:tr2bl w:val="nil"/>
            </w:tcBorders>
            <w:tcMar>
              <w:top w:w="57" w:type="dxa"/>
              <w:left w:w="57" w:type="dxa"/>
              <w:bottom w:w="57" w:type="dxa"/>
              <w:right w:w="57" w:type="dxa"/>
            </w:tcMar>
            <w:vAlign w:val="center"/>
          </w:tcPr>
          <w:p>
            <w:pPr>
              <w:widowControl/>
              <w:adjustRightInd w:val="0"/>
              <w:snapToGrid w:val="0"/>
              <w:textAlignment w:val="center"/>
              <w:rPr>
                <w:rFonts w:hint="default"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主机功率超出证书、文书载明的功率百分之五十以上</w:t>
            </w:r>
          </w:p>
        </w:tc>
        <w:tc>
          <w:tcPr>
            <w:tcW w:w="4556" w:type="dxa"/>
            <w:tcBorders>
              <w:top w:val="single" w:color="auto" w:sz="4" w:space="0"/>
              <w:left w:val="single" w:color="auto" w:sz="4" w:space="0"/>
              <w:bottom w:val="single" w:color="auto" w:sz="4" w:space="0"/>
              <w:tl2br w:val="nil"/>
              <w:tr2bl w:val="nil"/>
            </w:tcBorders>
            <w:tcMar>
              <w:top w:w="57" w:type="dxa"/>
              <w:left w:w="57" w:type="dxa"/>
              <w:bottom w:w="57" w:type="dxa"/>
              <w:right w:w="57" w:type="dxa"/>
            </w:tcMar>
            <w:vAlign w:val="center"/>
          </w:tcPr>
          <w:p>
            <w:pPr>
              <w:widowControl/>
              <w:adjustRightInd w:val="0"/>
              <w:snapToGrid w:val="0"/>
              <w:textAlignment w:val="center"/>
              <w:rPr>
                <w:rFonts w:hint="default"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责令改正，对违法船舶的所有人、经营人或管理人处十五万元以上不超过二十万元罚款，对船长和有关责任人员处一万五千元以上不超过二万元罚款，吊销违法船舶所有人、经营人或管理人的有关证书、文书，暂扣船长、责任船员的船员证书十八个月至二十四个月，直至吊销船员证书</w:t>
            </w:r>
          </w:p>
        </w:tc>
      </w:tr>
    </w:tbl>
    <w:p>
      <w:pPr>
        <w:pStyle w:val="2"/>
      </w:pPr>
    </w:p>
    <w:p>
      <w:pPr>
        <w:pStyle w:val="2"/>
      </w:pPr>
    </w:p>
    <w:tbl>
      <w:tblPr>
        <w:tblStyle w:val="7"/>
        <w:tblW w:w="140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21"/>
        <w:gridCol w:w="1211"/>
        <w:gridCol w:w="3507"/>
        <w:gridCol w:w="759"/>
        <w:gridCol w:w="2513"/>
        <w:gridCol w:w="558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tblHeader/>
          <w:jc w:val="center"/>
        </w:trPr>
        <w:tc>
          <w:tcPr>
            <w:tcW w:w="421"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黑体" w:hAnsi="黑体" w:eastAsia="黑体" w:cs="黑体"/>
                <w:color w:val="000000"/>
                <w:sz w:val="24"/>
                <w:szCs w:val="24"/>
              </w:rPr>
            </w:pPr>
            <w:r>
              <w:rPr>
                <w:rFonts w:hint="eastAsia" w:ascii="黑体" w:hAnsi="黑体" w:eastAsia="黑体" w:cs="黑体"/>
                <w:color w:val="000000"/>
                <w:kern w:val="0"/>
                <w:sz w:val="24"/>
                <w:szCs w:val="24"/>
              </w:rPr>
              <w:t>序号</w:t>
            </w:r>
          </w:p>
        </w:tc>
        <w:tc>
          <w:tcPr>
            <w:tcW w:w="1211"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黑体" w:hAnsi="黑体" w:eastAsia="黑体" w:cs="黑体"/>
                <w:color w:val="000000"/>
                <w:sz w:val="24"/>
                <w:szCs w:val="24"/>
              </w:rPr>
            </w:pPr>
            <w:r>
              <w:rPr>
                <w:rFonts w:hint="eastAsia" w:ascii="黑体" w:hAnsi="黑体" w:eastAsia="黑体" w:cs="黑体"/>
                <w:color w:val="000000"/>
                <w:kern w:val="0"/>
                <w:sz w:val="24"/>
                <w:szCs w:val="24"/>
              </w:rPr>
              <w:t>违法行为</w:t>
            </w:r>
          </w:p>
        </w:tc>
        <w:tc>
          <w:tcPr>
            <w:tcW w:w="3507"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黑体" w:hAnsi="黑体" w:eastAsia="黑体" w:cs="黑体"/>
                <w:color w:val="000000"/>
                <w:sz w:val="24"/>
                <w:szCs w:val="24"/>
              </w:rPr>
            </w:pPr>
            <w:r>
              <w:rPr>
                <w:rFonts w:hint="eastAsia" w:ascii="黑体" w:hAnsi="黑体" w:eastAsia="黑体" w:cs="黑体"/>
                <w:color w:val="000000"/>
                <w:kern w:val="0"/>
                <w:sz w:val="24"/>
                <w:szCs w:val="24"/>
              </w:rPr>
              <w:t>处罚依据</w:t>
            </w:r>
          </w:p>
        </w:tc>
        <w:tc>
          <w:tcPr>
            <w:tcW w:w="759"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黑体" w:hAnsi="黑体" w:eastAsia="黑体" w:cs="黑体"/>
                <w:color w:val="000000"/>
                <w:sz w:val="24"/>
                <w:szCs w:val="24"/>
              </w:rPr>
            </w:pPr>
            <w:r>
              <w:rPr>
                <w:rFonts w:hint="eastAsia" w:ascii="黑体" w:hAnsi="黑体" w:eastAsia="黑体" w:cs="黑体"/>
                <w:color w:val="000000"/>
                <w:kern w:val="0"/>
                <w:sz w:val="24"/>
                <w:szCs w:val="24"/>
              </w:rPr>
              <w:t>违法程度</w:t>
            </w:r>
          </w:p>
        </w:tc>
        <w:tc>
          <w:tcPr>
            <w:tcW w:w="2513"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黑体" w:hAnsi="黑体" w:eastAsia="黑体" w:cs="黑体"/>
                <w:color w:val="000000"/>
                <w:sz w:val="24"/>
                <w:szCs w:val="24"/>
              </w:rPr>
            </w:pPr>
            <w:r>
              <w:rPr>
                <w:rFonts w:hint="eastAsia" w:ascii="黑体" w:hAnsi="黑体" w:eastAsia="黑体" w:cs="黑体"/>
                <w:color w:val="000000"/>
                <w:kern w:val="0"/>
                <w:sz w:val="24"/>
                <w:szCs w:val="24"/>
              </w:rPr>
              <w:t>违法情节</w:t>
            </w:r>
          </w:p>
        </w:tc>
        <w:tc>
          <w:tcPr>
            <w:tcW w:w="5589"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黑体" w:hAnsi="黑体" w:eastAsia="黑体" w:cs="黑体"/>
                <w:color w:val="000000"/>
                <w:sz w:val="24"/>
                <w:szCs w:val="24"/>
              </w:rPr>
            </w:pPr>
            <w:r>
              <w:rPr>
                <w:rFonts w:hint="eastAsia" w:ascii="黑体" w:hAnsi="黑体" w:eastAsia="黑体" w:cs="黑体"/>
                <w:color w:val="000000"/>
                <w:kern w:val="0"/>
                <w:sz w:val="24"/>
                <w:szCs w:val="24"/>
              </w:rPr>
              <w:t>裁量标准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5" w:hRule="atLeast"/>
          <w:jc w:val="center"/>
        </w:trPr>
        <w:tc>
          <w:tcPr>
            <w:tcW w:w="421" w:type="dxa"/>
            <w:vMerge w:val="restart"/>
            <w:tcBorders>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r>
              <w:rPr>
                <w:rFonts w:hint="eastAsia" w:ascii="仿宋_GB2312" w:hAnsi="仿宋_GB2312" w:eastAsia="仿宋_GB2312" w:cs="仿宋_GB2312"/>
                <w:color w:val="000000"/>
                <w:kern w:val="0"/>
                <w:sz w:val="21"/>
                <w:szCs w:val="21"/>
                <w:lang w:val="en-US" w:eastAsia="zh-CN"/>
              </w:rPr>
              <w:t>29</w:t>
            </w:r>
          </w:p>
        </w:tc>
        <w:tc>
          <w:tcPr>
            <w:tcW w:w="1211" w:type="dxa"/>
            <w:vMerge w:val="restart"/>
            <w:tcBorders>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将渔业船舶证书转让他船使用</w:t>
            </w:r>
          </w:p>
        </w:tc>
        <w:tc>
          <w:tcPr>
            <w:tcW w:w="3507" w:type="dxa"/>
            <w:vMerge w:val="restart"/>
            <w:tcBorders>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eastAsia" w:ascii="仿宋_GB2312" w:hAnsi="仿宋_GB2312" w:eastAsia="仿宋_GB2312" w:cs="仿宋_GB2312"/>
                <w:color w:val="000000"/>
                <w:kern w:val="0"/>
                <w:sz w:val="21"/>
                <w:szCs w:val="21"/>
                <w:lang w:val="en-US" w:eastAsia="zh-CN"/>
              </w:rPr>
            </w:pPr>
            <w:r>
              <w:rPr>
                <w:rFonts w:hint="eastAsia" w:ascii="仿宋_GB2312" w:hAnsi="仿宋_GB2312" w:eastAsia="仿宋_GB2312" w:cs="仿宋_GB2312"/>
                <w:color w:val="000000"/>
                <w:kern w:val="0"/>
                <w:sz w:val="21"/>
                <w:szCs w:val="21"/>
                <w:lang w:val="en-US" w:eastAsia="zh-CN"/>
              </w:rPr>
              <w:t>《中华人民共和国渔业港航监督行政处罚规定》第十八条将船舶证书转让他船使用，一经发现，应立即收缴，对转让船舶证书的船舶所有者或经营者处1000元以下罚款；对借用证书的船舶所有者或经营者处船价2倍以下罚款。</w:t>
            </w:r>
          </w:p>
        </w:tc>
        <w:tc>
          <w:tcPr>
            <w:tcW w:w="759" w:type="dxa"/>
            <w:tcBorders>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eastAsia"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一般</w:t>
            </w:r>
          </w:p>
        </w:tc>
        <w:tc>
          <w:tcPr>
            <w:tcW w:w="2513" w:type="dxa"/>
            <w:tcBorders>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eastAsia"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借用者未违反禁渔期、禁渔区规定，也未使用禁用的工具、方法进行捕捞</w:t>
            </w:r>
          </w:p>
        </w:tc>
        <w:tc>
          <w:tcPr>
            <w:tcW w:w="5589" w:type="dxa"/>
            <w:tcBorders>
              <w:bottom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eastAsia"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对转让船舶证书的船舶所有者或经营者处五百元以下罚款；对借用证书的船舶所有者或经营处船价一倍以下罚款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8" w:hRule="atLeast"/>
          <w:jc w:val="center"/>
        </w:trPr>
        <w:tc>
          <w:tcPr>
            <w:tcW w:w="421" w:type="dxa"/>
            <w:vMerge w:val="continue"/>
            <w:tcBorders>
              <w:bottom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eastAsia" w:ascii="仿宋_GB2312" w:hAnsi="仿宋_GB2312" w:eastAsia="仿宋_GB2312" w:cs="仿宋_GB2312"/>
                <w:color w:val="000000"/>
                <w:kern w:val="0"/>
                <w:sz w:val="21"/>
                <w:szCs w:val="21"/>
                <w:lang w:val="en-US" w:eastAsia="zh-CN"/>
              </w:rPr>
            </w:pPr>
          </w:p>
        </w:tc>
        <w:tc>
          <w:tcPr>
            <w:tcW w:w="1211" w:type="dxa"/>
            <w:vMerge w:val="continue"/>
            <w:tcBorders>
              <w:bottom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p>
        </w:tc>
        <w:tc>
          <w:tcPr>
            <w:tcW w:w="3507" w:type="dxa"/>
            <w:vMerge w:val="continue"/>
            <w:tcBorders>
              <w:bottom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p>
        </w:tc>
        <w:tc>
          <w:tcPr>
            <w:tcW w:w="759" w:type="dxa"/>
            <w:tcBorders>
              <w:top w:val="single" w:color="auto" w:sz="4" w:space="0"/>
              <w:bottom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eastAsia"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严重</w:t>
            </w:r>
          </w:p>
        </w:tc>
        <w:tc>
          <w:tcPr>
            <w:tcW w:w="2513" w:type="dxa"/>
            <w:tcBorders>
              <w:top w:val="single" w:color="auto" w:sz="4" w:space="0"/>
              <w:bottom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eastAsia"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借用者违反禁渔期、禁渔区规定，或使用禁用的工具、方法进行捕捞</w:t>
            </w:r>
          </w:p>
        </w:tc>
        <w:tc>
          <w:tcPr>
            <w:tcW w:w="5589" w:type="dxa"/>
            <w:tcBorders>
              <w:top w:val="single" w:color="auto" w:sz="4" w:space="0"/>
              <w:bottom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eastAsia"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对转让船舶证书的船舶所有者或经营者处五百元以上不超过一千元罚款；对借用证书的船舶所有者或经营处船价一倍以上不超过二倍罚款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21" w:hRule="atLeast"/>
          <w:jc w:val="center"/>
        </w:trPr>
        <w:tc>
          <w:tcPr>
            <w:tcW w:w="421" w:type="dxa"/>
            <w:vMerge w:val="restart"/>
            <w:tcBorders>
              <w:top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r>
              <w:rPr>
                <w:rFonts w:hint="eastAsia" w:ascii="仿宋_GB2312" w:hAnsi="仿宋_GB2312" w:eastAsia="仿宋_GB2312" w:cs="仿宋_GB2312"/>
                <w:color w:val="000000"/>
                <w:kern w:val="0"/>
                <w:sz w:val="21"/>
                <w:szCs w:val="21"/>
                <w:lang w:val="en-US" w:eastAsia="zh-CN"/>
              </w:rPr>
              <w:t>30</w:t>
            </w:r>
          </w:p>
        </w:tc>
        <w:tc>
          <w:tcPr>
            <w:tcW w:w="1211" w:type="dxa"/>
            <w:vMerge w:val="restart"/>
            <w:tcBorders>
              <w:top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以欺骗、贿赂等不正当手段为中国籍渔业船舶取得相关证书、文书</w:t>
            </w:r>
          </w:p>
        </w:tc>
        <w:tc>
          <w:tcPr>
            <w:tcW w:w="3507" w:type="dxa"/>
            <w:vMerge w:val="restart"/>
            <w:tcBorders>
              <w:top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中华人民共和国海上交通安全法》第九十八条以欺骗、贿赂等不正当手段为中国籍船舶取得相关证书、文书的，由海事管理机构撤销有关许可，没收相关证书、文书，对船舶所有人、经营人或者管理人处四万元以上四十万元以下的罚款。以欺骗、贿赂等不正当手段取得船员适任证书的，由海事管理机构撤销有关许可，没收船员适任证书，对责任人员处五千元以上五万元以下的罚款。</w:t>
            </w:r>
          </w:p>
        </w:tc>
        <w:tc>
          <w:tcPr>
            <w:tcW w:w="759" w:type="dxa"/>
            <w:tcBorders>
              <w:top w:val="single" w:color="auto" w:sz="4" w:space="0"/>
              <w:bottom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eastAsia"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一般</w:t>
            </w:r>
          </w:p>
        </w:tc>
        <w:tc>
          <w:tcPr>
            <w:tcW w:w="2513" w:type="dxa"/>
            <w:tcBorders>
              <w:top w:val="single" w:color="auto" w:sz="4" w:space="0"/>
              <w:bottom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eastAsia"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以欺骗、贿赂等不正当手段为中国籍渔业船舶取得除渔业船舶检验证书、渔业船舶所有权登记证书和渔业船舶国籍证书外的证书、文书</w:t>
            </w:r>
          </w:p>
        </w:tc>
        <w:tc>
          <w:tcPr>
            <w:tcW w:w="5589" w:type="dxa"/>
            <w:tcBorders>
              <w:top w:val="single" w:color="auto" w:sz="4" w:space="0"/>
              <w:bottom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eastAsia"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撤销有关许可，没收相关证书、文书，对船舶所有人、经营人或者管理人处四万元以上二十万元以下罚款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81" w:hRule="atLeast"/>
          <w:jc w:val="center"/>
        </w:trPr>
        <w:tc>
          <w:tcPr>
            <w:tcW w:w="421" w:type="dxa"/>
            <w:vMerge w:val="continue"/>
            <w:tcBorders>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eastAsia" w:ascii="仿宋_GB2312" w:hAnsi="仿宋_GB2312" w:eastAsia="仿宋_GB2312" w:cs="仿宋_GB2312"/>
                <w:color w:val="000000"/>
                <w:kern w:val="0"/>
                <w:sz w:val="21"/>
                <w:szCs w:val="21"/>
                <w:lang w:val="en-US" w:eastAsia="zh-CN"/>
              </w:rPr>
            </w:pPr>
          </w:p>
        </w:tc>
        <w:tc>
          <w:tcPr>
            <w:tcW w:w="1211" w:type="dxa"/>
            <w:vMerge w:val="continue"/>
            <w:tcBorders>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p>
        </w:tc>
        <w:tc>
          <w:tcPr>
            <w:tcW w:w="3507" w:type="dxa"/>
            <w:vMerge w:val="continue"/>
            <w:tcBorders>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p>
        </w:tc>
        <w:tc>
          <w:tcPr>
            <w:tcW w:w="759" w:type="dxa"/>
            <w:tcBorders>
              <w:top w:val="single" w:color="auto" w:sz="4" w:space="0"/>
              <w:bottom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严重</w:t>
            </w:r>
          </w:p>
        </w:tc>
        <w:tc>
          <w:tcPr>
            <w:tcW w:w="2513" w:type="dxa"/>
            <w:tcBorders>
              <w:top w:val="single" w:color="auto" w:sz="4" w:space="0"/>
              <w:bottom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以欺骗、贿赂等不正当手段为中国籍渔业船舶取得渔业船舶检验证书、渔业船舶所有权登记证书或渔业船舶国籍证书</w:t>
            </w:r>
          </w:p>
        </w:tc>
        <w:tc>
          <w:tcPr>
            <w:tcW w:w="5589" w:type="dxa"/>
            <w:tcBorders>
              <w:top w:val="single" w:color="auto" w:sz="4" w:space="0"/>
              <w:bottom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撤销有关许可，没收相关证书、文书，对船舶所有人、经营人或者管理人处二十万元以上不超过四十万元罚款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81" w:hRule="atLeast"/>
          <w:jc w:val="center"/>
        </w:trPr>
        <w:tc>
          <w:tcPr>
            <w:tcW w:w="421" w:type="dxa"/>
            <w:tcBorders>
              <w:bottom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r>
              <w:rPr>
                <w:rFonts w:hint="eastAsia" w:ascii="仿宋_GB2312" w:hAnsi="仿宋_GB2312" w:eastAsia="仿宋_GB2312" w:cs="仿宋_GB2312"/>
                <w:color w:val="000000"/>
                <w:kern w:val="0"/>
                <w:sz w:val="21"/>
                <w:szCs w:val="21"/>
                <w:lang w:val="en-US" w:eastAsia="zh-CN"/>
              </w:rPr>
              <w:t>31</w:t>
            </w:r>
          </w:p>
        </w:tc>
        <w:tc>
          <w:tcPr>
            <w:tcW w:w="1211" w:type="dxa"/>
            <w:tcBorders>
              <w:bottom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渔业船舶未经检验、未取得渔业船舶检验证书擅自下水作业</w:t>
            </w:r>
          </w:p>
        </w:tc>
        <w:tc>
          <w:tcPr>
            <w:tcW w:w="3507" w:type="dxa"/>
            <w:tcBorders>
              <w:bottom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《中华人民共和国渔业船舶检验条例》第三十二条第一款</w:t>
            </w:r>
            <w:r>
              <w:rPr>
                <w:rFonts w:hint="default" w:ascii="仿宋_GB2312" w:hAnsi="仿宋_GB2312" w:eastAsia="仿宋_GB2312" w:cs="仿宋_GB2312"/>
                <w:color w:val="000000"/>
                <w:kern w:val="0"/>
                <w:sz w:val="21"/>
                <w:szCs w:val="21"/>
                <w:lang w:val="en-US" w:eastAsia="zh-CN"/>
              </w:rPr>
              <w:br w:type="textWrapping"/>
            </w:r>
            <w:r>
              <w:rPr>
                <w:rFonts w:hint="default" w:ascii="仿宋_GB2312" w:hAnsi="仿宋_GB2312" w:eastAsia="仿宋_GB2312" w:cs="仿宋_GB2312"/>
                <w:color w:val="000000"/>
                <w:kern w:val="0"/>
                <w:sz w:val="21"/>
                <w:szCs w:val="21"/>
                <w:lang w:val="en-US" w:eastAsia="zh-CN"/>
              </w:rPr>
              <w:t>违反本条例规定，渔业船舶未经检验、未取得渔业船舶检验证书擅自下水作业的，没收该渔业船舶。</w:t>
            </w:r>
          </w:p>
        </w:tc>
        <w:tc>
          <w:tcPr>
            <w:tcW w:w="759" w:type="dxa"/>
            <w:tcBorders>
              <w:top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p>
        </w:tc>
        <w:tc>
          <w:tcPr>
            <w:tcW w:w="2513" w:type="dxa"/>
            <w:tcBorders>
              <w:top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p>
        </w:tc>
        <w:tc>
          <w:tcPr>
            <w:tcW w:w="5589" w:type="dxa"/>
            <w:tcBorders>
              <w:top w:val="single" w:color="auto" w:sz="4" w:space="0"/>
              <w:bottom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没收该渔业船舶</w:t>
            </w:r>
          </w:p>
        </w:tc>
      </w:tr>
    </w:tbl>
    <w:p>
      <w:pPr>
        <w:pStyle w:val="2"/>
      </w:pPr>
    </w:p>
    <w:tbl>
      <w:tblPr>
        <w:tblStyle w:val="7"/>
        <w:tblW w:w="140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21"/>
        <w:gridCol w:w="1211"/>
        <w:gridCol w:w="3507"/>
        <w:gridCol w:w="759"/>
        <w:gridCol w:w="2513"/>
        <w:gridCol w:w="558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tblHeader/>
          <w:jc w:val="center"/>
        </w:trPr>
        <w:tc>
          <w:tcPr>
            <w:tcW w:w="421"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黑体" w:hAnsi="黑体" w:eastAsia="黑体" w:cs="黑体"/>
                <w:color w:val="000000"/>
                <w:sz w:val="24"/>
                <w:szCs w:val="24"/>
              </w:rPr>
            </w:pPr>
            <w:r>
              <w:rPr>
                <w:rFonts w:hint="eastAsia" w:ascii="黑体" w:hAnsi="黑体" w:eastAsia="黑体" w:cs="黑体"/>
                <w:color w:val="000000"/>
                <w:kern w:val="0"/>
                <w:sz w:val="24"/>
                <w:szCs w:val="24"/>
              </w:rPr>
              <w:t>序号</w:t>
            </w:r>
          </w:p>
        </w:tc>
        <w:tc>
          <w:tcPr>
            <w:tcW w:w="1211"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黑体" w:hAnsi="黑体" w:eastAsia="黑体" w:cs="黑体"/>
                <w:color w:val="000000"/>
                <w:sz w:val="24"/>
                <w:szCs w:val="24"/>
              </w:rPr>
            </w:pPr>
            <w:r>
              <w:rPr>
                <w:rFonts w:hint="eastAsia" w:ascii="黑体" w:hAnsi="黑体" w:eastAsia="黑体" w:cs="黑体"/>
                <w:color w:val="000000"/>
                <w:kern w:val="0"/>
                <w:sz w:val="24"/>
                <w:szCs w:val="24"/>
              </w:rPr>
              <w:t>违法行为</w:t>
            </w:r>
          </w:p>
        </w:tc>
        <w:tc>
          <w:tcPr>
            <w:tcW w:w="3507"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黑体" w:hAnsi="黑体" w:eastAsia="黑体" w:cs="黑体"/>
                <w:color w:val="000000"/>
                <w:sz w:val="24"/>
                <w:szCs w:val="24"/>
              </w:rPr>
            </w:pPr>
            <w:r>
              <w:rPr>
                <w:rFonts w:hint="eastAsia" w:ascii="黑体" w:hAnsi="黑体" w:eastAsia="黑体" w:cs="黑体"/>
                <w:color w:val="000000"/>
                <w:kern w:val="0"/>
                <w:sz w:val="24"/>
                <w:szCs w:val="24"/>
              </w:rPr>
              <w:t>处罚依据</w:t>
            </w:r>
          </w:p>
        </w:tc>
        <w:tc>
          <w:tcPr>
            <w:tcW w:w="759"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黑体" w:hAnsi="黑体" w:eastAsia="黑体" w:cs="黑体"/>
                <w:color w:val="000000"/>
                <w:sz w:val="24"/>
                <w:szCs w:val="24"/>
              </w:rPr>
            </w:pPr>
            <w:r>
              <w:rPr>
                <w:rFonts w:hint="eastAsia" w:ascii="黑体" w:hAnsi="黑体" w:eastAsia="黑体" w:cs="黑体"/>
                <w:color w:val="000000"/>
                <w:kern w:val="0"/>
                <w:sz w:val="24"/>
                <w:szCs w:val="24"/>
              </w:rPr>
              <w:t>违法程度</w:t>
            </w:r>
          </w:p>
        </w:tc>
        <w:tc>
          <w:tcPr>
            <w:tcW w:w="2513"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黑体" w:hAnsi="黑体" w:eastAsia="黑体" w:cs="黑体"/>
                <w:color w:val="000000"/>
                <w:sz w:val="24"/>
                <w:szCs w:val="24"/>
              </w:rPr>
            </w:pPr>
            <w:r>
              <w:rPr>
                <w:rFonts w:hint="eastAsia" w:ascii="黑体" w:hAnsi="黑体" w:eastAsia="黑体" w:cs="黑体"/>
                <w:color w:val="000000"/>
                <w:kern w:val="0"/>
                <w:sz w:val="24"/>
                <w:szCs w:val="24"/>
              </w:rPr>
              <w:t>违法情节</w:t>
            </w:r>
          </w:p>
        </w:tc>
        <w:tc>
          <w:tcPr>
            <w:tcW w:w="5589"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黑体" w:hAnsi="黑体" w:eastAsia="黑体" w:cs="黑体"/>
                <w:color w:val="000000"/>
                <w:sz w:val="24"/>
                <w:szCs w:val="24"/>
              </w:rPr>
            </w:pPr>
            <w:r>
              <w:rPr>
                <w:rFonts w:hint="eastAsia" w:ascii="黑体" w:hAnsi="黑体" w:eastAsia="黑体" w:cs="黑体"/>
                <w:color w:val="000000"/>
                <w:kern w:val="0"/>
                <w:sz w:val="24"/>
                <w:szCs w:val="24"/>
              </w:rPr>
              <w:t>裁量标准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5" w:hRule="atLeast"/>
          <w:jc w:val="center"/>
        </w:trPr>
        <w:tc>
          <w:tcPr>
            <w:tcW w:w="421" w:type="dxa"/>
            <w:vMerge w:val="restart"/>
            <w:tcBorders>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r>
              <w:rPr>
                <w:rFonts w:hint="eastAsia" w:ascii="仿宋_GB2312" w:hAnsi="仿宋_GB2312" w:eastAsia="仿宋_GB2312" w:cs="仿宋_GB2312"/>
                <w:color w:val="000000"/>
                <w:kern w:val="0"/>
                <w:sz w:val="21"/>
                <w:szCs w:val="21"/>
                <w:lang w:val="en-US" w:eastAsia="zh-CN"/>
              </w:rPr>
              <w:t>32</w:t>
            </w:r>
          </w:p>
        </w:tc>
        <w:tc>
          <w:tcPr>
            <w:tcW w:w="1211" w:type="dxa"/>
            <w:vMerge w:val="restart"/>
            <w:tcBorders>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按照规定应当报废的渔业船舶继续作业</w:t>
            </w:r>
          </w:p>
        </w:tc>
        <w:tc>
          <w:tcPr>
            <w:tcW w:w="3507" w:type="dxa"/>
            <w:vMerge w:val="restart"/>
            <w:tcBorders>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eastAsia"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《中华人民共和国渔业船舶检验条例》第三十二条第二款</w:t>
            </w:r>
            <w:r>
              <w:rPr>
                <w:rFonts w:hint="default" w:ascii="仿宋_GB2312" w:hAnsi="仿宋_GB2312" w:eastAsia="仿宋_GB2312" w:cs="仿宋_GB2312"/>
                <w:color w:val="000000"/>
                <w:kern w:val="0"/>
                <w:sz w:val="21"/>
                <w:szCs w:val="21"/>
                <w:lang w:val="en-US" w:eastAsia="zh-CN"/>
              </w:rPr>
              <w:br w:type="textWrapping"/>
            </w:r>
            <w:r>
              <w:rPr>
                <w:rFonts w:hint="default" w:ascii="仿宋_GB2312" w:hAnsi="仿宋_GB2312" w:eastAsia="仿宋_GB2312" w:cs="仿宋_GB2312"/>
                <w:color w:val="000000"/>
                <w:kern w:val="0"/>
                <w:sz w:val="21"/>
                <w:szCs w:val="21"/>
                <w:lang w:val="en-US" w:eastAsia="zh-CN"/>
              </w:rPr>
              <w:t>按照规定应当报废的渔业船舶继续作业的，责令立即停止作业，收缴失效的渔业船舶检验证书，强制拆解应当报废的渔业船舶，并处2000元以上5万元以下的罚款；构成犯罪的，依法追究刑事责任。</w:t>
            </w:r>
          </w:p>
        </w:tc>
        <w:tc>
          <w:tcPr>
            <w:tcW w:w="759" w:type="dxa"/>
            <w:tcBorders>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eastAsia"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较轻</w:t>
            </w:r>
          </w:p>
        </w:tc>
        <w:tc>
          <w:tcPr>
            <w:tcW w:w="2513" w:type="dxa"/>
            <w:tcBorders>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eastAsia"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渔业船舶检验证书失效六个月以下</w:t>
            </w:r>
          </w:p>
        </w:tc>
        <w:tc>
          <w:tcPr>
            <w:tcW w:w="5589" w:type="dxa"/>
            <w:tcBorders>
              <w:bottom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eastAsia"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责令立即停止作业，收缴失效的渔业船舶检验证书，强制拆解应当报废的渔业船舶，并处二千元以上一万八千元以下罚款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2" w:hRule="atLeast"/>
          <w:jc w:val="center"/>
        </w:trPr>
        <w:tc>
          <w:tcPr>
            <w:tcW w:w="421" w:type="dxa"/>
            <w:vMerge w:val="continue"/>
            <w:tcBorders>
              <w:bottom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eastAsia" w:ascii="仿宋_GB2312" w:hAnsi="仿宋_GB2312" w:eastAsia="仿宋_GB2312" w:cs="仿宋_GB2312"/>
                <w:color w:val="000000"/>
                <w:kern w:val="0"/>
                <w:sz w:val="21"/>
                <w:szCs w:val="21"/>
                <w:lang w:val="en-US" w:eastAsia="zh-CN"/>
              </w:rPr>
            </w:pPr>
          </w:p>
        </w:tc>
        <w:tc>
          <w:tcPr>
            <w:tcW w:w="1211" w:type="dxa"/>
            <w:vMerge w:val="continue"/>
            <w:tcBorders>
              <w:bottom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p>
        </w:tc>
        <w:tc>
          <w:tcPr>
            <w:tcW w:w="3507" w:type="dxa"/>
            <w:vMerge w:val="continue"/>
            <w:tcBorders>
              <w:bottom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p>
        </w:tc>
        <w:tc>
          <w:tcPr>
            <w:tcW w:w="759" w:type="dxa"/>
            <w:tcBorders>
              <w:top w:val="single" w:color="auto" w:sz="4" w:space="0"/>
              <w:bottom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eastAsia"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一般</w:t>
            </w:r>
          </w:p>
        </w:tc>
        <w:tc>
          <w:tcPr>
            <w:tcW w:w="2513" w:type="dxa"/>
            <w:tcBorders>
              <w:top w:val="single" w:color="auto" w:sz="4" w:space="0"/>
              <w:bottom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eastAsia"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渔业船舶检验证书失效六个月以上</w:t>
            </w:r>
            <w:r>
              <w:rPr>
                <w:rFonts w:hint="default" w:ascii="仿宋_GB2312" w:hAnsi="仿宋_GB2312" w:eastAsia="仿宋_GB2312" w:cs="仿宋_GB2312"/>
                <w:color w:val="000000"/>
                <w:kern w:val="0"/>
                <w:sz w:val="21"/>
                <w:szCs w:val="21"/>
                <w:lang w:val="en-US" w:eastAsia="zh-CN"/>
              </w:rPr>
              <w:br w:type="textWrapping"/>
            </w:r>
            <w:r>
              <w:rPr>
                <w:rFonts w:hint="default" w:ascii="仿宋_GB2312" w:hAnsi="仿宋_GB2312" w:eastAsia="仿宋_GB2312" w:cs="仿宋_GB2312"/>
                <w:color w:val="000000"/>
                <w:kern w:val="0"/>
                <w:sz w:val="21"/>
                <w:szCs w:val="21"/>
                <w:lang w:val="en-US" w:eastAsia="zh-CN"/>
              </w:rPr>
              <w:t>十二个月以下</w:t>
            </w:r>
          </w:p>
        </w:tc>
        <w:tc>
          <w:tcPr>
            <w:tcW w:w="5589" w:type="dxa"/>
            <w:tcBorders>
              <w:top w:val="single" w:color="auto" w:sz="4" w:space="0"/>
              <w:bottom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eastAsia"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责令立即停止作业，收缴失效的渔业船舶检验证书，强制拆解应当报废的渔业船舶，并处一万八千元以上三万四千元以下罚款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9" w:hRule="atLeast"/>
          <w:jc w:val="center"/>
        </w:trPr>
        <w:tc>
          <w:tcPr>
            <w:tcW w:w="421" w:type="dxa"/>
            <w:vMerge w:val="continue"/>
            <w:tcBorders>
              <w:bottom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eastAsia" w:ascii="仿宋_GB2312" w:hAnsi="仿宋_GB2312" w:eastAsia="仿宋_GB2312" w:cs="仿宋_GB2312"/>
                <w:color w:val="000000"/>
                <w:kern w:val="0"/>
                <w:sz w:val="21"/>
                <w:szCs w:val="21"/>
                <w:lang w:val="en-US" w:eastAsia="zh-CN"/>
              </w:rPr>
            </w:pPr>
          </w:p>
        </w:tc>
        <w:tc>
          <w:tcPr>
            <w:tcW w:w="1211" w:type="dxa"/>
            <w:vMerge w:val="continue"/>
            <w:tcBorders>
              <w:bottom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p>
        </w:tc>
        <w:tc>
          <w:tcPr>
            <w:tcW w:w="3507" w:type="dxa"/>
            <w:vMerge w:val="continue"/>
            <w:tcBorders>
              <w:bottom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p>
        </w:tc>
        <w:tc>
          <w:tcPr>
            <w:tcW w:w="759" w:type="dxa"/>
            <w:tcBorders>
              <w:top w:val="single" w:color="auto" w:sz="4" w:space="0"/>
              <w:bottom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eastAsia"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严重</w:t>
            </w:r>
          </w:p>
        </w:tc>
        <w:tc>
          <w:tcPr>
            <w:tcW w:w="2513" w:type="dxa"/>
            <w:tcBorders>
              <w:top w:val="single" w:color="auto" w:sz="4" w:space="0"/>
              <w:bottom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eastAsia"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渔业船舶检验证书失效十二个月以上</w:t>
            </w:r>
          </w:p>
        </w:tc>
        <w:tc>
          <w:tcPr>
            <w:tcW w:w="5589" w:type="dxa"/>
            <w:tcBorders>
              <w:top w:val="single" w:color="auto" w:sz="4" w:space="0"/>
              <w:bottom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eastAsia"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责令立即停止作业，收缴失效的渔业船舶检验证书，强制拆解应当报废的渔业船舶，并处三万四千元以上不超过五万元罚款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2" w:hRule="atLeast"/>
          <w:jc w:val="center"/>
        </w:trPr>
        <w:tc>
          <w:tcPr>
            <w:tcW w:w="421" w:type="dxa"/>
            <w:vMerge w:val="restart"/>
            <w:tcBorders>
              <w:top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r>
              <w:rPr>
                <w:rFonts w:hint="eastAsia" w:ascii="仿宋_GB2312" w:hAnsi="仿宋_GB2312" w:eastAsia="仿宋_GB2312" w:cs="仿宋_GB2312"/>
                <w:color w:val="000000"/>
                <w:kern w:val="0"/>
                <w:sz w:val="21"/>
                <w:szCs w:val="21"/>
                <w:lang w:val="en-US" w:eastAsia="zh-CN"/>
              </w:rPr>
              <w:t>33</w:t>
            </w:r>
          </w:p>
        </w:tc>
        <w:tc>
          <w:tcPr>
            <w:tcW w:w="1211" w:type="dxa"/>
            <w:vMerge w:val="restart"/>
            <w:tcBorders>
              <w:top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渔业船舶应当申报营运检验或者临时检验而不申报</w:t>
            </w:r>
          </w:p>
        </w:tc>
        <w:tc>
          <w:tcPr>
            <w:tcW w:w="3507" w:type="dxa"/>
            <w:vMerge w:val="restart"/>
            <w:tcBorders>
              <w:top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中华人民共和国渔业船舶检验条例》第三十三条违反本条例规定，渔业船舶应当申报营运检验或者临时检验而不申报的，责令立即停止作业，限期申报检验；逾期仍不申报检验的，处1000元以上1万元以下的罚款，并可以暂扣渔业船舶检验证书。</w:t>
            </w:r>
          </w:p>
        </w:tc>
        <w:tc>
          <w:tcPr>
            <w:tcW w:w="759" w:type="dxa"/>
            <w:tcBorders>
              <w:top w:val="single" w:color="auto" w:sz="4" w:space="0"/>
              <w:bottom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eastAsia"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较轻</w:t>
            </w:r>
          </w:p>
        </w:tc>
        <w:tc>
          <w:tcPr>
            <w:tcW w:w="2513" w:type="dxa"/>
            <w:tcBorders>
              <w:top w:val="single" w:color="auto" w:sz="4" w:space="0"/>
              <w:bottom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eastAsia"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逾期申报一个月以下</w:t>
            </w:r>
          </w:p>
        </w:tc>
        <w:tc>
          <w:tcPr>
            <w:tcW w:w="5589" w:type="dxa"/>
            <w:tcBorders>
              <w:top w:val="single" w:color="auto" w:sz="4" w:space="0"/>
              <w:bottom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eastAsia"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责令停止作业，限期申报检验；逾期仍不申报检验的，处一千元以上四千元以下罚款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jc w:val="center"/>
        </w:trPr>
        <w:tc>
          <w:tcPr>
            <w:tcW w:w="421" w:type="dxa"/>
            <w:vMerge w:val="continue"/>
            <w:tcBorders>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p>
        </w:tc>
        <w:tc>
          <w:tcPr>
            <w:tcW w:w="1211" w:type="dxa"/>
            <w:vMerge w:val="continue"/>
            <w:tcBorders>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p>
        </w:tc>
        <w:tc>
          <w:tcPr>
            <w:tcW w:w="3507" w:type="dxa"/>
            <w:vMerge w:val="continue"/>
            <w:tcBorders>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p>
        </w:tc>
        <w:tc>
          <w:tcPr>
            <w:tcW w:w="759" w:type="dxa"/>
            <w:tcBorders>
              <w:top w:val="single" w:color="auto" w:sz="4" w:space="0"/>
              <w:bottom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eastAsia"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一般</w:t>
            </w:r>
          </w:p>
        </w:tc>
        <w:tc>
          <w:tcPr>
            <w:tcW w:w="2513" w:type="dxa"/>
            <w:tcBorders>
              <w:top w:val="single" w:color="auto" w:sz="4" w:space="0"/>
              <w:bottom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eastAsia"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逾期申报一个月以上三个月以下</w:t>
            </w:r>
          </w:p>
        </w:tc>
        <w:tc>
          <w:tcPr>
            <w:tcW w:w="5589" w:type="dxa"/>
            <w:tcBorders>
              <w:top w:val="single" w:color="auto" w:sz="4" w:space="0"/>
              <w:bottom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eastAsia"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责令立即停止作业，限期申报检验；逾期仍不申报检验的，处四千元以上不超过七千元罚款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7" w:hRule="atLeast"/>
          <w:jc w:val="center"/>
        </w:trPr>
        <w:tc>
          <w:tcPr>
            <w:tcW w:w="421" w:type="dxa"/>
            <w:vMerge w:val="continue"/>
            <w:tcBorders>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eastAsia" w:ascii="仿宋_GB2312" w:hAnsi="仿宋_GB2312" w:eastAsia="仿宋_GB2312" w:cs="仿宋_GB2312"/>
                <w:color w:val="000000"/>
                <w:kern w:val="0"/>
                <w:sz w:val="21"/>
                <w:szCs w:val="21"/>
                <w:lang w:val="en-US" w:eastAsia="zh-CN"/>
              </w:rPr>
            </w:pPr>
          </w:p>
        </w:tc>
        <w:tc>
          <w:tcPr>
            <w:tcW w:w="1211" w:type="dxa"/>
            <w:vMerge w:val="continue"/>
            <w:tcBorders>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p>
        </w:tc>
        <w:tc>
          <w:tcPr>
            <w:tcW w:w="3507" w:type="dxa"/>
            <w:vMerge w:val="continue"/>
            <w:tcBorders>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p>
        </w:tc>
        <w:tc>
          <w:tcPr>
            <w:tcW w:w="759" w:type="dxa"/>
            <w:tcBorders>
              <w:top w:val="single" w:color="auto" w:sz="4" w:space="0"/>
              <w:bottom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严重</w:t>
            </w:r>
          </w:p>
        </w:tc>
        <w:tc>
          <w:tcPr>
            <w:tcW w:w="2513" w:type="dxa"/>
            <w:tcBorders>
              <w:top w:val="single" w:color="auto" w:sz="4" w:space="0"/>
              <w:bottom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逾期申报三个月以上</w:t>
            </w:r>
          </w:p>
        </w:tc>
        <w:tc>
          <w:tcPr>
            <w:tcW w:w="5589" w:type="dxa"/>
            <w:tcBorders>
              <w:top w:val="single" w:color="auto" w:sz="4" w:space="0"/>
              <w:bottom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责令立即停止作业，限期申报检验；逾期仍不申报检验的，处七千元以上不超过一万元罚款，并可以暂扣渔业船舶检验证书</w:t>
            </w:r>
          </w:p>
        </w:tc>
      </w:tr>
    </w:tbl>
    <w:p>
      <w:pPr>
        <w:pStyle w:val="2"/>
      </w:pPr>
    </w:p>
    <w:p>
      <w:pPr>
        <w:pStyle w:val="2"/>
      </w:pPr>
    </w:p>
    <w:p>
      <w:pPr>
        <w:pStyle w:val="2"/>
      </w:pPr>
    </w:p>
    <w:p>
      <w:pPr>
        <w:pStyle w:val="2"/>
      </w:pPr>
    </w:p>
    <w:p>
      <w:pPr>
        <w:pStyle w:val="2"/>
      </w:pPr>
    </w:p>
    <w:p>
      <w:pPr>
        <w:pStyle w:val="2"/>
      </w:pPr>
    </w:p>
    <w:p>
      <w:pPr>
        <w:pStyle w:val="2"/>
      </w:pPr>
    </w:p>
    <w:p>
      <w:pPr>
        <w:pStyle w:val="2"/>
      </w:pPr>
    </w:p>
    <w:tbl>
      <w:tblPr>
        <w:tblStyle w:val="7"/>
        <w:tblW w:w="140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21"/>
        <w:gridCol w:w="1211"/>
        <w:gridCol w:w="4959"/>
        <w:gridCol w:w="740"/>
        <w:gridCol w:w="2123"/>
        <w:gridCol w:w="45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20" w:hRule="atLeast"/>
          <w:tblHeader/>
          <w:jc w:val="center"/>
        </w:trPr>
        <w:tc>
          <w:tcPr>
            <w:tcW w:w="421"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黑体" w:hAnsi="黑体" w:eastAsia="黑体" w:cs="黑体"/>
                <w:color w:val="000000"/>
                <w:sz w:val="24"/>
                <w:szCs w:val="24"/>
              </w:rPr>
            </w:pPr>
            <w:r>
              <w:rPr>
                <w:rFonts w:hint="eastAsia" w:ascii="黑体" w:hAnsi="黑体" w:eastAsia="黑体" w:cs="黑体"/>
                <w:color w:val="000000"/>
                <w:kern w:val="0"/>
                <w:sz w:val="24"/>
                <w:szCs w:val="24"/>
              </w:rPr>
              <w:t>序号</w:t>
            </w:r>
          </w:p>
        </w:tc>
        <w:tc>
          <w:tcPr>
            <w:tcW w:w="1211"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黑体" w:hAnsi="黑体" w:eastAsia="黑体" w:cs="黑体"/>
                <w:color w:val="000000"/>
                <w:sz w:val="24"/>
                <w:szCs w:val="24"/>
              </w:rPr>
            </w:pPr>
            <w:r>
              <w:rPr>
                <w:rFonts w:hint="eastAsia" w:ascii="黑体" w:hAnsi="黑体" w:eastAsia="黑体" w:cs="黑体"/>
                <w:color w:val="000000"/>
                <w:kern w:val="0"/>
                <w:sz w:val="24"/>
                <w:szCs w:val="24"/>
              </w:rPr>
              <w:t>违法行为</w:t>
            </w:r>
          </w:p>
        </w:tc>
        <w:tc>
          <w:tcPr>
            <w:tcW w:w="4959"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黑体" w:hAnsi="黑体" w:eastAsia="黑体" w:cs="黑体"/>
                <w:color w:val="000000"/>
                <w:sz w:val="24"/>
                <w:szCs w:val="24"/>
              </w:rPr>
            </w:pPr>
            <w:r>
              <w:rPr>
                <w:rFonts w:hint="eastAsia" w:ascii="黑体" w:hAnsi="黑体" w:eastAsia="黑体" w:cs="黑体"/>
                <w:color w:val="000000"/>
                <w:kern w:val="0"/>
                <w:sz w:val="24"/>
                <w:szCs w:val="24"/>
              </w:rPr>
              <w:t>处罚依据</w:t>
            </w:r>
          </w:p>
        </w:tc>
        <w:tc>
          <w:tcPr>
            <w:tcW w:w="740"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黑体" w:hAnsi="黑体" w:eastAsia="黑体" w:cs="黑体"/>
                <w:color w:val="000000"/>
                <w:sz w:val="24"/>
                <w:szCs w:val="24"/>
              </w:rPr>
            </w:pPr>
            <w:r>
              <w:rPr>
                <w:rFonts w:hint="eastAsia" w:ascii="黑体" w:hAnsi="黑体" w:eastAsia="黑体" w:cs="黑体"/>
                <w:color w:val="000000"/>
                <w:kern w:val="0"/>
                <w:sz w:val="24"/>
                <w:szCs w:val="24"/>
              </w:rPr>
              <w:t>违法程度</w:t>
            </w:r>
          </w:p>
        </w:tc>
        <w:tc>
          <w:tcPr>
            <w:tcW w:w="2123"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黑体" w:hAnsi="黑体" w:eastAsia="黑体" w:cs="黑体"/>
                <w:color w:val="000000"/>
                <w:sz w:val="24"/>
                <w:szCs w:val="24"/>
              </w:rPr>
            </w:pPr>
            <w:r>
              <w:rPr>
                <w:rFonts w:hint="eastAsia" w:ascii="黑体" w:hAnsi="黑体" w:eastAsia="黑体" w:cs="黑体"/>
                <w:color w:val="000000"/>
                <w:kern w:val="0"/>
                <w:sz w:val="24"/>
                <w:szCs w:val="24"/>
              </w:rPr>
              <w:t>违法情节</w:t>
            </w:r>
          </w:p>
        </w:tc>
        <w:tc>
          <w:tcPr>
            <w:tcW w:w="4546"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黑体" w:hAnsi="黑体" w:eastAsia="黑体" w:cs="黑体"/>
                <w:color w:val="000000"/>
                <w:sz w:val="24"/>
                <w:szCs w:val="24"/>
              </w:rPr>
            </w:pPr>
            <w:r>
              <w:rPr>
                <w:rFonts w:hint="eastAsia" w:ascii="黑体" w:hAnsi="黑体" w:eastAsia="黑体" w:cs="黑体"/>
                <w:color w:val="000000"/>
                <w:kern w:val="0"/>
                <w:sz w:val="24"/>
                <w:szCs w:val="24"/>
              </w:rPr>
              <w:t>裁量标准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0" w:hRule="atLeast"/>
          <w:jc w:val="center"/>
        </w:trPr>
        <w:tc>
          <w:tcPr>
            <w:tcW w:w="421" w:type="dxa"/>
            <w:vMerge w:val="restart"/>
            <w:tcBorders>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r>
              <w:rPr>
                <w:rFonts w:hint="eastAsia" w:ascii="仿宋_GB2312" w:hAnsi="仿宋_GB2312" w:eastAsia="仿宋_GB2312" w:cs="仿宋_GB2312"/>
                <w:color w:val="000000"/>
                <w:kern w:val="0"/>
                <w:sz w:val="21"/>
                <w:szCs w:val="21"/>
                <w:lang w:val="en-US" w:eastAsia="zh-CN"/>
              </w:rPr>
              <w:t>34</w:t>
            </w:r>
          </w:p>
        </w:tc>
        <w:tc>
          <w:tcPr>
            <w:tcW w:w="1211" w:type="dxa"/>
            <w:vMerge w:val="restart"/>
            <w:tcBorders>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使用未经检验合格的有关航行、作业和人身财产安全以及防止污染环境的重要设备、部件和材料，制造、改造、维修渔业船舶等行为</w:t>
            </w:r>
          </w:p>
        </w:tc>
        <w:tc>
          <w:tcPr>
            <w:tcW w:w="4959" w:type="dxa"/>
            <w:vMerge w:val="restart"/>
            <w:tcBorders>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eastAsia"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中华人民共和国渔业船舶检验条例》第三十四条违反本条例规定，有下列行为之一的，责令立即改正，处2000元以上2万元以下的罚款；正在作业的，责令立即停止作业；拒不改正或者拒不停止作业的，强制拆除非法使用的重要设备、部件和材料或者暂扣渔业船舶检验证书；构成犯罪的，依法追究刑事责任：（一）使用未经检验合格的有关航行、作业和人身财产安全以及防止污染环境的重要设备、部件和材料，制造、改造、维修渔业船舶的；（二）擅自拆除渔业船舶上有关航行、作业和人身财产安全以及防止污染环境的重要设备、部件的；（三）擅自改变渔业船舶的吨位、载重线、主机功率、人员定额和适航区域的。</w:t>
            </w:r>
          </w:p>
        </w:tc>
        <w:tc>
          <w:tcPr>
            <w:tcW w:w="740" w:type="dxa"/>
            <w:tcBorders>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eastAsia"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较轻</w:t>
            </w:r>
          </w:p>
        </w:tc>
        <w:tc>
          <w:tcPr>
            <w:tcW w:w="2123" w:type="dxa"/>
            <w:tcBorders>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eastAsia"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维修渔业船舶</w:t>
            </w:r>
          </w:p>
        </w:tc>
        <w:tc>
          <w:tcPr>
            <w:tcW w:w="4546" w:type="dxa"/>
            <w:tcBorders>
              <w:bottom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eastAsia"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责令立即改正，处二千元以上八千元以下罚款；正在作业的，责令立即停止作业；拒不改正或拒不停止作业的，强制拆除非法使用的重要设备、部件和材料或暂扣渔业船舶检验证书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2" w:hRule="atLeast"/>
          <w:jc w:val="center"/>
        </w:trPr>
        <w:tc>
          <w:tcPr>
            <w:tcW w:w="421" w:type="dxa"/>
            <w:vMerge w:val="continue"/>
            <w:tcBorders>
              <w:bottom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eastAsia" w:ascii="仿宋_GB2312" w:hAnsi="仿宋_GB2312" w:eastAsia="仿宋_GB2312" w:cs="仿宋_GB2312"/>
                <w:color w:val="000000"/>
                <w:kern w:val="0"/>
                <w:sz w:val="21"/>
                <w:szCs w:val="21"/>
                <w:lang w:val="en-US" w:eastAsia="zh-CN"/>
              </w:rPr>
            </w:pPr>
          </w:p>
        </w:tc>
        <w:tc>
          <w:tcPr>
            <w:tcW w:w="1211" w:type="dxa"/>
            <w:vMerge w:val="continue"/>
            <w:tcBorders>
              <w:bottom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p>
        </w:tc>
        <w:tc>
          <w:tcPr>
            <w:tcW w:w="4959" w:type="dxa"/>
            <w:vMerge w:val="continue"/>
            <w:tcBorders>
              <w:bottom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p>
        </w:tc>
        <w:tc>
          <w:tcPr>
            <w:tcW w:w="740" w:type="dxa"/>
            <w:tcBorders>
              <w:top w:val="single" w:color="auto" w:sz="4" w:space="0"/>
              <w:bottom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eastAsia"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一般</w:t>
            </w:r>
          </w:p>
        </w:tc>
        <w:tc>
          <w:tcPr>
            <w:tcW w:w="2123" w:type="dxa"/>
            <w:tcBorders>
              <w:top w:val="single" w:color="auto" w:sz="4" w:space="0"/>
              <w:bottom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eastAsia"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改造渔业船舶</w:t>
            </w:r>
          </w:p>
        </w:tc>
        <w:tc>
          <w:tcPr>
            <w:tcW w:w="4546" w:type="dxa"/>
            <w:tcBorders>
              <w:top w:val="single" w:color="auto" w:sz="4" w:space="0"/>
              <w:bottom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eastAsia"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责令立即改正，处八千元以上一万四千元以下罚款；正在作业的，责令立即停止作业；拒不改正或拒不停止作业的，强制拆除非法使用的重要设备、部件和材料或暂扣渔业船舶检验证书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9" w:hRule="atLeast"/>
          <w:jc w:val="center"/>
        </w:trPr>
        <w:tc>
          <w:tcPr>
            <w:tcW w:w="421" w:type="dxa"/>
            <w:vMerge w:val="continue"/>
            <w:tcBorders>
              <w:bottom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eastAsia" w:ascii="仿宋_GB2312" w:hAnsi="仿宋_GB2312" w:eastAsia="仿宋_GB2312" w:cs="仿宋_GB2312"/>
                <w:color w:val="000000"/>
                <w:kern w:val="0"/>
                <w:sz w:val="21"/>
                <w:szCs w:val="21"/>
                <w:lang w:val="en-US" w:eastAsia="zh-CN"/>
              </w:rPr>
            </w:pPr>
          </w:p>
        </w:tc>
        <w:tc>
          <w:tcPr>
            <w:tcW w:w="1211" w:type="dxa"/>
            <w:vMerge w:val="continue"/>
            <w:tcBorders>
              <w:bottom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p>
        </w:tc>
        <w:tc>
          <w:tcPr>
            <w:tcW w:w="4959" w:type="dxa"/>
            <w:vMerge w:val="continue"/>
            <w:tcBorders>
              <w:bottom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p>
        </w:tc>
        <w:tc>
          <w:tcPr>
            <w:tcW w:w="740" w:type="dxa"/>
            <w:tcBorders>
              <w:top w:val="single" w:color="auto" w:sz="4" w:space="0"/>
              <w:bottom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eastAsia"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严重</w:t>
            </w:r>
          </w:p>
        </w:tc>
        <w:tc>
          <w:tcPr>
            <w:tcW w:w="2123" w:type="dxa"/>
            <w:tcBorders>
              <w:top w:val="single" w:color="auto" w:sz="4" w:space="0"/>
              <w:bottom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eastAsia"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制造渔业船舶</w:t>
            </w:r>
          </w:p>
        </w:tc>
        <w:tc>
          <w:tcPr>
            <w:tcW w:w="4546" w:type="dxa"/>
            <w:tcBorders>
              <w:top w:val="single" w:color="auto" w:sz="4" w:space="0"/>
              <w:bottom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eastAsia"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责令立即改正，处一万四千元以上不超过二万元罚款；正在作业的，责令立即停止作业；拒不改正或拒不停止作业的，强制拆除非法使用的重要设备、部件和材料或暂扣渔业船舶检验证书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33" w:hRule="atLeast"/>
          <w:jc w:val="center"/>
        </w:trPr>
        <w:tc>
          <w:tcPr>
            <w:tcW w:w="421" w:type="dxa"/>
            <w:vMerge w:val="restart"/>
            <w:tcBorders>
              <w:top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r>
              <w:rPr>
                <w:rFonts w:hint="eastAsia" w:ascii="仿宋_GB2312" w:hAnsi="仿宋_GB2312" w:eastAsia="仿宋_GB2312" w:cs="仿宋_GB2312"/>
                <w:color w:val="000000"/>
                <w:kern w:val="0"/>
                <w:sz w:val="21"/>
                <w:szCs w:val="21"/>
                <w:lang w:val="en-US" w:eastAsia="zh-CN"/>
              </w:rPr>
              <w:t>35</w:t>
            </w:r>
          </w:p>
        </w:tc>
        <w:tc>
          <w:tcPr>
            <w:tcW w:w="1211" w:type="dxa"/>
            <w:vMerge w:val="restart"/>
            <w:tcBorders>
              <w:top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渔港水域内非军事船舶没有配备、不正确填写或污损、丢弃航海日志、轮机日志</w:t>
            </w:r>
          </w:p>
        </w:tc>
        <w:tc>
          <w:tcPr>
            <w:tcW w:w="4959" w:type="dxa"/>
            <w:vMerge w:val="restart"/>
            <w:tcBorders>
              <w:top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《中华人民共和国渔业港航监督行政处罚规定》第二十条有下列行为之一的，责令其限期改正，对船舶所有者或经营者处200元以上1000元以下罚款：</w:t>
            </w:r>
            <w:r>
              <w:rPr>
                <w:rFonts w:hint="default" w:ascii="仿宋_GB2312" w:hAnsi="仿宋_GB2312" w:eastAsia="仿宋_GB2312" w:cs="仿宋_GB2312"/>
                <w:color w:val="000000"/>
                <w:kern w:val="0"/>
                <w:sz w:val="21"/>
                <w:szCs w:val="21"/>
                <w:lang w:val="en-US" w:eastAsia="zh-CN"/>
              </w:rPr>
              <w:br w:type="textWrapping"/>
            </w:r>
            <w:r>
              <w:rPr>
                <w:rFonts w:hint="default" w:ascii="仿宋_GB2312" w:hAnsi="仿宋_GB2312" w:eastAsia="仿宋_GB2312" w:cs="仿宋_GB2312"/>
                <w:color w:val="000000"/>
                <w:kern w:val="0"/>
                <w:sz w:val="21"/>
                <w:szCs w:val="21"/>
                <w:lang w:val="en-US" w:eastAsia="zh-CN"/>
              </w:rPr>
              <w:t>(一)未按规定标写船名、船号、船籍港，没有悬挂船名牌的；(二)在非紧急情况下，未经渔政渔港监督管理机关批准，滥用烟火信号、信号枪、无线电设备、号笛及其他遇险求救信号的；</w:t>
            </w:r>
            <w:r>
              <w:rPr>
                <w:rFonts w:hint="default" w:ascii="仿宋_GB2312" w:hAnsi="仿宋_GB2312" w:eastAsia="仿宋_GB2312" w:cs="仿宋_GB2312"/>
                <w:color w:val="000000"/>
                <w:kern w:val="0"/>
                <w:sz w:val="21"/>
                <w:szCs w:val="21"/>
                <w:lang w:val="en-US" w:eastAsia="zh-CN"/>
              </w:rPr>
              <w:br w:type="textWrapping"/>
            </w:r>
            <w:r>
              <w:rPr>
                <w:rFonts w:hint="default" w:ascii="仿宋_GB2312" w:hAnsi="仿宋_GB2312" w:eastAsia="仿宋_GB2312" w:cs="仿宋_GB2312"/>
                <w:color w:val="000000"/>
                <w:kern w:val="0"/>
                <w:sz w:val="21"/>
                <w:szCs w:val="21"/>
                <w:lang w:val="en-US" w:eastAsia="zh-CN"/>
              </w:rPr>
              <w:t>(三)没有配备、不正确填写或污损、丢弃航海日志、轮机日志的。</w:t>
            </w:r>
          </w:p>
        </w:tc>
        <w:tc>
          <w:tcPr>
            <w:tcW w:w="740" w:type="dxa"/>
            <w:tcBorders>
              <w:top w:val="single" w:color="auto" w:sz="4" w:space="0"/>
              <w:bottom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eastAsia"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一般</w:t>
            </w:r>
          </w:p>
        </w:tc>
        <w:tc>
          <w:tcPr>
            <w:tcW w:w="2123" w:type="dxa"/>
            <w:tcBorders>
              <w:top w:val="single" w:color="auto" w:sz="4" w:space="0"/>
              <w:bottom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eastAsia"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未影响事故调查处理</w:t>
            </w:r>
          </w:p>
        </w:tc>
        <w:tc>
          <w:tcPr>
            <w:tcW w:w="4546" w:type="dxa"/>
            <w:tcBorders>
              <w:top w:val="single" w:color="auto" w:sz="4" w:space="0"/>
              <w:bottom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eastAsia"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责令限期改正，并处二百元以上八百元以下罚款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jc w:val="center"/>
        </w:trPr>
        <w:tc>
          <w:tcPr>
            <w:tcW w:w="421" w:type="dxa"/>
            <w:vMerge w:val="continue"/>
            <w:tcBorders>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p>
        </w:tc>
        <w:tc>
          <w:tcPr>
            <w:tcW w:w="1211" w:type="dxa"/>
            <w:vMerge w:val="continue"/>
            <w:tcBorders>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p>
        </w:tc>
        <w:tc>
          <w:tcPr>
            <w:tcW w:w="4959" w:type="dxa"/>
            <w:vMerge w:val="continue"/>
            <w:tcBorders>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p>
        </w:tc>
        <w:tc>
          <w:tcPr>
            <w:tcW w:w="740" w:type="dxa"/>
            <w:tcBorders>
              <w:top w:val="single" w:color="auto" w:sz="4" w:space="0"/>
              <w:bottom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eastAsia"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严重</w:t>
            </w:r>
          </w:p>
        </w:tc>
        <w:tc>
          <w:tcPr>
            <w:tcW w:w="2123" w:type="dxa"/>
            <w:tcBorders>
              <w:top w:val="single" w:color="auto" w:sz="4" w:space="0"/>
              <w:bottom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eastAsia"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影响事故调查处理</w:t>
            </w:r>
          </w:p>
        </w:tc>
        <w:tc>
          <w:tcPr>
            <w:tcW w:w="4546" w:type="dxa"/>
            <w:tcBorders>
              <w:top w:val="single" w:color="auto" w:sz="4" w:space="0"/>
              <w:bottom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eastAsia"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责令限期改正，并处八百元以上不超过一千元罚款</w:t>
            </w:r>
          </w:p>
        </w:tc>
      </w:tr>
    </w:tbl>
    <w:p>
      <w:pPr>
        <w:pStyle w:val="2"/>
      </w:pPr>
    </w:p>
    <w:p>
      <w:pPr>
        <w:pStyle w:val="2"/>
      </w:pPr>
    </w:p>
    <w:p>
      <w:pPr>
        <w:pStyle w:val="2"/>
      </w:pPr>
    </w:p>
    <w:p>
      <w:pPr>
        <w:pStyle w:val="2"/>
      </w:pPr>
    </w:p>
    <w:tbl>
      <w:tblPr>
        <w:tblStyle w:val="7"/>
        <w:tblW w:w="140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21"/>
        <w:gridCol w:w="1506"/>
        <w:gridCol w:w="4664"/>
        <w:gridCol w:w="740"/>
        <w:gridCol w:w="2123"/>
        <w:gridCol w:w="45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tblHeader/>
          <w:jc w:val="center"/>
        </w:trPr>
        <w:tc>
          <w:tcPr>
            <w:tcW w:w="421"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黑体" w:hAnsi="黑体" w:eastAsia="黑体" w:cs="黑体"/>
                <w:color w:val="000000"/>
                <w:sz w:val="24"/>
                <w:szCs w:val="24"/>
              </w:rPr>
            </w:pPr>
            <w:r>
              <w:rPr>
                <w:rFonts w:hint="eastAsia" w:ascii="黑体" w:hAnsi="黑体" w:eastAsia="黑体" w:cs="黑体"/>
                <w:color w:val="000000"/>
                <w:kern w:val="0"/>
                <w:sz w:val="24"/>
                <w:szCs w:val="24"/>
              </w:rPr>
              <w:t>序号</w:t>
            </w:r>
          </w:p>
        </w:tc>
        <w:tc>
          <w:tcPr>
            <w:tcW w:w="1506"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黑体" w:hAnsi="黑体" w:eastAsia="黑体" w:cs="黑体"/>
                <w:color w:val="000000"/>
                <w:sz w:val="24"/>
                <w:szCs w:val="24"/>
              </w:rPr>
            </w:pPr>
            <w:r>
              <w:rPr>
                <w:rFonts w:hint="eastAsia" w:ascii="黑体" w:hAnsi="黑体" w:eastAsia="黑体" w:cs="黑体"/>
                <w:color w:val="000000"/>
                <w:kern w:val="0"/>
                <w:sz w:val="24"/>
                <w:szCs w:val="24"/>
              </w:rPr>
              <w:t>违法行为</w:t>
            </w:r>
          </w:p>
        </w:tc>
        <w:tc>
          <w:tcPr>
            <w:tcW w:w="4664"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黑体" w:hAnsi="黑体" w:eastAsia="黑体" w:cs="黑体"/>
                <w:color w:val="000000"/>
                <w:sz w:val="24"/>
                <w:szCs w:val="24"/>
              </w:rPr>
            </w:pPr>
            <w:r>
              <w:rPr>
                <w:rFonts w:hint="eastAsia" w:ascii="黑体" w:hAnsi="黑体" w:eastAsia="黑体" w:cs="黑体"/>
                <w:color w:val="000000"/>
                <w:kern w:val="0"/>
                <w:sz w:val="24"/>
                <w:szCs w:val="24"/>
              </w:rPr>
              <w:t>处罚依据</w:t>
            </w:r>
          </w:p>
        </w:tc>
        <w:tc>
          <w:tcPr>
            <w:tcW w:w="740"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黑体" w:hAnsi="黑体" w:eastAsia="黑体" w:cs="黑体"/>
                <w:color w:val="000000"/>
                <w:sz w:val="24"/>
                <w:szCs w:val="24"/>
              </w:rPr>
            </w:pPr>
            <w:r>
              <w:rPr>
                <w:rFonts w:hint="eastAsia" w:ascii="黑体" w:hAnsi="黑体" w:eastAsia="黑体" w:cs="黑体"/>
                <w:color w:val="000000"/>
                <w:kern w:val="0"/>
                <w:sz w:val="24"/>
                <w:szCs w:val="24"/>
              </w:rPr>
              <w:t>违法程度</w:t>
            </w:r>
          </w:p>
        </w:tc>
        <w:tc>
          <w:tcPr>
            <w:tcW w:w="2123"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黑体" w:hAnsi="黑体" w:eastAsia="黑体" w:cs="黑体"/>
                <w:color w:val="000000"/>
                <w:sz w:val="24"/>
                <w:szCs w:val="24"/>
              </w:rPr>
            </w:pPr>
            <w:r>
              <w:rPr>
                <w:rFonts w:hint="eastAsia" w:ascii="黑体" w:hAnsi="黑体" w:eastAsia="黑体" w:cs="黑体"/>
                <w:color w:val="000000"/>
                <w:kern w:val="0"/>
                <w:sz w:val="24"/>
                <w:szCs w:val="24"/>
              </w:rPr>
              <w:t>违法情节</w:t>
            </w:r>
          </w:p>
        </w:tc>
        <w:tc>
          <w:tcPr>
            <w:tcW w:w="4546"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黑体" w:hAnsi="黑体" w:eastAsia="黑体" w:cs="黑体"/>
                <w:color w:val="000000"/>
                <w:sz w:val="24"/>
                <w:szCs w:val="24"/>
              </w:rPr>
            </w:pPr>
            <w:r>
              <w:rPr>
                <w:rFonts w:hint="eastAsia" w:ascii="黑体" w:hAnsi="黑体" w:eastAsia="黑体" w:cs="黑体"/>
                <w:color w:val="000000"/>
                <w:kern w:val="0"/>
                <w:sz w:val="24"/>
                <w:szCs w:val="24"/>
              </w:rPr>
              <w:t>裁量标准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0" w:hRule="atLeast"/>
          <w:jc w:val="center"/>
        </w:trPr>
        <w:tc>
          <w:tcPr>
            <w:tcW w:w="421" w:type="dxa"/>
            <w:vMerge w:val="restart"/>
            <w:tcBorders>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r>
              <w:rPr>
                <w:rFonts w:hint="eastAsia" w:ascii="仿宋_GB2312" w:hAnsi="仿宋_GB2312" w:eastAsia="仿宋_GB2312" w:cs="仿宋_GB2312"/>
                <w:color w:val="000000"/>
                <w:kern w:val="0"/>
                <w:sz w:val="21"/>
                <w:szCs w:val="21"/>
                <w:lang w:val="en-US" w:eastAsia="zh-CN"/>
              </w:rPr>
              <w:t>36</w:t>
            </w:r>
          </w:p>
        </w:tc>
        <w:tc>
          <w:tcPr>
            <w:tcW w:w="1506" w:type="dxa"/>
            <w:vMerge w:val="restart"/>
            <w:tcBorders>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伪造、变造、转让渔业船员证书</w:t>
            </w:r>
          </w:p>
        </w:tc>
        <w:tc>
          <w:tcPr>
            <w:tcW w:w="4664" w:type="dxa"/>
            <w:vMerge w:val="restart"/>
            <w:tcBorders>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eastAsia"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 xml:space="preserve">《中华人民共和国渔业船员管理办法》第四十一条伪造、变造、转让渔业船员证书的，由渔政渔港监督管理机构收缴有关证书，处2万元以上10万元以下罚款，有违法所得的，还应当没收违法所得。 隐匿、篡改或者销毁有关渔业船舶、渔业船员法定证书、文书的，由渔政渔港监督管理机构处1000元以上1万元以下罚款；情节严重的，并处暂扣渔业船员证书6个月以上2年以下直至吊销渔业船员证书的处罚。 </w:t>
            </w:r>
          </w:p>
        </w:tc>
        <w:tc>
          <w:tcPr>
            <w:tcW w:w="740" w:type="dxa"/>
            <w:tcBorders>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eastAsia"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一般</w:t>
            </w:r>
          </w:p>
        </w:tc>
        <w:tc>
          <w:tcPr>
            <w:tcW w:w="2123" w:type="dxa"/>
            <w:tcBorders>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eastAsia"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伪造、变造、转让普通船员证书</w:t>
            </w:r>
          </w:p>
        </w:tc>
        <w:tc>
          <w:tcPr>
            <w:tcW w:w="4546" w:type="dxa"/>
            <w:tcBorders>
              <w:bottom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eastAsia"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收缴有关证件，处二万元以上六万元以下罚款，有违法所得的，还应当没收违法所得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2" w:hRule="atLeast"/>
          <w:jc w:val="center"/>
        </w:trPr>
        <w:tc>
          <w:tcPr>
            <w:tcW w:w="421" w:type="dxa"/>
            <w:vMerge w:val="continue"/>
            <w:tcBorders>
              <w:bottom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eastAsia" w:ascii="仿宋_GB2312" w:hAnsi="仿宋_GB2312" w:eastAsia="仿宋_GB2312" w:cs="仿宋_GB2312"/>
                <w:color w:val="000000"/>
                <w:kern w:val="0"/>
                <w:sz w:val="21"/>
                <w:szCs w:val="21"/>
                <w:lang w:val="en-US" w:eastAsia="zh-CN"/>
              </w:rPr>
            </w:pPr>
          </w:p>
        </w:tc>
        <w:tc>
          <w:tcPr>
            <w:tcW w:w="1506" w:type="dxa"/>
            <w:vMerge w:val="continue"/>
            <w:tcBorders>
              <w:bottom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p>
        </w:tc>
        <w:tc>
          <w:tcPr>
            <w:tcW w:w="4664" w:type="dxa"/>
            <w:vMerge w:val="continue"/>
            <w:tcBorders>
              <w:bottom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p>
        </w:tc>
        <w:tc>
          <w:tcPr>
            <w:tcW w:w="740" w:type="dxa"/>
            <w:tcBorders>
              <w:top w:val="single" w:color="auto" w:sz="4" w:space="0"/>
              <w:bottom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eastAsia"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严重</w:t>
            </w:r>
          </w:p>
        </w:tc>
        <w:tc>
          <w:tcPr>
            <w:tcW w:w="2123" w:type="dxa"/>
            <w:tcBorders>
              <w:top w:val="single" w:color="auto" w:sz="4" w:space="0"/>
              <w:bottom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eastAsia"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伪造、变造、转让职务船员证书</w:t>
            </w:r>
          </w:p>
        </w:tc>
        <w:tc>
          <w:tcPr>
            <w:tcW w:w="4546" w:type="dxa"/>
            <w:tcBorders>
              <w:top w:val="single" w:color="auto" w:sz="4" w:space="0"/>
              <w:bottom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eastAsia"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收缴有关证件，处六万元以上不超过十万元罚款，有违法所得的，还应当没收违法所得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87" w:hRule="atLeast"/>
          <w:jc w:val="center"/>
        </w:trPr>
        <w:tc>
          <w:tcPr>
            <w:tcW w:w="421" w:type="dxa"/>
            <w:vMerge w:val="restart"/>
            <w:tcBorders>
              <w:top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r>
              <w:rPr>
                <w:rFonts w:hint="eastAsia" w:ascii="仿宋_GB2312" w:hAnsi="仿宋_GB2312" w:eastAsia="仿宋_GB2312" w:cs="仿宋_GB2312"/>
                <w:color w:val="000000"/>
                <w:kern w:val="0"/>
                <w:sz w:val="21"/>
                <w:szCs w:val="21"/>
                <w:lang w:val="en-US" w:eastAsia="zh-CN"/>
              </w:rPr>
              <w:t>37</w:t>
            </w:r>
          </w:p>
        </w:tc>
        <w:tc>
          <w:tcPr>
            <w:tcW w:w="1506" w:type="dxa"/>
            <w:vMerge w:val="restart"/>
            <w:tcBorders>
              <w:top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渔业船员在船工作期间未携带有效的渔业船员证书</w:t>
            </w:r>
          </w:p>
        </w:tc>
        <w:tc>
          <w:tcPr>
            <w:tcW w:w="4664" w:type="dxa"/>
            <w:vMerge w:val="restart"/>
            <w:tcBorders>
              <w:top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 xml:space="preserve">《中华人民共和国渔业船员管理办法》第四十二条渔业船员违反本办法第二十一条第一项规定，责令改正，可以处2000元以下罚款。 </w:t>
            </w:r>
            <w:r>
              <w:rPr>
                <w:rFonts w:hint="default" w:ascii="仿宋_GB2312" w:hAnsi="仿宋_GB2312" w:eastAsia="仿宋_GB2312" w:cs="仿宋_GB2312"/>
                <w:color w:val="000000"/>
                <w:kern w:val="0"/>
                <w:sz w:val="21"/>
                <w:szCs w:val="21"/>
                <w:lang w:val="en-US" w:eastAsia="zh-CN"/>
              </w:rPr>
              <w:br w:type="textWrapping"/>
            </w:r>
            <w:r>
              <w:rPr>
                <w:rFonts w:hint="default" w:ascii="仿宋_GB2312" w:hAnsi="仿宋_GB2312" w:eastAsia="仿宋_GB2312" w:cs="仿宋_GB2312"/>
                <w:color w:val="000000"/>
                <w:kern w:val="0"/>
                <w:sz w:val="21"/>
                <w:szCs w:val="21"/>
                <w:lang w:val="en-US" w:eastAsia="zh-CN"/>
              </w:rPr>
              <w:t xml:space="preserve">　违反本办法第二十一条第三项、第四项、第五项规定的，予以警告，情节严重的，处200元以上2000元以下罚款。 </w:t>
            </w:r>
            <w:r>
              <w:rPr>
                <w:rFonts w:hint="default" w:ascii="仿宋_GB2312" w:hAnsi="仿宋_GB2312" w:eastAsia="仿宋_GB2312" w:cs="仿宋_GB2312"/>
                <w:color w:val="000000"/>
                <w:kern w:val="0"/>
                <w:sz w:val="21"/>
                <w:szCs w:val="21"/>
                <w:lang w:val="en-US" w:eastAsia="zh-CN"/>
              </w:rPr>
              <w:br w:type="textWrapping"/>
            </w:r>
            <w:r>
              <w:rPr>
                <w:rFonts w:hint="default" w:ascii="仿宋_GB2312" w:hAnsi="仿宋_GB2312" w:eastAsia="仿宋_GB2312" w:cs="仿宋_GB2312"/>
                <w:color w:val="000000"/>
                <w:kern w:val="0"/>
                <w:sz w:val="21"/>
                <w:szCs w:val="21"/>
                <w:lang w:val="en-US" w:eastAsia="zh-CN"/>
              </w:rPr>
              <w:t xml:space="preserve">　违反本办法第二十一条第九项规定的，处1000元以上2万元以下罚款。 </w:t>
            </w:r>
          </w:p>
        </w:tc>
        <w:tc>
          <w:tcPr>
            <w:tcW w:w="740" w:type="dxa"/>
            <w:tcBorders>
              <w:top w:val="single" w:color="auto" w:sz="4" w:space="0"/>
              <w:bottom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eastAsia"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一般</w:t>
            </w:r>
          </w:p>
        </w:tc>
        <w:tc>
          <w:tcPr>
            <w:tcW w:w="2123" w:type="dxa"/>
            <w:tcBorders>
              <w:top w:val="single" w:color="auto" w:sz="4" w:space="0"/>
              <w:bottom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eastAsia"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违法行为人为普通船员</w:t>
            </w:r>
          </w:p>
        </w:tc>
        <w:tc>
          <w:tcPr>
            <w:tcW w:w="4546" w:type="dxa"/>
            <w:tcBorders>
              <w:top w:val="single" w:color="auto" w:sz="4" w:space="0"/>
              <w:bottom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eastAsia"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责令改正，可以处一千元以下罚款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7" w:hRule="atLeast"/>
          <w:jc w:val="center"/>
        </w:trPr>
        <w:tc>
          <w:tcPr>
            <w:tcW w:w="421" w:type="dxa"/>
            <w:vMerge w:val="continue"/>
            <w:tcBorders>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p>
        </w:tc>
        <w:tc>
          <w:tcPr>
            <w:tcW w:w="1506" w:type="dxa"/>
            <w:vMerge w:val="continue"/>
            <w:tcBorders>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p>
        </w:tc>
        <w:tc>
          <w:tcPr>
            <w:tcW w:w="4664" w:type="dxa"/>
            <w:vMerge w:val="continue"/>
            <w:tcBorders>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p>
        </w:tc>
        <w:tc>
          <w:tcPr>
            <w:tcW w:w="740" w:type="dxa"/>
            <w:tcBorders>
              <w:top w:val="single" w:color="auto" w:sz="4" w:space="0"/>
              <w:bottom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eastAsia"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严重</w:t>
            </w:r>
          </w:p>
        </w:tc>
        <w:tc>
          <w:tcPr>
            <w:tcW w:w="2123" w:type="dxa"/>
            <w:tcBorders>
              <w:top w:val="single" w:color="auto" w:sz="4" w:space="0"/>
              <w:bottom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eastAsia"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违法行为人为职务船员</w:t>
            </w:r>
          </w:p>
        </w:tc>
        <w:tc>
          <w:tcPr>
            <w:tcW w:w="4546" w:type="dxa"/>
            <w:tcBorders>
              <w:top w:val="single" w:color="auto" w:sz="4" w:space="0"/>
              <w:bottom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eastAsia"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责令改正，可以处一千元以上不超过二千元罚款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jc w:val="center"/>
        </w:trPr>
        <w:tc>
          <w:tcPr>
            <w:tcW w:w="421" w:type="dxa"/>
            <w:vMerge w:val="restart"/>
            <w:tcBorders>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r>
              <w:rPr>
                <w:rFonts w:hint="eastAsia" w:ascii="仿宋_GB2312" w:hAnsi="仿宋_GB2312" w:eastAsia="仿宋_GB2312" w:cs="仿宋_GB2312"/>
                <w:color w:val="000000"/>
                <w:kern w:val="0"/>
                <w:sz w:val="21"/>
                <w:szCs w:val="21"/>
                <w:lang w:val="en-US" w:eastAsia="zh-CN"/>
              </w:rPr>
              <w:t>38</w:t>
            </w:r>
          </w:p>
        </w:tc>
        <w:tc>
          <w:tcPr>
            <w:tcW w:w="1506" w:type="dxa"/>
            <w:vMerge w:val="restart"/>
            <w:tcBorders>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渔业船员在船工作期间未遵守法律法规和安全生产管理规定，未遵守渔业生产作业及防治船舶污染操作规程</w:t>
            </w:r>
          </w:p>
        </w:tc>
        <w:tc>
          <w:tcPr>
            <w:tcW w:w="4664" w:type="dxa"/>
            <w:vMerge w:val="restart"/>
            <w:tcBorders>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中华人民共和国渔业船员管理办法》第四十三条渔业船员违反本办法第二十一条第二项、第六项、第七项、第八项和第二十二条规定的，处1000元以上1万元以下罚款；情节严重的，并处暂扣渔业船员证书6个月以上2年以下直至吊销渔业船员证书的处罚。</w:t>
            </w:r>
          </w:p>
        </w:tc>
        <w:tc>
          <w:tcPr>
            <w:tcW w:w="740" w:type="dxa"/>
            <w:tcBorders>
              <w:top w:val="single" w:color="auto" w:sz="4" w:space="0"/>
              <w:bottom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较轻</w:t>
            </w:r>
          </w:p>
        </w:tc>
        <w:tc>
          <w:tcPr>
            <w:tcW w:w="2123" w:type="dxa"/>
            <w:tcBorders>
              <w:top w:val="single" w:color="auto" w:sz="4" w:space="0"/>
              <w:bottom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未造成水上安全生产事故</w:t>
            </w:r>
          </w:p>
        </w:tc>
        <w:tc>
          <w:tcPr>
            <w:tcW w:w="4546" w:type="dxa"/>
            <w:tcBorders>
              <w:top w:val="single" w:color="auto" w:sz="4" w:space="0"/>
              <w:bottom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处一千元以上五千元以下罚款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jc w:val="center"/>
        </w:trPr>
        <w:tc>
          <w:tcPr>
            <w:tcW w:w="421" w:type="dxa"/>
            <w:vMerge w:val="continue"/>
            <w:tcBorders>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p>
        </w:tc>
        <w:tc>
          <w:tcPr>
            <w:tcW w:w="1506" w:type="dxa"/>
            <w:vMerge w:val="continue"/>
            <w:tcBorders>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p>
        </w:tc>
        <w:tc>
          <w:tcPr>
            <w:tcW w:w="4664" w:type="dxa"/>
            <w:vMerge w:val="continue"/>
            <w:tcBorders>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p>
        </w:tc>
        <w:tc>
          <w:tcPr>
            <w:tcW w:w="740" w:type="dxa"/>
            <w:tcBorders>
              <w:top w:val="single" w:color="auto" w:sz="4" w:space="0"/>
              <w:bottom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一般</w:t>
            </w:r>
          </w:p>
        </w:tc>
        <w:tc>
          <w:tcPr>
            <w:tcW w:w="2123" w:type="dxa"/>
            <w:tcBorders>
              <w:top w:val="single" w:color="auto" w:sz="4" w:space="0"/>
              <w:bottom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造成一般水上安全生产事故</w:t>
            </w:r>
          </w:p>
        </w:tc>
        <w:tc>
          <w:tcPr>
            <w:tcW w:w="4546" w:type="dxa"/>
            <w:tcBorders>
              <w:top w:val="single" w:color="auto" w:sz="4" w:space="0"/>
              <w:bottom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处五千元以上不超过一万元罚款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7" w:hRule="atLeast"/>
          <w:jc w:val="center"/>
        </w:trPr>
        <w:tc>
          <w:tcPr>
            <w:tcW w:w="421" w:type="dxa"/>
            <w:vMerge w:val="continue"/>
            <w:tcBorders>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p>
        </w:tc>
        <w:tc>
          <w:tcPr>
            <w:tcW w:w="1506" w:type="dxa"/>
            <w:vMerge w:val="continue"/>
            <w:tcBorders>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p>
        </w:tc>
        <w:tc>
          <w:tcPr>
            <w:tcW w:w="4664" w:type="dxa"/>
            <w:vMerge w:val="continue"/>
            <w:tcBorders>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p>
        </w:tc>
        <w:tc>
          <w:tcPr>
            <w:tcW w:w="740" w:type="dxa"/>
            <w:tcBorders>
              <w:top w:val="single" w:color="auto" w:sz="4" w:space="0"/>
              <w:bottom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严重</w:t>
            </w:r>
          </w:p>
        </w:tc>
        <w:tc>
          <w:tcPr>
            <w:tcW w:w="2123" w:type="dxa"/>
            <w:tcBorders>
              <w:top w:val="single" w:color="auto" w:sz="4" w:space="0"/>
              <w:bottom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造成较大以上水上安全生产事故</w:t>
            </w:r>
          </w:p>
        </w:tc>
        <w:tc>
          <w:tcPr>
            <w:tcW w:w="4546" w:type="dxa"/>
            <w:tcBorders>
              <w:top w:val="single" w:color="auto" w:sz="4" w:space="0"/>
              <w:bottom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处五千元以上不超过一万元罚款，并暂扣船员证书六个月以上不超过二年，直至吊销船员证书</w:t>
            </w:r>
          </w:p>
        </w:tc>
      </w:tr>
    </w:tbl>
    <w:p>
      <w:pPr>
        <w:pStyle w:val="2"/>
      </w:pPr>
    </w:p>
    <w:tbl>
      <w:tblPr>
        <w:tblStyle w:val="7"/>
        <w:tblW w:w="140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21"/>
        <w:gridCol w:w="1506"/>
        <w:gridCol w:w="4664"/>
        <w:gridCol w:w="740"/>
        <w:gridCol w:w="2123"/>
        <w:gridCol w:w="45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tblHeader/>
          <w:jc w:val="center"/>
        </w:trPr>
        <w:tc>
          <w:tcPr>
            <w:tcW w:w="421"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黑体" w:hAnsi="黑体" w:eastAsia="黑体" w:cs="黑体"/>
                <w:color w:val="000000"/>
                <w:sz w:val="24"/>
                <w:szCs w:val="24"/>
              </w:rPr>
            </w:pPr>
            <w:r>
              <w:rPr>
                <w:rFonts w:hint="eastAsia" w:ascii="黑体" w:hAnsi="黑体" w:eastAsia="黑体" w:cs="黑体"/>
                <w:color w:val="000000"/>
                <w:kern w:val="0"/>
                <w:sz w:val="24"/>
                <w:szCs w:val="24"/>
              </w:rPr>
              <w:t>序号</w:t>
            </w:r>
          </w:p>
        </w:tc>
        <w:tc>
          <w:tcPr>
            <w:tcW w:w="1506"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黑体" w:hAnsi="黑体" w:eastAsia="黑体" w:cs="黑体"/>
                <w:color w:val="000000"/>
                <w:sz w:val="24"/>
                <w:szCs w:val="24"/>
              </w:rPr>
            </w:pPr>
            <w:r>
              <w:rPr>
                <w:rFonts w:hint="eastAsia" w:ascii="黑体" w:hAnsi="黑体" w:eastAsia="黑体" w:cs="黑体"/>
                <w:color w:val="000000"/>
                <w:kern w:val="0"/>
                <w:sz w:val="24"/>
                <w:szCs w:val="24"/>
              </w:rPr>
              <w:t>违法行为</w:t>
            </w:r>
          </w:p>
        </w:tc>
        <w:tc>
          <w:tcPr>
            <w:tcW w:w="4664"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黑体" w:hAnsi="黑体" w:eastAsia="黑体" w:cs="黑体"/>
                <w:color w:val="000000"/>
                <w:sz w:val="24"/>
                <w:szCs w:val="24"/>
              </w:rPr>
            </w:pPr>
            <w:r>
              <w:rPr>
                <w:rFonts w:hint="eastAsia" w:ascii="黑体" w:hAnsi="黑体" w:eastAsia="黑体" w:cs="黑体"/>
                <w:color w:val="000000"/>
                <w:kern w:val="0"/>
                <w:sz w:val="24"/>
                <w:szCs w:val="24"/>
              </w:rPr>
              <w:t>处罚依据</w:t>
            </w:r>
          </w:p>
        </w:tc>
        <w:tc>
          <w:tcPr>
            <w:tcW w:w="740"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黑体" w:hAnsi="黑体" w:eastAsia="黑体" w:cs="黑体"/>
                <w:color w:val="000000"/>
                <w:sz w:val="24"/>
                <w:szCs w:val="24"/>
              </w:rPr>
            </w:pPr>
            <w:r>
              <w:rPr>
                <w:rFonts w:hint="eastAsia" w:ascii="黑体" w:hAnsi="黑体" w:eastAsia="黑体" w:cs="黑体"/>
                <w:color w:val="000000"/>
                <w:kern w:val="0"/>
                <w:sz w:val="24"/>
                <w:szCs w:val="24"/>
              </w:rPr>
              <w:t>违法程度</w:t>
            </w:r>
          </w:p>
        </w:tc>
        <w:tc>
          <w:tcPr>
            <w:tcW w:w="2123"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黑体" w:hAnsi="黑体" w:eastAsia="黑体" w:cs="黑体"/>
                <w:color w:val="000000"/>
                <w:sz w:val="24"/>
                <w:szCs w:val="24"/>
              </w:rPr>
            </w:pPr>
            <w:r>
              <w:rPr>
                <w:rFonts w:hint="eastAsia" w:ascii="黑体" w:hAnsi="黑体" w:eastAsia="黑体" w:cs="黑体"/>
                <w:color w:val="000000"/>
                <w:kern w:val="0"/>
                <w:sz w:val="24"/>
                <w:szCs w:val="24"/>
              </w:rPr>
              <w:t>违法情节</w:t>
            </w:r>
          </w:p>
        </w:tc>
        <w:tc>
          <w:tcPr>
            <w:tcW w:w="4546"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黑体" w:hAnsi="黑体" w:eastAsia="黑体" w:cs="黑体"/>
                <w:color w:val="000000"/>
                <w:sz w:val="24"/>
                <w:szCs w:val="24"/>
              </w:rPr>
            </w:pPr>
            <w:r>
              <w:rPr>
                <w:rFonts w:hint="eastAsia" w:ascii="黑体" w:hAnsi="黑体" w:eastAsia="黑体" w:cs="黑体"/>
                <w:color w:val="000000"/>
                <w:kern w:val="0"/>
                <w:sz w:val="24"/>
                <w:szCs w:val="24"/>
              </w:rPr>
              <w:t>裁量标准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0" w:hRule="atLeast"/>
          <w:jc w:val="center"/>
        </w:trPr>
        <w:tc>
          <w:tcPr>
            <w:tcW w:w="421" w:type="dxa"/>
            <w:vMerge w:val="restart"/>
            <w:tcBorders>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r>
              <w:rPr>
                <w:rFonts w:hint="eastAsia" w:ascii="仿宋_GB2312" w:hAnsi="仿宋_GB2312" w:eastAsia="仿宋_GB2312" w:cs="仿宋_GB2312"/>
                <w:color w:val="000000"/>
                <w:kern w:val="0"/>
                <w:sz w:val="21"/>
                <w:szCs w:val="21"/>
                <w:lang w:val="en-US" w:eastAsia="zh-CN"/>
              </w:rPr>
              <w:t>39</w:t>
            </w:r>
          </w:p>
        </w:tc>
        <w:tc>
          <w:tcPr>
            <w:tcW w:w="1506" w:type="dxa"/>
            <w:vMerge w:val="restart"/>
            <w:tcBorders>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渔业船员在船工作期间未执行船舶的管理制度；未服从船长及上级职务船员在其职权范围内发布的命令；未参加船舶应急训练、演习，按照船舶应急部署的要求，落实各项应急预防措施</w:t>
            </w:r>
          </w:p>
        </w:tc>
        <w:tc>
          <w:tcPr>
            <w:tcW w:w="4664" w:type="dxa"/>
            <w:vMerge w:val="restart"/>
            <w:tcBorders>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eastAsia"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 xml:space="preserve">《中华人民共和国渔业船员管理办法》第四十二条渔业船员违反本办法第二十一条第一项规定，责令改正，可以处2000元以下罚款。 </w:t>
            </w:r>
            <w:r>
              <w:rPr>
                <w:rFonts w:hint="default" w:ascii="仿宋_GB2312" w:hAnsi="仿宋_GB2312" w:eastAsia="仿宋_GB2312" w:cs="仿宋_GB2312"/>
                <w:color w:val="000000"/>
                <w:kern w:val="0"/>
                <w:sz w:val="21"/>
                <w:szCs w:val="21"/>
                <w:lang w:val="en-US" w:eastAsia="zh-CN"/>
              </w:rPr>
              <w:br w:type="textWrapping"/>
            </w:r>
            <w:r>
              <w:rPr>
                <w:rFonts w:hint="default" w:ascii="仿宋_GB2312" w:hAnsi="仿宋_GB2312" w:eastAsia="仿宋_GB2312" w:cs="仿宋_GB2312"/>
                <w:color w:val="000000"/>
                <w:kern w:val="0"/>
                <w:sz w:val="21"/>
                <w:szCs w:val="21"/>
                <w:lang w:val="en-US" w:eastAsia="zh-CN"/>
              </w:rPr>
              <w:t xml:space="preserve">　违反本办法第二十一条第三项、第四项、第五项规定的，予以警告，情节严重的，处200元以上2000元以下罚款。 </w:t>
            </w:r>
            <w:r>
              <w:rPr>
                <w:rFonts w:hint="default" w:ascii="仿宋_GB2312" w:hAnsi="仿宋_GB2312" w:eastAsia="仿宋_GB2312" w:cs="仿宋_GB2312"/>
                <w:color w:val="000000"/>
                <w:kern w:val="0"/>
                <w:sz w:val="21"/>
                <w:szCs w:val="21"/>
                <w:lang w:val="en-US" w:eastAsia="zh-CN"/>
              </w:rPr>
              <w:br w:type="textWrapping"/>
            </w:r>
            <w:r>
              <w:rPr>
                <w:rFonts w:hint="default" w:ascii="仿宋_GB2312" w:hAnsi="仿宋_GB2312" w:eastAsia="仿宋_GB2312" w:cs="仿宋_GB2312"/>
                <w:color w:val="000000"/>
                <w:kern w:val="0"/>
                <w:sz w:val="21"/>
                <w:szCs w:val="21"/>
                <w:lang w:val="en-US" w:eastAsia="zh-CN"/>
              </w:rPr>
              <w:t xml:space="preserve">　违反本办法第二十一条第九项规定的，处1000元以上2万元以下罚款。 </w:t>
            </w:r>
          </w:p>
        </w:tc>
        <w:tc>
          <w:tcPr>
            <w:tcW w:w="740" w:type="dxa"/>
            <w:tcBorders>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eastAsia"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一般</w:t>
            </w:r>
          </w:p>
        </w:tc>
        <w:tc>
          <w:tcPr>
            <w:tcW w:w="2123" w:type="dxa"/>
            <w:tcBorders>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eastAsia"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未造成水上安全生产事故</w:t>
            </w:r>
          </w:p>
        </w:tc>
        <w:tc>
          <w:tcPr>
            <w:tcW w:w="4546" w:type="dxa"/>
            <w:tcBorders>
              <w:bottom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eastAsia"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警告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2" w:hRule="atLeast"/>
          <w:jc w:val="center"/>
        </w:trPr>
        <w:tc>
          <w:tcPr>
            <w:tcW w:w="421" w:type="dxa"/>
            <w:vMerge w:val="continue"/>
            <w:tcBorders>
              <w:bottom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eastAsia" w:ascii="仿宋_GB2312" w:hAnsi="仿宋_GB2312" w:eastAsia="仿宋_GB2312" w:cs="仿宋_GB2312"/>
                <w:color w:val="000000"/>
                <w:kern w:val="0"/>
                <w:sz w:val="21"/>
                <w:szCs w:val="21"/>
                <w:lang w:val="en-US" w:eastAsia="zh-CN"/>
              </w:rPr>
            </w:pPr>
          </w:p>
        </w:tc>
        <w:tc>
          <w:tcPr>
            <w:tcW w:w="1506" w:type="dxa"/>
            <w:vMerge w:val="continue"/>
            <w:tcBorders>
              <w:bottom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p>
        </w:tc>
        <w:tc>
          <w:tcPr>
            <w:tcW w:w="4664" w:type="dxa"/>
            <w:vMerge w:val="continue"/>
            <w:tcBorders>
              <w:bottom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p>
        </w:tc>
        <w:tc>
          <w:tcPr>
            <w:tcW w:w="740" w:type="dxa"/>
            <w:tcBorders>
              <w:top w:val="single" w:color="auto" w:sz="4" w:space="0"/>
              <w:bottom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eastAsia"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严重</w:t>
            </w:r>
          </w:p>
        </w:tc>
        <w:tc>
          <w:tcPr>
            <w:tcW w:w="2123" w:type="dxa"/>
            <w:tcBorders>
              <w:top w:val="single" w:color="auto" w:sz="4" w:space="0"/>
              <w:bottom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eastAsia"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造成一般水上安全生产事故</w:t>
            </w:r>
          </w:p>
        </w:tc>
        <w:tc>
          <w:tcPr>
            <w:tcW w:w="4546" w:type="dxa"/>
            <w:tcBorders>
              <w:top w:val="single" w:color="auto" w:sz="4" w:space="0"/>
              <w:bottom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eastAsia"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处二百元以上不超过二千元罚款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87" w:hRule="atLeast"/>
          <w:jc w:val="center"/>
        </w:trPr>
        <w:tc>
          <w:tcPr>
            <w:tcW w:w="421" w:type="dxa"/>
            <w:vMerge w:val="restart"/>
            <w:tcBorders>
              <w:top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r>
              <w:rPr>
                <w:rFonts w:hint="eastAsia" w:ascii="仿宋_GB2312" w:hAnsi="仿宋_GB2312" w:eastAsia="仿宋_GB2312" w:cs="仿宋_GB2312"/>
                <w:color w:val="000000"/>
                <w:kern w:val="0"/>
                <w:sz w:val="21"/>
                <w:szCs w:val="21"/>
                <w:lang w:val="en-US" w:eastAsia="zh-CN"/>
              </w:rPr>
              <w:t>40</w:t>
            </w:r>
          </w:p>
        </w:tc>
        <w:tc>
          <w:tcPr>
            <w:tcW w:w="1506" w:type="dxa"/>
            <w:vMerge w:val="restart"/>
            <w:tcBorders>
              <w:top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渔业船员利用渔业船舶私载、超载人员和货物或者携带违禁品</w:t>
            </w:r>
          </w:p>
        </w:tc>
        <w:tc>
          <w:tcPr>
            <w:tcW w:w="4664" w:type="dxa"/>
            <w:vMerge w:val="restart"/>
            <w:tcBorders>
              <w:top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中华人民共和国渔业船员管理办法》第四十三条渔业船员违反本办法第二十一条第二项、第六项、第七项、第八项和第二十二条规定的，处1000元以上1万元以下罚款；情节严重的，并处暂扣渔业船员证书6个月以上2年以下直至吊销渔业船员证书的处罚。</w:t>
            </w:r>
          </w:p>
        </w:tc>
        <w:tc>
          <w:tcPr>
            <w:tcW w:w="740" w:type="dxa"/>
            <w:tcBorders>
              <w:top w:val="single" w:color="auto" w:sz="4" w:space="0"/>
              <w:bottom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eastAsia"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较轻</w:t>
            </w:r>
          </w:p>
        </w:tc>
        <w:tc>
          <w:tcPr>
            <w:tcW w:w="2123" w:type="dxa"/>
            <w:tcBorders>
              <w:top w:val="single" w:color="auto" w:sz="4" w:space="0"/>
              <w:bottom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eastAsia"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未造成水上安全生产事故</w:t>
            </w:r>
          </w:p>
        </w:tc>
        <w:tc>
          <w:tcPr>
            <w:tcW w:w="4546" w:type="dxa"/>
            <w:tcBorders>
              <w:top w:val="single" w:color="auto" w:sz="4" w:space="0"/>
              <w:bottom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eastAsia"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处一千元以上五千元以下罚款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7" w:hRule="atLeast"/>
          <w:jc w:val="center"/>
        </w:trPr>
        <w:tc>
          <w:tcPr>
            <w:tcW w:w="421" w:type="dxa"/>
            <w:vMerge w:val="continue"/>
            <w:tcBorders>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p>
        </w:tc>
        <w:tc>
          <w:tcPr>
            <w:tcW w:w="1506" w:type="dxa"/>
            <w:vMerge w:val="continue"/>
            <w:tcBorders>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p>
        </w:tc>
        <w:tc>
          <w:tcPr>
            <w:tcW w:w="4664" w:type="dxa"/>
            <w:vMerge w:val="continue"/>
            <w:tcBorders>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p>
        </w:tc>
        <w:tc>
          <w:tcPr>
            <w:tcW w:w="740" w:type="dxa"/>
            <w:tcBorders>
              <w:top w:val="single" w:color="auto" w:sz="4" w:space="0"/>
              <w:bottom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eastAsia"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一般</w:t>
            </w:r>
          </w:p>
        </w:tc>
        <w:tc>
          <w:tcPr>
            <w:tcW w:w="2123" w:type="dxa"/>
            <w:tcBorders>
              <w:top w:val="single" w:color="auto" w:sz="4" w:space="0"/>
              <w:bottom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eastAsia"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造成一般水上安全生产事故</w:t>
            </w:r>
          </w:p>
        </w:tc>
        <w:tc>
          <w:tcPr>
            <w:tcW w:w="4546" w:type="dxa"/>
            <w:tcBorders>
              <w:top w:val="single" w:color="auto" w:sz="4" w:space="0"/>
              <w:bottom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eastAsia"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处五千元以上不超过一万元罚款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7" w:hRule="atLeast"/>
          <w:jc w:val="center"/>
        </w:trPr>
        <w:tc>
          <w:tcPr>
            <w:tcW w:w="421" w:type="dxa"/>
            <w:vMerge w:val="continue"/>
            <w:tcBorders>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p>
        </w:tc>
        <w:tc>
          <w:tcPr>
            <w:tcW w:w="1506" w:type="dxa"/>
            <w:vMerge w:val="continue"/>
            <w:tcBorders>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p>
        </w:tc>
        <w:tc>
          <w:tcPr>
            <w:tcW w:w="4664" w:type="dxa"/>
            <w:vMerge w:val="continue"/>
            <w:tcBorders>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p>
        </w:tc>
        <w:tc>
          <w:tcPr>
            <w:tcW w:w="740" w:type="dxa"/>
            <w:tcBorders>
              <w:top w:val="single" w:color="auto" w:sz="4" w:space="0"/>
              <w:bottom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严重</w:t>
            </w:r>
          </w:p>
        </w:tc>
        <w:tc>
          <w:tcPr>
            <w:tcW w:w="2123" w:type="dxa"/>
            <w:tcBorders>
              <w:top w:val="single" w:color="auto" w:sz="4" w:space="0"/>
              <w:bottom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造成较大以上水上安全生产事故</w:t>
            </w:r>
          </w:p>
        </w:tc>
        <w:tc>
          <w:tcPr>
            <w:tcW w:w="4546" w:type="dxa"/>
            <w:tcBorders>
              <w:top w:val="single" w:color="auto" w:sz="4" w:space="0"/>
              <w:bottom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处五千元以上不超过一万元罚款，并暂扣船员证书六个月以上不超过二年，直至吊销船员证书</w:t>
            </w:r>
          </w:p>
        </w:tc>
      </w:tr>
    </w:tbl>
    <w:p>
      <w:pPr>
        <w:pStyle w:val="2"/>
      </w:pPr>
    </w:p>
    <w:p>
      <w:pPr>
        <w:pStyle w:val="2"/>
      </w:pPr>
    </w:p>
    <w:p>
      <w:pPr>
        <w:pStyle w:val="2"/>
      </w:pPr>
    </w:p>
    <w:p>
      <w:pPr>
        <w:pStyle w:val="2"/>
      </w:pPr>
    </w:p>
    <w:tbl>
      <w:tblPr>
        <w:tblStyle w:val="7"/>
        <w:tblW w:w="140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21"/>
        <w:gridCol w:w="1506"/>
        <w:gridCol w:w="4664"/>
        <w:gridCol w:w="740"/>
        <w:gridCol w:w="2123"/>
        <w:gridCol w:w="45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tblHeader/>
          <w:jc w:val="center"/>
        </w:trPr>
        <w:tc>
          <w:tcPr>
            <w:tcW w:w="421"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黑体" w:hAnsi="黑体" w:eastAsia="黑体" w:cs="黑体"/>
                <w:color w:val="000000"/>
                <w:sz w:val="24"/>
                <w:szCs w:val="24"/>
              </w:rPr>
            </w:pPr>
            <w:r>
              <w:rPr>
                <w:rFonts w:hint="eastAsia" w:ascii="黑体" w:hAnsi="黑体" w:eastAsia="黑体" w:cs="黑体"/>
                <w:color w:val="000000"/>
                <w:kern w:val="0"/>
                <w:sz w:val="24"/>
                <w:szCs w:val="24"/>
              </w:rPr>
              <w:t>序号</w:t>
            </w:r>
          </w:p>
        </w:tc>
        <w:tc>
          <w:tcPr>
            <w:tcW w:w="1506"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黑体" w:hAnsi="黑体" w:eastAsia="黑体" w:cs="黑体"/>
                <w:color w:val="000000"/>
                <w:sz w:val="24"/>
                <w:szCs w:val="24"/>
              </w:rPr>
            </w:pPr>
            <w:r>
              <w:rPr>
                <w:rFonts w:hint="eastAsia" w:ascii="黑体" w:hAnsi="黑体" w:eastAsia="黑体" w:cs="黑体"/>
                <w:color w:val="000000"/>
                <w:kern w:val="0"/>
                <w:sz w:val="24"/>
                <w:szCs w:val="24"/>
              </w:rPr>
              <w:t>违法行为</w:t>
            </w:r>
          </w:p>
        </w:tc>
        <w:tc>
          <w:tcPr>
            <w:tcW w:w="4664"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黑体" w:hAnsi="黑体" w:eastAsia="黑体" w:cs="黑体"/>
                <w:color w:val="000000"/>
                <w:sz w:val="24"/>
                <w:szCs w:val="24"/>
              </w:rPr>
            </w:pPr>
            <w:r>
              <w:rPr>
                <w:rFonts w:hint="eastAsia" w:ascii="黑体" w:hAnsi="黑体" w:eastAsia="黑体" w:cs="黑体"/>
                <w:color w:val="000000"/>
                <w:kern w:val="0"/>
                <w:sz w:val="24"/>
                <w:szCs w:val="24"/>
              </w:rPr>
              <w:t>处罚依据</w:t>
            </w:r>
          </w:p>
        </w:tc>
        <w:tc>
          <w:tcPr>
            <w:tcW w:w="740"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黑体" w:hAnsi="黑体" w:eastAsia="黑体" w:cs="黑体"/>
                <w:color w:val="000000"/>
                <w:sz w:val="24"/>
                <w:szCs w:val="24"/>
              </w:rPr>
            </w:pPr>
            <w:r>
              <w:rPr>
                <w:rFonts w:hint="eastAsia" w:ascii="黑体" w:hAnsi="黑体" w:eastAsia="黑体" w:cs="黑体"/>
                <w:color w:val="000000"/>
                <w:kern w:val="0"/>
                <w:sz w:val="24"/>
                <w:szCs w:val="24"/>
              </w:rPr>
              <w:t>违法程度</w:t>
            </w:r>
          </w:p>
        </w:tc>
        <w:tc>
          <w:tcPr>
            <w:tcW w:w="2123"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黑体" w:hAnsi="黑体" w:eastAsia="黑体" w:cs="黑体"/>
                <w:color w:val="000000"/>
                <w:sz w:val="24"/>
                <w:szCs w:val="24"/>
              </w:rPr>
            </w:pPr>
            <w:r>
              <w:rPr>
                <w:rFonts w:hint="eastAsia" w:ascii="黑体" w:hAnsi="黑体" w:eastAsia="黑体" w:cs="黑体"/>
                <w:color w:val="000000"/>
                <w:kern w:val="0"/>
                <w:sz w:val="24"/>
                <w:szCs w:val="24"/>
              </w:rPr>
              <w:t>违法情节</w:t>
            </w:r>
          </w:p>
        </w:tc>
        <w:tc>
          <w:tcPr>
            <w:tcW w:w="4546"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黑体" w:hAnsi="黑体" w:eastAsia="黑体" w:cs="黑体"/>
                <w:color w:val="000000"/>
                <w:sz w:val="24"/>
                <w:szCs w:val="24"/>
              </w:rPr>
            </w:pPr>
            <w:r>
              <w:rPr>
                <w:rFonts w:hint="eastAsia" w:ascii="黑体" w:hAnsi="黑体" w:eastAsia="黑体" w:cs="黑体"/>
                <w:color w:val="000000"/>
                <w:kern w:val="0"/>
                <w:sz w:val="24"/>
                <w:szCs w:val="24"/>
              </w:rPr>
              <w:t>裁量标准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3" w:hRule="atLeast"/>
          <w:jc w:val="center"/>
        </w:trPr>
        <w:tc>
          <w:tcPr>
            <w:tcW w:w="421" w:type="dxa"/>
            <w:vMerge w:val="restart"/>
            <w:tcBorders>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r>
              <w:rPr>
                <w:rFonts w:hint="eastAsia" w:ascii="仿宋_GB2312" w:hAnsi="仿宋_GB2312" w:eastAsia="仿宋_GB2312" w:cs="仿宋_GB2312"/>
                <w:color w:val="000000"/>
                <w:kern w:val="0"/>
                <w:sz w:val="21"/>
                <w:szCs w:val="21"/>
                <w:lang w:val="en-US" w:eastAsia="zh-CN"/>
              </w:rPr>
              <w:t>41</w:t>
            </w:r>
          </w:p>
        </w:tc>
        <w:tc>
          <w:tcPr>
            <w:tcW w:w="1506" w:type="dxa"/>
            <w:vMerge w:val="restart"/>
            <w:tcBorders>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渔业船员在生产航次中辞职或者擅自离职</w:t>
            </w:r>
          </w:p>
        </w:tc>
        <w:tc>
          <w:tcPr>
            <w:tcW w:w="4664" w:type="dxa"/>
            <w:vMerge w:val="restart"/>
            <w:tcBorders>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eastAsia"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《中华人民共和国渔业船员管理办法》第四十二条第三款违反本办法第二十一条第九项规定的，处1000元以上2万元以下罚款。</w:t>
            </w:r>
          </w:p>
        </w:tc>
        <w:tc>
          <w:tcPr>
            <w:tcW w:w="740" w:type="dxa"/>
            <w:tcBorders>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eastAsia"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较轻</w:t>
            </w:r>
          </w:p>
        </w:tc>
        <w:tc>
          <w:tcPr>
            <w:tcW w:w="2123" w:type="dxa"/>
            <w:tcBorders>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eastAsia"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未造成水上安全生产事故</w:t>
            </w:r>
          </w:p>
        </w:tc>
        <w:tc>
          <w:tcPr>
            <w:tcW w:w="4546" w:type="dxa"/>
            <w:tcBorders>
              <w:bottom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eastAsia"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处一千元以上五千元以下罚款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jc w:val="center"/>
        </w:trPr>
        <w:tc>
          <w:tcPr>
            <w:tcW w:w="421" w:type="dxa"/>
            <w:vMerge w:val="continue"/>
            <w:tcBorders>
              <w:bottom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eastAsia" w:ascii="仿宋_GB2312" w:hAnsi="仿宋_GB2312" w:eastAsia="仿宋_GB2312" w:cs="仿宋_GB2312"/>
                <w:color w:val="000000"/>
                <w:kern w:val="0"/>
                <w:sz w:val="21"/>
                <w:szCs w:val="21"/>
                <w:lang w:val="en-US" w:eastAsia="zh-CN"/>
              </w:rPr>
            </w:pPr>
          </w:p>
        </w:tc>
        <w:tc>
          <w:tcPr>
            <w:tcW w:w="1506" w:type="dxa"/>
            <w:vMerge w:val="continue"/>
            <w:tcBorders>
              <w:bottom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p>
        </w:tc>
        <w:tc>
          <w:tcPr>
            <w:tcW w:w="4664" w:type="dxa"/>
            <w:vMerge w:val="continue"/>
            <w:tcBorders>
              <w:bottom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p>
        </w:tc>
        <w:tc>
          <w:tcPr>
            <w:tcW w:w="740" w:type="dxa"/>
            <w:tcBorders>
              <w:top w:val="single" w:color="auto" w:sz="4" w:space="0"/>
              <w:bottom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eastAsia"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一般</w:t>
            </w:r>
          </w:p>
        </w:tc>
        <w:tc>
          <w:tcPr>
            <w:tcW w:w="2123" w:type="dxa"/>
            <w:tcBorders>
              <w:top w:val="single" w:color="auto" w:sz="4" w:space="0"/>
              <w:bottom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eastAsia"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造成一般水上安全生产事故</w:t>
            </w:r>
          </w:p>
        </w:tc>
        <w:tc>
          <w:tcPr>
            <w:tcW w:w="4546" w:type="dxa"/>
            <w:tcBorders>
              <w:top w:val="single" w:color="auto" w:sz="4" w:space="0"/>
              <w:bottom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eastAsia"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处五千元以上一万元以下罚款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2" w:hRule="atLeast"/>
          <w:jc w:val="center"/>
        </w:trPr>
        <w:tc>
          <w:tcPr>
            <w:tcW w:w="421" w:type="dxa"/>
            <w:vMerge w:val="continue"/>
            <w:tcBorders>
              <w:bottom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eastAsia" w:ascii="仿宋_GB2312" w:hAnsi="仿宋_GB2312" w:eastAsia="仿宋_GB2312" w:cs="仿宋_GB2312"/>
                <w:color w:val="000000"/>
                <w:kern w:val="0"/>
                <w:sz w:val="21"/>
                <w:szCs w:val="21"/>
                <w:lang w:val="en-US" w:eastAsia="zh-CN"/>
              </w:rPr>
            </w:pPr>
          </w:p>
        </w:tc>
        <w:tc>
          <w:tcPr>
            <w:tcW w:w="1506" w:type="dxa"/>
            <w:vMerge w:val="continue"/>
            <w:tcBorders>
              <w:bottom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p>
        </w:tc>
        <w:tc>
          <w:tcPr>
            <w:tcW w:w="4664" w:type="dxa"/>
            <w:vMerge w:val="continue"/>
            <w:tcBorders>
              <w:bottom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p>
        </w:tc>
        <w:tc>
          <w:tcPr>
            <w:tcW w:w="740" w:type="dxa"/>
            <w:tcBorders>
              <w:top w:val="single" w:color="auto" w:sz="4" w:space="0"/>
              <w:bottom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eastAsia"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严重</w:t>
            </w:r>
          </w:p>
        </w:tc>
        <w:tc>
          <w:tcPr>
            <w:tcW w:w="2123" w:type="dxa"/>
            <w:tcBorders>
              <w:top w:val="single" w:color="auto" w:sz="4" w:space="0"/>
              <w:bottom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eastAsia"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造成较大以上水上安全生产事故</w:t>
            </w:r>
          </w:p>
        </w:tc>
        <w:tc>
          <w:tcPr>
            <w:tcW w:w="4546" w:type="dxa"/>
            <w:tcBorders>
              <w:top w:val="single" w:color="auto" w:sz="4" w:space="0"/>
              <w:bottom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eastAsia"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处一万元以上不超过二万元罚款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0" w:hRule="atLeast"/>
          <w:jc w:val="center"/>
        </w:trPr>
        <w:tc>
          <w:tcPr>
            <w:tcW w:w="421" w:type="dxa"/>
            <w:vMerge w:val="restart"/>
            <w:tcBorders>
              <w:top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r>
              <w:rPr>
                <w:rFonts w:hint="eastAsia" w:ascii="仿宋_GB2312" w:hAnsi="仿宋_GB2312" w:eastAsia="仿宋_GB2312" w:cs="仿宋_GB2312"/>
                <w:color w:val="000000"/>
                <w:kern w:val="0"/>
                <w:sz w:val="21"/>
                <w:szCs w:val="21"/>
                <w:lang w:val="en-US" w:eastAsia="zh-CN"/>
              </w:rPr>
              <w:t>42</w:t>
            </w:r>
          </w:p>
        </w:tc>
        <w:tc>
          <w:tcPr>
            <w:tcW w:w="1506" w:type="dxa"/>
            <w:vMerge w:val="restart"/>
            <w:tcBorders>
              <w:top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渔业船员未保持安全值班，违法规定摄入可能影响安全值班的食品、药品或者其他物品，或者有其他违反海上船员值班规则的行为</w:t>
            </w:r>
          </w:p>
        </w:tc>
        <w:tc>
          <w:tcPr>
            <w:tcW w:w="4664" w:type="dxa"/>
            <w:vMerge w:val="restart"/>
            <w:tcBorders>
              <w:top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中华人民共和国海上交通安全法》第九十九条船员未保持安全值班，违反规定摄入可能影响安全值班的食品、药品或者其他物品，或者有其他违反海上船员值班规则的行为的，由海事管理机构对船长、责任船员处一千元以上一万元以下的罚款，或者暂扣船员适任证书三个月至十二个月；情节严重的，吊销船长、责任船员的船员适任证书。</w:t>
            </w:r>
          </w:p>
        </w:tc>
        <w:tc>
          <w:tcPr>
            <w:tcW w:w="740" w:type="dxa"/>
            <w:tcBorders>
              <w:top w:val="single" w:color="auto" w:sz="4" w:space="0"/>
              <w:bottom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eastAsia"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较轻</w:t>
            </w:r>
          </w:p>
        </w:tc>
        <w:tc>
          <w:tcPr>
            <w:tcW w:w="2123" w:type="dxa"/>
            <w:tcBorders>
              <w:top w:val="single" w:color="auto" w:sz="4" w:space="0"/>
              <w:bottom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eastAsia"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未造成水上安全生产事故</w:t>
            </w:r>
          </w:p>
        </w:tc>
        <w:tc>
          <w:tcPr>
            <w:tcW w:w="4546" w:type="dxa"/>
            <w:tcBorders>
              <w:top w:val="single" w:color="auto" w:sz="4" w:space="0"/>
              <w:bottom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eastAsia"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对船长、责任船员处一千元以上五千元以下罚款，或暂扣船员证书三个月至七个月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7" w:hRule="atLeast"/>
          <w:jc w:val="center"/>
        </w:trPr>
        <w:tc>
          <w:tcPr>
            <w:tcW w:w="421" w:type="dxa"/>
            <w:vMerge w:val="continue"/>
            <w:tcBorders>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p>
        </w:tc>
        <w:tc>
          <w:tcPr>
            <w:tcW w:w="1506" w:type="dxa"/>
            <w:vMerge w:val="continue"/>
            <w:tcBorders>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p>
        </w:tc>
        <w:tc>
          <w:tcPr>
            <w:tcW w:w="4664" w:type="dxa"/>
            <w:vMerge w:val="continue"/>
            <w:tcBorders>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p>
        </w:tc>
        <w:tc>
          <w:tcPr>
            <w:tcW w:w="740" w:type="dxa"/>
            <w:tcBorders>
              <w:top w:val="single" w:color="auto" w:sz="4" w:space="0"/>
              <w:bottom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eastAsia"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一般</w:t>
            </w:r>
          </w:p>
        </w:tc>
        <w:tc>
          <w:tcPr>
            <w:tcW w:w="2123" w:type="dxa"/>
            <w:tcBorders>
              <w:top w:val="single" w:color="auto" w:sz="4" w:space="0"/>
              <w:bottom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eastAsia"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造成一般水上安全生产事故</w:t>
            </w:r>
          </w:p>
        </w:tc>
        <w:tc>
          <w:tcPr>
            <w:tcW w:w="4546" w:type="dxa"/>
            <w:tcBorders>
              <w:top w:val="single" w:color="auto" w:sz="4" w:space="0"/>
              <w:bottom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eastAsia"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对船长、责任船员处五千元以上不超过一万元罚款，或暂扣船员证书七个月至十二个月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7" w:hRule="atLeast"/>
          <w:jc w:val="center"/>
        </w:trPr>
        <w:tc>
          <w:tcPr>
            <w:tcW w:w="421" w:type="dxa"/>
            <w:vMerge w:val="continue"/>
            <w:tcBorders>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p>
        </w:tc>
        <w:tc>
          <w:tcPr>
            <w:tcW w:w="1506" w:type="dxa"/>
            <w:vMerge w:val="continue"/>
            <w:tcBorders>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p>
        </w:tc>
        <w:tc>
          <w:tcPr>
            <w:tcW w:w="4664" w:type="dxa"/>
            <w:vMerge w:val="continue"/>
            <w:tcBorders>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p>
        </w:tc>
        <w:tc>
          <w:tcPr>
            <w:tcW w:w="740" w:type="dxa"/>
            <w:tcBorders>
              <w:top w:val="single" w:color="auto" w:sz="4" w:space="0"/>
              <w:bottom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严重</w:t>
            </w:r>
          </w:p>
        </w:tc>
        <w:tc>
          <w:tcPr>
            <w:tcW w:w="2123" w:type="dxa"/>
            <w:tcBorders>
              <w:top w:val="single" w:color="auto" w:sz="4" w:space="0"/>
              <w:bottom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造成较大以上水上安全生产事故</w:t>
            </w:r>
          </w:p>
        </w:tc>
        <w:tc>
          <w:tcPr>
            <w:tcW w:w="4546" w:type="dxa"/>
            <w:tcBorders>
              <w:top w:val="single" w:color="auto" w:sz="4" w:space="0"/>
              <w:bottom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吊销船长、责任船员的船员证书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7" w:hRule="atLeast"/>
          <w:jc w:val="center"/>
        </w:trPr>
        <w:tc>
          <w:tcPr>
            <w:tcW w:w="421" w:type="dxa"/>
            <w:vMerge w:val="restart"/>
            <w:tcBorders>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r>
              <w:rPr>
                <w:rFonts w:hint="eastAsia" w:ascii="仿宋_GB2312" w:hAnsi="仿宋_GB2312" w:eastAsia="仿宋_GB2312" w:cs="仿宋_GB2312"/>
                <w:color w:val="000000"/>
                <w:kern w:val="0"/>
                <w:sz w:val="21"/>
                <w:szCs w:val="21"/>
                <w:lang w:val="en-US" w:eastAsia="zh-CN"/>
              </w:rPr>
              <w:t>43</w:t>
            </w:r>
          </w:p>
        </w:tc>
        <w:tc>
          <w:tcPr>
            <w:tcW w:w="1506" w:type="dxa"/>
            <w:vMerge w:val="restart"/>
            <w:tcBorders>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渔业船舶的船长未确保渔业船舶和船员携带符合法定要求的证书、文书以及有关航行资料；船舶进港、出港、靠泊、通过交通密集区、危险航区等区域，或遇有恶劣天气和海况等紧急情况时，未在驾驶台值班，或未在必要时直接指挥船舶</w:t>
            </w:r>
          </w:p>
        </w:tc>
        <w:tc>
          <w:tcPr>
            <w:tcW w:w="4664" w:type="dxa"/>
            <w:vMerge w:val="restart"/>
            <w:tcBorders>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 xml:space="preserve">《中华人民共和国渔业船员管理办法》第四十四条第一款渔业船舶的船长违反本办法第二十三条第一项、第二项、第五项、第七项、第十项规定的，由渔政渔港监督管理机构处2000元以上2万元以下罚款；情节严重的，并处暂扣渔业船员证书6个月以上2年以下直至吊销渔业船员证书的处罚。违反第二十三条第三项、第六项规定的，责令改正，并可以处警告、2000元以上2万元以下罚款；情节严重的，并处暂扣渔业船员证书6个月以下，直至吊销渔业船员证书的处罚。违反第二十三条第四项、第八项、第九项、第十一项规定的，由渔政渔港监督管理机构处2000元以上2万元以下罚款。 </w:t>
            </w:r>
          </w:p>
        </w:tc>
        <w:tc>
          <w:tcPr>
            <w:tcW w:w="740" w:type="dxa"/>
            <w:tcBorders>
              <w:top w:val="single" w:color="auto" w:sz="4" w:space="0"/>
              <w:bottom w:val="single" w:color="auto" w:sz="4" w:space="0"/>
              <w:tl2br w:val="nil"/>
              <w:tr2bl w:val="nil"/>
            </w:tcBorders>
            <w:tcMar>
              <w:top w:w="57" w:type="dxa"/>
              <w:left w:w="57" w:type="dxa"/>
              <w:bottom w:w="57" w:type="dxa"/>
              <w:right w:w="57" w:type="dxa"/>
            </w:tcMar>
            <w:vAlign w:val="center"/>
          </w:tcPr>
          <w:p>
            <w:pPr>
              <w:keepNext w:val="0"/>
              <w:keepLines w:val="0"/>
              <w:widowControl/>
              <w:suppressLineNumbers w:val="0"/>
              <w:jc w:val="center"/>
              <w:textAlignment w:val="center"/>
              <w:rPr>
                <w:rFonts w:hint="default" w:ascii="仿宋_GB2312" w:hAnsi="仿宋_GB2312" w:eastAsia="仿宋_GB2312" w:cs="仿宋_GB2312"/>
                <w:color w:val="000000"/>
                <w:kern w:val="0"/>
                <w:sz w:val="21"/>
                <w:szCs w:val="21"/>
                <w:lang w:val="en-US" w:eastAsia="zh-CN"/>
              </w:rPr>
            </w:pPr>
            <w:r>
              <w:rPr>
                <w:rFonts w:hint="default" w:ascii="等线" w:hAnsi="等线" w:eastAsia="等线" w:cs="等线"/>
                <w:i w:val="0"/>
                <w:color w:val="000000"/>
                <w:kern w:val="0"/>
                <w:sz w:val="22"/>
                <w:szCs w:val="22"/>
                <w:u w:val="none"/>
                <w:lang w:val="en-US" w:eastAsia="zh-CN" w:bidi="ar"/>
              </w:rPr>
              <w:t>较轻</w:t>
            </w:r>
          </w:p>
        </w:tc>
        <w:tc>
          <w:tcPr>
            <w:tcW w:w="2123" w:type="dxa"/>
            <w:tcBorders>
              <w:top w:val="single" w:color="auto" w:sz="4" w:space="0"/>
              <w:bottom w:val="single" w:color="auto" w:sz="4" w:space="0"/>
              <w:tl2br w:val="nil"/>
              <w:tr2bl w:val="nil"/>
            </w:tcBorders>
            <w:tcMar>
              <w:top w:w="57" w:type="dxa"/>
              <w:left w:w="57" w:type="dxa"/>
              <w:bottom w:w="57" w:type="dxa"/>
              <w:right w:w="57" w:type="dxa"/>
            </w:tcMar>
            <w:vAlign w:val="center"/>
          </w:tcPr>
          <w:p>
            <w:pPr>
              <w:keepNext w:val="0"/>
              <w:keepLines w:val="0"/>
              <w:widowControl/>
              <w:suppressLineNumbers w:val="0"/>
              <w:jc w:val="left"/>
              <w:textAlignment w:val="center"/>
              <w:rPr>
                <w:rFonts w:hint="default" w:ascii="仿宋_GB2312" w:hAnsi="仿宋_GB2312" w:eastAsia="仿宋_GB2312" w:cs="仿宋_GB2312"/>
                <w:color w:val="000000"/>
                <w:kern w:val="0"/>
                <w:sz w:val="21"/>
                <w:szCs w:val="21"/>
                <w:lang w:val="en-US" w:eastAsia="zh-CN"/>
              </w:rPr>
            </w:pPr>
            <w:r>
              <w:rPr>
                <w:rFonts w:hint="default" w:ascii="等线" w:hAnsi="等线" w:eastAsia="等线" w:cs="等线"/>
                <w:i w:val="0"/>
                <w:color w:val="000000"/>
                <w:kern w:val="0"/>
                <w:sz w:val="22"/>
                <w:szCs w:val="22"/>
                <w:u w:val="none"/>
                <w:lang w:val="en-US" w:eastAsia="zh-CN" w:bidi="ar"/>
              </w:rPr>
              <w:t>未造成水上安全生产事故</w:t>
            </w:r>
          </w:p>
        </w:tc>
        <w:tc>
          <w:tcPr>
            <w:tcW w:w="4546" w:type="dxa"/>
            <w:tcBorders>
              <w:top w:val="single" w:color="auto" w:sz="4" w:space="0"/>
              <w:bottom w:val="single" w:color="auto" w:sz="4" w:space="0"/>
              <w:tl2br w:val="nil"/>
              <w:tr2bl w:val="nil"/>
            </w:tcBorders>
            <w:tcMar>
              <w:top w:w="57" w:type="dxa"/>
              <w:left w:w="57" w:type="dxa"/>
              <w:bottom w:w="57" w:type="dxa"/>
              <w:right w:w="57" w:type="dxa"/>
            </w:tcMar>
            <w:vAlign w:val="center"/>
          </w:tcPr>
          <w:p>
            <w:pPr>
              <w:keepNext w:val="0"/>
              <w:keepLines w:val="0"/>
              <w:widowControl/>
              <w:suppressLineNumbers w:val="0"/>
              <w:jc w:val="left"/>
              <w:textAlignment w:val="center"/>
              <w:rPr>
                <w:rFonts w:hint="default" w:ascii="仿宋_GB2312" w:hAnsi="仿宋_GB2312" w:eastAsia="仿宋_GB2312" w:cs="仿宋_GB2312"/>
                <w:color w:val="000000"/>
                <w:kern w:val="0"/>
                <w:sz w:val="21"/>
                <w:szCs w:val="21"/>
                <w:lang w:val="en-US" w:eastAsia="zh-CN"/>
              </w:rPr>
            </w:pPr>
            <w:r>
              <w:rPr>
                <w:rFonts w:hint="default" w:ascii="等线" w:hAnsi="等线" w:eastAsia="等线" w:cs="等线"/>
                <w:i w:val="0"/>
                <w:color w:val="000000"/>
                <w:kern w:val="0"/>
                <w:sz w:val="22"/>
                <w:szCs w:val="22"/>
                <w:u w:val="none"/>
                <w:lang w:val="en-US" w:eastAsia="zh-CN" w:bidi="ar"/>
              </w:rPr>
              <w:t>处二千元以上一万元以下罚款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7" w:hRule="atLeast"/>
          <w:jc w:val="center"/>
        </w:trPr>
        <w:tc>
          <w:tcPr>
            <w:tcW w:w="421" w:type="dxa"/>
            <w:vMerge w:val="continue"/>
            <w:tcBorders>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p>
        </w:tc>
        <w:tc>
          <w:tcPr>
            <w:tcW w:w="1506" w:type="dxa"/>
            <w:vMerge w:val="continue"/>
            <w:tcBorders>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p>
        </w:tc>
        <w:tc>
          <w:tcPr>
            <w:tcW w:w="4664" w:type="dxa"/>
            <w:vMerge w:val="continue"/>
            <w:tcBorders>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p>
        </w:tc>
        <w:tc>
          <w:tcPr>
            <w:tcW w:w="740" w:type="dxa"/>
            <w:tcBorders>
              <w:top w:val="single" w:color="auto" w:sz="4" w:space="0"/>
              <w:bottom w:val="single" w:color="auto" w:sz="4" w:space="0"/>
              <w:tl2br w:val="nil"/>
              <w:tr2bl w:val="nil"/>
            </w:tcBorders>
            <w:tcMar>
              <w:top w:w="57" w:type="dxa"/>
              <w:left w:w="57" w:type="dxa"/>
              <w:bottom w:w="57" w:type="dxa"/>
              <w:right w:w="57" w:type="dxa"/>
            </w:tcMar>
            <w:vAlign w:val="center"/>
          </w:tcPr>
          <w:p>
            <w:pPr>
              <w:keepNext w:val="0"/>
              <w:keepLines w:val="0"/>
              <w:widowControl/>
              <w:suppressLineNumbers w:val="0"/>
              <w:jc w:val="center"/>
              <w:textAlignment w:val="center"/>
              <w:rPr>
                <w:rFonts w:hint="default" w:ascii="仿宋_GB2312" w:hAnsi="仿宋_GB2312" w:eastAsia="仿宋_GB2312" w:cs="仿宋_GB2312"/>
                <w:color w:val="000000"/>
                <w:kern w:val="0"/>
                <w:sz w:val="21"/>
                <w:szCs w:val="21"/>
                <w:lang w:val="en-US" w:eastAsia="zh-CN"/>
              </w:rPr>
            </w:pPr>
            <w:r>
              <w:rPr>
                <w:rFonts w:hint="default" w:ascii="等线" w:hAnsi="等线" w:eastAsia="等线" w:cs="等线"/>
                <w:i w:val="0"/>
                <w:color w:val="000000"/>
                <w:kern w:val="0"/>
                <w:sz w:val="22"/>
                <w:szCs w:val="22"/>
                <w:u w:val="none"/>
                <w:lang w:val="en-US" w:eastAsia="zh-CN" w:bidi="ar"/>
              </w:rPr>
              <w:t>一般</w:t>
            </w:r>
          </w:p>
        </w:tc>
        <w:tc>
          <w:tcPr>
            <w:tcW w:w="2123" w:type="dxa"/>
            <w:tcBorders>
              <w:top w:val="single" w:color="auto" w:sz="4" w:space="0"/>
              <w:bottom w:val="single" w:color="auto" w:sz="4" w:space="0"/>
              <w:tl2br w:val="nil"/>
              <w:tr2bl w:val="nil"/>
            </w:tcBorders>
            <w:tcMar>
              <w:top w:w="57" w:type="dxa"/>
              <w:left w:w="57" w:type="dxa"/>
              <w:bottom w:w="57" w:type="dxa"/>
              <w:right w:w="57" w:type="dxa"/>
            </w:tcMar>
            <w:vAlign w:val="center"/>
          </w:tcPr>
          <w:p>
            <w:pPr>
              <w:keepNext w:val="0"/>
              <w:keepLines w:val="0"/>
              <w:widowControl/>
              <w:suppressLineNumbers w:val="0"/>
              <w:jc w:val="left"/>
              <w:textAlignment w:val="center"/>
              <w:rPr>
                <w:rFonts w:hint="default" w:ascii="仿宋_GB2312" w:hAnsi="仿宋_GB2312" w:eastAsia="仿宋_GB2312" w:cs="仿宋_GB2312"/>
                <w:color w:val="000000"/>
                <w:kern w:val="0"/>
                <w:sz w:val="21"/>
                <w:szCs w:val="21"/>
                <w:lang w:val="en-US" w:eastAsia="zh-CN"/>
              </w:rPr>
            </w:pPr>
            <w:r>
              <w:rPr>
                <w:rFonts w:hint="default" w:ascii="等线" w:hAnsi="等线" w:eastAsia="等线" w:cs="等线"/>
                <w:i w:val="0"/>
                <w:color w:val="000000"/>
                <w:kern w:val="0"/>
                <w:sz w:val="22"/>
                <w:szCs w:val="22"/>
                <w:u w:val="none"/>
                <w:lang w:val="en-US" w:eastAsia="zh-CN" w:bidi="ar"/>
              </w:rPr>
              <w:t>造成一般水上安全生产事故</w:t>
            </w:r>
          </w:p>
        </w:tc>
        <w:tc>
          <w:tcPr>
            <w:tcW w:w="4546" w:type="dxa"/>
            <w:tcBorders>
              <w:top w:val="single" w:color="auto" w:sz="4" w:space="0"/>
              <w:bottom w:val="single" w:color="auto" w:sz="4" w:space="0"/>
              <w:tl2br w:val="nil"/>
              <w:tr2bl w:val="nil"/>
            </w:tcBorders>
            <w:tcMar>
              <w:top w:w="57" w:type="dxa"/>
              <w:left w:w="57" w:type="dxa"/>
              <w:bottom w:w="57" w:type="dxa"/>
              <w:right w:w="57" w:type="dxa"/>
            </w:tcMar>
            <w:vAlign w:val="center"/>
          </w:tcPr>
          <w:p>
            <w:pPr>
              <w:keepNext w:val="0"/>
              <w:keepLines w:val="0"/>
              <w:widowControl/>
              <w:suppressLineNumbers w:val="0"/>
              <w:jc w:val="left"/>
              <w:textAlignment w:val="center"/>
              <w:rPr>
                <w:rFonts w:hint="default" w:ascii="仿宋_GB2312" w:hAnsi="仿宋_GB2312" w:eastAsia="仿宋_GB2312" w:cs="仿宋_GB2312"/>
                <w:color w:val="000000"/>
                <w:kern w:val="0"/>
                <w:sz w:val="21"/>
                <w:szCs w:val="21"/>
                <w:lang w:val="en-US" w:eastAsia="zh-CN"/>
              </w:rPr>
            </w:pPr>
            <w:r>
              <w:rPr>
                <w:rFonts w:hint="default" w:ascii="等线" w:hAnsi="等线" w:eastAsia="等线" w:cs="等线"/>
                <w:i w:val="0"/>
                <w:color w:val="000000"/>
                <w:kern w:val="0"/>
                <w:sz w:val="22"/>
                <w:szCs w:val="22"/>
                <w:u w:val="none"/>
                <w:lang w:val="en-US" w:eastAsia="zh-CN" w:bidi="ar"/>
              </w:rPr>
              <w:t>处一万元以上二万元以下罚款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7" w:hRule="atLeast"/>
          <w:jc w:val="center"/>
        </w:trPr>
        <w:tc>
          <w:tcPr>
            <w:tcW w:w="421" w:type="dxa"/>
            <w:vMerge w:val="continue"/>
            <w:tcBorders>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p>
        </w:tc>
        <w:tc>
          <w:tcPr>
            <w:tcW w:w="1506" w:type="dxa"/>
            <w:vMerge w:val="continue"/>
            <w:tcBorders>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p>
        </w:tc>
        <w:tc>
          <w:tcPr>
            <w:tcW w:w="4664" w:type="dxa"/>
            <w:vMerge w:val="continue"/>
            <w:tcBorders>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p>
        </w:tc>
        <w:tc>
          <w:tcPr>
            <w:tcW w:w="740" w:type="dxa"/>
            <w:tcBorders>
              <w:top w:val="single" w:color="auto" w:sz="4" w:space="0"/>
              <w:bottom w:val="single" w:color="auto" w:sz="4" w:space="0"/>
              <w:tl2br w:val="nil"/>
              <w:tr2bl w:val="nil"/>
            </w:tcBorders>
            <w:tcMar>
              <w:top w:w="57" w:type="dxa"/>
              <w:left w:w="57" w:type="dxa"/>
              <w:bottom w:w="57" w:type="dxa"/>
              <w:right w:w="57" w:type="dxa"/>
            </w:tcMar>
            <w:vAlign w:val="center"/>
          </w:tcPr>
          <w:p>
            <w:pPr>
              <w:keepNext w:val="0"/>
              <w:keepLines w:val="0"/>
              <w:widowControl/>
              <w:suppressLineNumbers w:val="0"/>
              <w:jc w:val="center"/>
              <w:textAlignment w:val="center"/>
              <w:rPr>
                <w:rFonts w:hint="default" w:ascii="仿宋_GB2312" w:hAnsi="仿宋_GB2312" w:eastAsia="仿宋_GB2312" w:cs="仿宋_GB2312"/>
                <w:color w:val="000000"/>
                <w:kern w:val="0"/>
                <w:sz w:val="21"/>
                <w:szCs w:val="21"/>
                <w:lang w:val="en-US" w:eastAsia="zh-CN"/>
              </w:rPr>
            </w:pPr>
            <w:r>
              <w:rPr>
                <w:rFonts w:hint="default" w:ascii="等线" w:hAnsi="等线" w:eastAsia="等线" w:cs="等线"/>
                <w:i w:val="0"/>
                <w:color w:val="000000"/>
                <w:kern w:val="0"/>
                <w:sz w:val="22"/>
                <w:szCs w:val="22"/>
                <w:u w:val="none"/>
                <w:lang w:val="en-US" w:eastAsia="zh-CN" w:bidi="ar"/>
              </w:rPr>
              <w:t>严重</w:t>
            </w:r>
          </w:p>
        </w:tc>
        <w:tc>
          <w:tcPr>
            <w:tcW w:w="2123" w:type="dxa"/>
            <w:tcBorders>
              <w:top w:val="single" w:color="auto" w:sz="4" w:space="0"/>
              <w:bottom w:val="single" w:color="auto" w:sz="4" w:space="0"/>
              <w:tl2br w:val="nil"/>
              <w:tr2bl w:val="nil"/>
            </w:tcBorders>
            <w:tcMar>
              <w:top w:w="57" w:type="dxa"/>
              <w:left w:w="57" w:type="dxa"/>
              <w:bottom w:w="57" w:type="dxa"/>
              <w:right w:w="57" w:type="dxa"/>
            </w:tcMar>
            <w:vAlign w:val="center"/>
          </w:tcPr>
          <w:p>
            <w:pPr>
              <w:keepNext w:val="0"/>
              <w:keepLines w:val="0"/>
              <w:widowControl/>
              <w:suppressLineNumbers w:val="0"/>
              <w:jc w:val="left"/>
              <w:textAlignment w:val="center"/>
              <w:rPr>
                <w:rFonts w:hint="default" w:ascii="仿宋_GB2312" w:hAnsi="仿宋_GB2312" w:eastAsia="仿宋_GB2312" w:cs="仿宋_GB2312"/>
                <w:color w:val="000000"/>
                <w:kern w:val="0"/>
                <w:sz w:val="21"/>
                <w:szCs w:val="21"/>
                <w:lang w:val="en-US" w:eastAsia="zh-CN"/>
              </w:rPr>
            </w:pPr>
            <w:r>
              <w:rPr>
                <w:rFonts w:hint="default" w:ascii="等线" w:hAnsi="等线" w:eastAsia="等线" w:cs="等线"/>
                <w:i w:val="0"/>
                <w:color w:val="000000"/>
                <w:kern w:val="0"/>
                <w:sz w:val="22"/>
                <w:szCs w:val="22"/>
                <w:u w:val="none"/>
                <w:lang w:val="en-US" w:eastAsia="zh-CN" w:bidi="ar"/>
              </w:rPr>
              <w:t>造成较大以上水上安全生产事故</w:t>
            </w:r>
          </w:p>
        </w:tc>
        <w:tc>
          <w:tcPr>
            <w:tcW w:w="4546" w:type="dxa"/>
            <w:tcBorders>
              <w:top w:val="single" w:color="auto" w:sz="4" w:space="0"/>
              <w:bottom w:val="single" w:color="auto" w:sz="4" w:space="0"/>
              <w:tl2br w:val="nil"/>
              <w:tr2bl w:val="nil"/>
            </w:tcBorders>
            <w:tcMar>
              <w:top w:w="57" w:type="dxa"/>
              <w:left w:w="57" w:type="dxa"/>
              <w:bottom w:w="57" w:type="dxa"/>
              <w:right w:w="57" w:type="dxa"/>
            </w:tcMar>
            <w:vAlign w:val="center"/>
          </w:tcPr>
          <w:p>
            <w:pPr>
              <w:keepNext w:val="0"/>
              <w:keepLines w:val="0"/>
              <w:widowControl/>
              <w:suppressLineNumbers w:val="0"/>
              <w:jc w:val="left"/>
              <w:textAlignment w:val="center"/>
              <w:rPr>
                <w:rFonts w:hint="default" w:ascii="仿宋_GB2312" w:hAnsi="仿宋_GB2312" w:eastAsia="仿宋_GB2312" w:cs="仿宋_GB2312"/>
                <w:color w:val="000000"/>
                <w:kern w:val="0"/>
                <w:sz w:val="21"/>
                <w:szCs w:val="21"/>
                <w:lang w:val="en-US" w:eastAsia="zh-CN"/>
              </w:rPr>
            </w:pPr>
            <w:r>
              <w:rPr>
                <w:rFonts w:hint="default" w:ascii="等线" w:hAnsi="等线" w:eastAsia="等线" w:cs="等线"/>
                <w:i w:val="0"/>
                <w:color w:val="000000"/>
                <w:kern w:val="0"/>
                <w:sz w:val="22"/>
                <w:szCs w:val="22"/>
                <w:u w:val="none"/>
                <w:lang w:val="en-US" w:eastAsia="zh-CN" w:bidi="ar"/>
              </w:rPr>
              <w:t>处一万元以上不超过二万元罚款，并暂扣船员证书六个月以上不超过二年，直至吊销船员证书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12" w:hRule="atLeast"/>
          <w:jc w:val="center"/>
        </w:trPr>
        <w:tc>
          <w:tcPr>
            <w:tcW w:w="421" w:type="dxa"/>
            <w:vMerge w:val="restart"/>
            <w:tcBorders>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r>
              <w:rPr>
                <w:rFonts w:hint="eastAsia" w:ascii="仿宋_GB2312" w:hAnsi="仿宋_GB2312" w:eastAsia="仿宋_GB2312" w:cs="仿宋_GB2312"/>
                <w:color w:val="000000"/>
                <w:kern w:val="0"/>
                <w:sz w:val="21"/>
                <w:szCs w:val="21"/>
                <w:lang w:val="en-US" w:eastAsia="zh-CN"/>
              </w:rPr>
              <w:t>44</w:t>
            </w:r>
          </w:p>
        </w:tc>
        <w:tc>
          <w:tcPr>
            <w:tcW w:w="1506" w:type="dxa"/>
            <w:vMerge w:val="restart"/>
            <w:tcBorders>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渔业船舶的船长未在渔业船员证书内如实记载渔业船员的履职情况</w:t>
            </w:r>
          </w:p>
        </w:tc>
        <w:tc>
          <w:tcPr>
            <w:tcW w:w="4664" w:type="dxa"/>
            <w:vMerge w:val="restart"/>
            <w:tcBorders>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 xml:space="preserve">《中华人民共和国渔业船员管理办法》第四十四条第一款渔业船舶的船长违反本办法第二十三条第一项、第二项、第五项、第七项、第十项规定的，由渔政渔港监督管理机构处2000元以上2万元以下罚款；情节严重的，并处暂扣渔业船员证书6个月以上2年以下直至吊销渔业船员证书的处罚。违反第二十三条第三项、第六项规定的，责令改正，并可以处警告、2000元以上2万元以下罚款；情节严重的，并处暂扣渔业船员证书6个月以下，直至吊销渔业船员证书的处罚。违反第二十三条第四项、第八项、第九项、第十一项规定的，由渔政渔港监督管理机构处2000元以上2万元以下罚款。 </w:t>
            </w:r>
          </w:p>
        </w:tc>
        <w:tc>
          <w:tcPr>
            <w:tcW w:w="740" w:type="dxa"/>
            <w:tcBorders>
              <w:top w:val="single" w:color="auto" w:sz="4" w:space="0"/>
              <w:bottom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一般</w:t>
            </w:r>
          </w:p>
        </w:tc>
        <w:tc>
          <w:tcPr>
            <w:tcW w:w="2123" w:type="dxa"/>
            <w:tcBorders>
              <w:top w:val="single" w:color="auto" w:sz="4" w:space="0"/>
              <w:bottom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记载不全，但无隐瞒或虚假内容</w:t>
            </w:r>
          </w:p>
        </w:tc>
        <w:tc>
          <w:tcPr>
            <w:tcW w:w="4546" w:type="dxa"/>
            <w:tcBorders>
              <w:top w:val="single" w:color="auto" w:sz="4" w:space="0"/>
              <w:bottom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处二千元以上不超过二万元罚款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7" w:hRule="atLeast"/>
          <w:jc w:val="center"/>
        </w:trPr>
        <w:tc>
          <w:tcPr>
            <w:tcW w:w="421" w:type="dxa"/>
            <w:vMerge w:val="continue"/>
            <w:tcBorders>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p>
        </w:tc>
        <w:tc>
          <w:tcPr>
            <w:tcW w:w="1506" w:type="dxa"/>
            <w:vMerge w:val="continue"/>
            <w:tcBorders>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p>
        </w:tc>
        <w:tc>
          <w:tcPr>
            <w:tcW w:w="4664" w:type="dxa"/>
            <w:vMerge w:val="continue"/>
            <w:tcBorders>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p>
        </w:tc>
        <w:tc>
          <w:tcPr>
            <w:tcW w:w="740" w:type="dxa"/>
            <w:tcBorders>
              <w:top w:val="single" w:color="auto" w:sz="4" w:space="0"/>
              <w:bottom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严重</w:t>
            </w:r>
          </w:p>
        </w:tc>
        <w:tc>
          <w:tcPr>
            <w:tcW w:w="2123" w:type="dxa"/>
            <w:tcBorders>
              <w:top w:val="single" w:color="auto" w:sz="4" w:space="0"/>
              <w:bottom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记载中有隐瞒或虚假内容</w:t>
            </w:r>
          </w:p>
        </w:tc>
        <w:tc>
          <w:tcPr>
            <w:tcW w:w="4546" w:type="dxa"/>
            <w:tcBorders>
              <w:top w:val="single" w:color="auto" w:sz="4" w:space="0"/>
              <w:bottom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处二千元以上不超过二万元罚款，并暂扣船员证书六个月以上不超过二年，直至吊销船员证书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7" w:hRule="atLeast"/>
          <w:jc w:val="center"/>
        </w:trPr>
        <w:tc>
          <w:tcPr>
            <w:tcW w:w="421" w:type="dxa"/>
            <w:vMerge w:val="restart"/>
            <w:tcBorders>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r>
              <w:rPr>
                <w:rFonts w:hint="eastAsia" w:ascii="仿宋_GB2312" w:hAnsi="仿宋_GB2312" w:eastAsia="仿宋_GB2312" w:cs="仿宋_GB2312"/>
                <w:color w:val="000000"/>
                <w:kern w:val="0"/>
                <w:sz w:val="21"/>
                <w:szCs w:val="21"/>
                <w:lang w:val="en-US" w:eastAsia="zh-CN"/>
              </w:rPr>
              <w:t>45</w:t>
            </w:r>
          </w:p>
        </w:tc>
        <w:tc>
          <w:tcPr>
            <w:tcW w:w="1506" w:type="dxa"/>
            <w:vMerge w:val="restart"/>
            <w:tcBorders>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渔业船舶的船长在弃船时未最后离船</w:t>
            </w:r>
          </w:p>
        </w:tc>
        <w:tc>
          <w:tcPr>
            <w:tcW w:w="4664" w:type="dxa"/>
            <w:vMerge w:val="restart"/>
            <w:tcBorders>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 xml:space="preserve">《中华人民共和国渔业船员管理办法》第四十四条第一款渔业船舶的船长违反本办法第二十三条第一项、第二项、第五项、第七项、第十项规定的，由渔政渔港监督管理机构处2000元以上2万元以下罚款；情节严重的，并处暂扣渔业船员证书6个月以上2年以下直至吊销渔业船员证书的处罚。违反第二十三条第三项、第六项规定的，责令改正，并可以处警告、2000元以上2万元以下罚款；情节严重的，并处暂扣渔业船员证书6个月以下，直至吊销渔业船员证书的处罚。违反第二十三条第四项、第八项、第九项、第十一项规定的，由渔政渔港监督管理机构处2000元以上2万元以下罚款。 </w:t>
            </w:r>
          </w:p>
        </w:tc>
        <w:tc>
          <w:tcPr>
            <w:tcW w:w="740" w:type="dxa"/>
            <w:tcBorders>
              <w:top w:val="single" w:color="auto" w:sz="4" w:space="0"/>
              <w:bottom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一般</w:t>
            </w:r>
          </w:p>
        </w:tc>
        <w:tc>
          <w:tcPr>
            <w:tcW w:w="2123" w:type="dxa"/>
            <w:tcBorders>
              <w:top w:val="single" w:color="auto" w:sz="4" w:space="0"/>
              <w:bottom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未造成船上人员伤亡或财产损失</w:t>
            </w:r>
          </w:p>
        </w:tc>
        <w:tc>
          <w:tcPr>
            <w:tcW w:w="4546" w:type="dxa"/>
            <w:tcBorders>
              <w:top w:val="single" w:color="auto" w:sz="4" w:space="0"/>
              <w:bottom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处二千元以上不超过二万元罚款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7" w:hRule="atLeast"/>
          <w:jc w:val="center"/>
        </w:trPr>
        <w:tc>
          <w:tcPr>
            <w:tcW w:w="421" w:type="dxa"/>
            <w:vMerge w:val="continue"/>
            <w:tcBorders>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p>
        </w:tc>
        <w:tc>
          <w:tcPr>
            <w:tcW w:w="1506" w:type="dxa"/>
            <w:vMerge w:val="continue"/>
            <w:tcBorders>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p>
        </w:tc>
        <w:tc>
          <w:tcPr>
            <w:tcW w:w="4664" w:type="dxa"/>
            <w:vMerge w:val="continue"/>
            <w:tcBorders>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p>
        </w:tc>
        <w:tc>
          <w:tcPr>
            <w:tcW w:w="740" w:type="dxa"/>
            <w:tcBorders>
              <w:top w:val="single" w:color="auto" w:sz="4" w:space="0"/>
              <w:bottom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严重</w:t>
            </w:r>
          </w:p>
        </w:tc>
        <w:tc>
          <w:tcPr>
            <w:tcW w:w="2123" w:type="dxa"/>
            <w:tcBorders>
              <w:top w:val="single" w:color="auto" w:sz="4" w:space="0"/>
              <w:bottom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造成船上人员伤亡或财产损失</w:t>
            </w:r>
          </w:p>
        </w:tc>
        <w:tc>
          <w:tcPr>
            <w:tcW w:w="4546" w:type="dxa"/>
            <w:tcBorders>
              <w:top w:val="single" w:color="auto" w:sz="4" w:space="0"/>
              <w:bottom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处二千元以上不超过二万元罚款，并暂扣船员证书六个月以上不超过二年，直至吊销船员证书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93" w:hRule="atLeast"/>
          <w:jc w:val="center"/>
        </w:trPr>
        <w:tc>
          <w:tcPr>
            <w:tcW w:w="421" w:type="dxa"/>
            <w:vMerge w:val="restart"/>
            <w:tcBorders>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r>
              <w:rPr>
                <w:rFonts w:hint="eastAsia" w:ascii="仿宋_GB2312" w:hAnsi="仿宋_GB2312" w:eastAsia="仿宋_GB2312" w:cs="仿宋_GB2312"/>
                <w:color w:val="000000"/>
                <w:kern w:val="0"/>
                <w:sz w:val="21"/>
                <w:szCs w:val="21"/>
                <w:lang w:val="en-US" w:eastAsia="zh-CN"/>
              </w:rPr>
              <w:t>46</w:t>
            </w:r>
          </w:p>
        </w:tc>
        <w:tc>
          <w:tcPr>
            <w:tcW w:w="1506" w:type="dxa"/>
            <w:vMerge w:val="restart"/>
            <w:tcBorders>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发生涉外事件、公海登临和港口国检查时，渔业船舶的船长未立即向渔政渔港监督管理机构报告，或未在规定的时间内提交书面报告</w:t>
            </w:r>
          </w:p>
        </w:tc>
        <w:tc>
          <w:tcPr>
            <w:tcW w:w="4664" w:type="dxa"/>
            <w:vMerge w:val="restart"/>
            <w:tcBorders>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 xml:space="preserve">《中华人民共和国渔业船员管理办法》第四十四条第一款渔业船舶的船长违反本办法第二十三条第一项、第二项、第五项、第七项、第十项规定的，由渔政渔港监督管理机构处2000元以上2万元以下罚款；情节严重的，并处暂扣渔业船员证书6个月以上2年以下直至吊销渔业船员证书的处罚。违反第二十三条第三项、第六项规定的，责令改正，并可以处警告、2000元以上2万元以下罚款；情节严重的，并处暂扣渔业船员证书6个月以下，直至吊销渔业船员证书的处罚。违反第二十三条第四项、第八项、第九项、第十一项规定的，由渔政渔港监督管理机构处2000元以上2万元以下罚款。 </w:t>
            </w:r>
          </w:p>
        </w:tc>
        <w:tc>
          <w:tcPr>
            <w:tcW w:w="740" w:type="dxa"/>
            <w:tcBorders>
              <w:top w:val="single" w:color="auto" w:sz="4" w:space="0"/>
              <w:bottom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一般</w:t>
            </w:r>
          </w:p>
        </w:tc>
        <w:tc>
          <w:tcPr>
            <w:tcW w:w="2123" w:type="dxa"/>
            <w:tcBorders>
              <w:top w:val="single" w:color="auto" w:sz="4" w:space="0"/>
              <w:bottom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报告不及时，但无隐瞒或虚假内容</w:t>
            </w:r>
          </w:p>
        </w:tc>
        <w:tc>
          <w:tcPr>
            <w:tcW w:w="4546" w:type="dxa"/>
            <w:tcBorders>
              <w:top w:val="single" w:color="auto" w:sz="4" w:space="0"/>
              <w:bottom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处二千元以上一万元以下罚款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7" w:hRule="atLeast"/>
          <w:jc w:val="center"/>
        </w:trPr>
        <w:tc>
          <w:tcPr>
            <w:tcW w:w="421" w:type="dxa"/>
            <w:vMerge w:val="continue"/>
            <w:tcBorders>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p>
        </w:tc>
        <w:tc>
          <w:tcPr>
            <w:tcW w:w="1506" w:type="dxa"/>
            <w:vMerge w:val="continue"/>
            <w:tcBorders>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p>
        </w:tc>
        <w:tc>
          <w:tcPr>
            <w:tcW w:w="4664" w:type="dxa"/>
            <w:vMerge w:val="continue"/>
            <w:tcBorders>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p>
        </w:tc>
        <w:tc>
          <w:tcPr>
            <w:tcW w:w="740" w:type="dxa"/>
            <w:tcBorders>
              <w:top w:val="single" w:color="auto" w:sz="4" w:space="0"/>
              <w:bottom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严重</w:t>
            </w:r>
          </w:p>
        </w:tc>
        <w:tc>
          <w:tcPr>
            <w:tcW w:w="2123" w:type="dxa"/>
            <w:tcBorders>
              <w:top w:val="single" w:color="auto" w:sz="4" w:space="0"/>
              <w:bottom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报告有隐瞒或虚假内容</w:t>
            </w:r>
          </w:p>
        </w:tc>
        <w:tc>
          <w:tcPr>
            <w:tcW w:w="4546" w:type="dxa"/>
            <w:tcBorders>
              <w:top w:val="single" w:color="auto" w:sz="4" w:space="0"/>
              <w:bottom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处一万元以上不超过二万元罚款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7" w:hRule="atLeast"/>
          <w:jc w:val="center"/>
        </w:trPr>
        <w:tc>
          <w:tcPr>
            <w:tcW w:w="421" w:type="dxa"/>
            <w:vMerge w:val="restart"/>
            <w:tcBorders>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r>
              <w:rPr>
                <w:rFonts w:hint="eastAsia" w:ascii="仿宋_GB2312" w:hAnsi="仿宋_GB2312" w:eastAsia="仿宋_GB2312" w:cs="仿宋_GB2312"/>
                <w:color w:val="000000"/>
                <w:kern w:val="0"/>
                <w:sz w:val="21"/>
                <w:szCs w:val="21"/>
                <w:lang w:val="en-US" w:eastAsia="zh-CN"/>
              </w:rPr>
              <w:t>47</w:t>
            </w:r>
          </w:p>
        </w:tc>
        <w:tc>
          <w:tcPr>
            <w:tcW w:w="1506" w:type="dxa"/>
            <w:vMerge w:val="restart"/>
            <w:tcBorders>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未经渔政渔港监督管理机关批准或者未按照批准文件的规定，在渔港内装卸易燃、易爆、有毒等危险货物</w:t>
            </w:r>
          </w:p>
        </w:tc>
        <w:tc>
          <w:tcPr>
            <w:tcW w:w="4664" w:type="dxa"/>
            <w:vMerge w:val="restart"/>
            <w:tcBorders>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《中华人民共和国渔业港航监督行政处罚规定》第十条有下列违反渔港管理规定行为之一的，渔政渔港监督管理机关应责令其停止作业，并对船长或直接责任人予以警告，并可处500元以上1000元以下罚款：</w:t>
            </w:r>
            <w:r>
              <w:rPr>
                <w:rFonts w:hint="default" w:ascii="仿宋_GB2312" w:hAnsi="仿宋_GB2312" w:eastAsia="仿宋_GB2312" w:cs="仿宋_GB2312"/>
                <w:color w:val="000000"/>
                <w:kern w:val="0"/>
                <w:sz w:val="21"/>
                <w:szCs w:val="21"/>
                <w:lang w:val="en-US" w:eastAsia="zh-CN"/>
              </w:rPr>
              <w:br w:type="textWrapping"/>
            </w:r>
            <w:r>
              <w:rPr>
                <w:rFonts w:hint="default" w:ascii="仿宋_GB2312" w:hAnsi="仿宋_GB2312" w:eastAsia="仿宋_GB2312" w:cs="仿宋_GB2312"/>
                <w:color w:val="000000"/>
                <w:kern w:val="0"/>
                <w:sz w:val="21"/>
                <w:szCs w:val="21"/>
                <w:lang w:val="en-US" w:eastAsia="zh-CN"/>
              </w:rPr>
              <w:t>(一)未经渔政渔港监督管理机关批准或未按批准文件的规定，在渔港内装卸易燃、易爆、有毒等危险货物的；</w:t>
            </w:r>
            <w:r>
              <w:rPr>
                <w:rFonts w:hint="default" w:ascii="仿宋_GB2312" w:hAnsi="仿宋_GB2312" w:eastAsia="仿宋_GB2312" w:cs="仿宋_GB2312"/>
                <w:color w:val="000000"/>
                <w:kern w:val="0"/>
                <w:sz w:val="21"/>
                <w:szCs w:val="21"/>
                <w:lang w:val="en-US" w:eastAsia="zh-CN"/>
              </w:rPr>
              <w:br w:type="textWrapping"/>
            </w:r>
            <w:r>
              <w:rPr>
                <w:rFonts w:hint="default" w:ascii="仿宋_GB2312" w:hAnsi="仿宋_GB2312" w:eastAsia="仿宋_GB2312" w:cs="仿宋_GB2312"/>
                <w:color w:val="000000"/>
                <w:kern w:val="0"/>
                <w:sz w:val="21"/>
                <w:szCs w:val="21"/>
                <w:lang w:val="en-US" w:eastAsia="zh-CN"/>
              </w:rPr>
              <w:t>(二)未经渔政渔港监督管理机关批准，在渔港内新建、改建、扩建各种设施，或者进行其他水上、水下施工作业的；</w:t>
            </w:r>
            <w:r>
              <w:rPr>
                <w:rFonts w:hint="default" w:ascii="仿宋_GB2312" w:hAnsi="仿宋_GB2312" w:eastAsia="仿宋_GB2312" w:cs="仿宋_GB2312"/>
                <w:color w:val="000000"/>
                <w:kern w:val="0"/>
                <w:sz w:val="21"/>
                <w:szCs w:val="21"/>
                <w:lang w:val="en-US" w:eastAsia="zh-CN"/>
              </w:rPr>
              <w:br w:type="textWrapping"/>
            </w:r>
            <w:r>
              <w:rPr>
                <w:rFonts w:hint="default" w:ascii="仿宋_GB2312" w:hAnsi="仿宋_GB2312" w:eastAsia="仿宋_GB2312" w:cs="仿宋_GB2312"/>
                <w:color w:val="000000"/>
                <w:kern w:val="0"/>
                <w:sz w:val="21"/>
                <w:szCs w:val="21"/>
                <w:lang w:val="en-US" w:eastAsia="zh-CN"/>
              </w:rPr>
              <w:t>(三)在渔港内的航道、港池、锚地和停泊区从事有碍海上交通安全的捕捞、养殖等生产活动的。</w:t>
            </w:r>
          </w:p>
        </w:tc>
        <w:tc>
          <w:tcPr>
            <w:tcW w:w="740" w:type="dxa"/>
            <w:tcBorders>
              <w:top w:val="single" w:color="auto" w:sz="4" w:space="0"/>
              <w:bottom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一般</w:t>
            </w:r>
          </w:p>
        </w:tc>
        <w:tc>
          <w:tcPr>
            <w:tcW w:w="2123" w:type="dxa"/>
            <w:tcBorders>
              <w:top w:val="single" w:color="auto" w:sz="4" w:space="0"/>
              <w:bottom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未按照批准文件的规定，在渔港内装卸易燃、易爆、有毒等危险货物</w:t>
            </w:r>
          </w:p>
        </w:tc>
        <w:tc>
          <w:tcPr>
            <w:tcW w:w="4546" w:type="dxa"/>
            <w:tcBorders>
              <w:top w:val="single" w:color="auto" w:sz="4" w:space="0"/>
              <w:bottom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责令停止作业，并对船长或直接责任人予以警告，并可处五百元以上七百五十元以下罚款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9" w:hRule="atLeast"/>
          <w:jc w:val="center"/>
        </w:trPr>
        <w:tc>
          <w:tcPr>
            <w:tcW w:w="421" w:type="dxa"/>
            <w:vMerge w:val="continue"/>
            <w:tcBorders>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p>
        </w:tc>
        <w:tc>
          <w:tcPr>
            <w:tcW w:w="1506" w:type="dxa"/>
            <w:vMerge w:val="continue"/>
            <w:tcBorders>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p>
        </w:tc>
        <w:tc>
          <w:tcPr>
            <w:tcW w:w="4664" w:type="dxa"/>
            <w:vMerge w:val="continue"/>
            <w:tcBorders>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p>
        </w:tc>
        <w:tc>
          <w:tcPr>
            <w:tcW w:w="740" w:type="dxa"/>
            <w:tcBorders>
              <w:top w:val="single" w:color="auto" w:sz="4" w:space="0"/>
              <w:bottom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严重</w:t>
            </w:r>
          </w:p>
        </w:tc>
        <w:tc>
          <w:tcPr>
            <w:tcW w:w="2123" w:type="dxa"/>
            <w:tcBorders>
              <w:top w:val="single" w:color="auto" w:sz="4" w:space="0"/>
              <w:bottom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未经渔政渔港监督管理机构批准，在渔港内装卸易燃、易爆、有毒等危险货物</w:t>
            </w:r>
          </w:p>
        </w:tc>
        <w:tc>
          <w:tcPr>
            <w:tcW w:w="4546" w:type="dxa"/>
            <w:tcBorders>
              <w:top w:val="single" w:color="auto" w:sz="4" w:space="0"/>
              <w:bottom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责令停止作业，并对船长或直接责任人予以警告，并可处七百五十元以上不超过一千元罚款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09" w:hRule="atLeast"/>
          <w:jc w:val="center"/>
        </w:trPr>
        <w:tc>
          <w:tcPr>
            <w:tcW w:w="421" w:type="dxa"/>
            <w:vMerge w:val="restart"/>
            <w:tcBorders>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r>
              <w:rPr>
                <w:rFonts w:hint="eastAsia" w:ascii="仿宋_GB2312" w:hAnsi="仿宋_GB2312" w:eastAsia="仿宋_GB2312" w:cs="仿宋_GB2312"/>
                <w:color w:val="000000"/>
                <w:kern w:val="0"/>
                <w:sz w:val="21"/>
                <w:szCs w:val="21"/>
                <w:lang w:val="en-US" w:eastAsia="zh-CN"/>
              </w:rPr>
              <w:t>48</w:t>
            </w:r>
          </w:p>
        </w:tc>
        <w:tc>
          <w:tcPr>
            <w:tcW w:w="1506" w:type="dxa"/>
            <w:vMerge w:val="restart"/>
            <w:tcBorders>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在渔港内从事有碍海上交通安全的捕捞、养殖等生产活动</w:t>
            </w:r>
          </w:p>
        </w:tc>
        <w:tc>
          <w:tcPr>
            <w:tcW w:w="4664" w:type="dxa"/>
            <w:vMerge w:val="restart"/>
            <w:tcBorders>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《中华人民共和国渔业港航监督行政处罚规定》第十条有下列违反渔港管理规定行为之一的，渔政渔港监督管理机关应责令其停止作业，并对船长或直接责任人予以警告，并可处500元以上1000元以下罚款：</w:t>
            </w:r>
            <w:r>
              <w:rPr>
                <w:rFonts w:hint="default" w:ascii="仿宋_GB2312" w:hAnsi="仿宋_GB2312" w:eastAsia="仿宋_GB2312" w:cs="仿宋_GB2312"/>
                <w:color w:val="000000"/>
                <w:kern w:val="0"/>
                <w:sz w:val="21"/>
                <w:szCs w:val="21"/>
                <w:lang w:val="en-US" w:eastAsia="zh-CN"/>
              </w:rPr>
              <w:br w:type="textWrapping"/>
            </w:r>
            <w:r>
              <w:rPr>
                <w:rFonts w:hint="default" w:ascii="仿宋_GB2312" w:hAnsi="仿宋_GB2312" w:eastAsia="仿宋_GB2312" w:cs="仿宋_GB2312"/>
                <w:color w:val="000000"/>
                <w:kern w:val="0"/>
                <w:sz w:val="21"/>
                <w:szCs w:val="21"/>
                <w:lang w:val="en-US" w:eastAsia="zh-CN"/>
              </w:rPr>
              <w:t>(一)未经渔政渔港监督管理机关批准或未按批准文件的规定，在渔港内装卸易燃、易爆、有毒等危险货物的；</w:t>
            </w:r>
            <w:r>
              <w:rPr>
                <w:rFonts w:hint="default" w:ascii="仿宋_GB2312" w:hAnsi="仿宋_GB2312" w:eastAsia="仿宋_GB2312" w:cs="仿宋_GB2312"/>
                <w:color w:val="000000"/>
                <w:kern w:val="0"/>
                <w:sz w:val="21"/>
                <w:szCs w:val="21"/>
                <w:lang w:val="en-US" w:eastAsia="zh-CN"/>
              </w:rPr>
              <w:br w:type="textWrapping"/>
            </w:r>
            <w:r>
              <w:rPr>
                <w:rFonts w:hint="default" w:ascii="仿宋_GB2312" w:hAnsi="仿宋_GB2312" w:eastAsia="仿宋_GB2312" w:cs="仿宋_GB2312"/>
                <w:color w:val="000000"/>
                <w:kern w:val="0"/>
                <w:sz w:val="21"/>
                <w:szCs w:val="21"/>
                <w:lang w:val="en-US" w:eastAsia="zh-CN"/>
              </w:rPr>
              <w:t>(二)未经渔政渔港监督管理机关批准，在渔港内新建、改建、扩建各种设施，或者进行其他水上、水下施工作业的；</w:t>
            </w:r>
            <w:r>
              <w:rPr>
                <w:rFonts w:hint="default" w:ascii="仿宋_GB2312" w:hAnsi="仿宋_GB2312" w:eastAsia="仿宋_GB2312" w:cs="仿宋_GB2312"/>
                <w:color w:val="000000"/>
                <w:kern w:val="0"/>
                <w:sz w:val="21"/>
                <w:szCs w:val="21"/>
                <w:lang w:val="en-US" w:eastAsia="zh-CN"/>
              </w:rPr>
              <w:br w:type="textWrapping"/>
            </w:r>
            <w:r>
              <w:rPr>
                <w:rFonts w:hint="default" w:ascii="仿宋_GB2312" w:hAnsi="仿宋_GB2312" w:eastAsia="仿宋_GB2312" w:cs="仿宋_GB2312"/>
                <w:color w:val="000000"/>
                <w:kern w:val="0"/>
                <w:sz w:val="21"/>
                <w:szCs w:val="21"/>
                <w:lang w:val="en-US" w:eastAsia="zh-CN"/>
              </w:rPr>
              <w:t>(三)在渔港内的航道、港池、锚地和停泊区从事有碍海上交通安全的捕捞、养殖等生产活动的。</w:t>
            </w:r>
          </w:p>
        </w:tc>
        <w:tc>
          <w:tcPr>
            <w:tcW w:w="740" w:type="dxa"/>
            <w:tcBorders>
              <w:top w:val="single" w:color="auto" w:sz="4" w:space="0"/>
              <w:bottom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一般</w:t>
            </w:r>
          </w:p>
        </w:tc>
        <w:tc>
          <w:tcPr>
            <w:tcW w:w="2123" w:type="dxa"/>
            <w:tcBorders>
              <w:top w:val="single" w:color="auto" w:sz="4" w:space="0"/>
              <w:bottom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未造成险情或水上安全生产事故</w:t>
            </w:r>
          </w:p>
        </w:tc>
        <w:tc>
          <w:tcPr>
            <w:tcW w:w="4546" w:type="dxa"/>
            <w:tcBorders>
              <w:top w:val="single" w:color="auto" w:sz="4" w:space="0"/>
              <w:bottom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责令停止作业，并对船长或直接责任人予以警告，并可处五百元以上七百五十元以下罚款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89" w:hRule="atLeast"/>
          <w:jc w:val="center"/>
        </w:trPr>
        <w:tc>
          <w:tcPr>
            <w:tcW w:w="421" w:type="dxa"/>
            <w:vMerge w:val="continue"/>
            <w:tcBorders>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eastAsia" w:ascii="仿宋_GB2312" w:hAnsi="仿宋_GB2312" w:eastAsia="仿宋_GB2312" w:cs="仿宋_GB2312"/>
                <w:color w:val="000000"/>
                <w:kern w:val="0"/>
                <w:sz w:val="21"/>
                <w:szCs w:val="21"/>
                <w:lang w:val="en-US" w:eastAsia="zh-CN"/>
              </w:rPr>
            </w:pPr>
          </w:p>
        </w:tc>
        <w:tc>
          <w:tcPr>
            <w:tcW w:w="1506" w:type="dxa"/>
            <w:vMerge w:val="continue"/>
            <w:tcBorders>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p>
        </w:tc>
        <w:tc>
          <w:tcPr>
            <w:tcW w:w="4664" w:type="dxa"/>
            <w:vMerge w:val="continue"/>
            <w:tcBorders>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p>
        </w:tc>
        <w:tc>
          <w:tcPr>
            <w:tcW w:w="740" w:type="dxa"/>
            <w:tcBorders>
              <w:top w:val="single" w:color="auto" w:sz="4" w:space="0"/>
              <w:bottom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严重</w:t>
            </w:r>
          </w:p>
        </w:tc>
        <w:tc>
          <w:tcPr>
            <w:tcW w:w="2123" w:type="dxa"/>
            <w:tcBorders>
              <w:top w:val="single" w:color="auto" w:sz="4" w:space="0"/>
              <w:bottom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造成险情或水上安全生产事故</w:t>
            </w:r>
          </w:p>
        </w:tc>
        <w:tc>
          <w:tcPr>
            <w:tcW w:w="4546" w:type="dxa"/>
            <w:tcBorders>
              <w:top w:val="single" w:color="auto" w:sz="4" w:space="0"/>
              <w:bottom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责令停止作业，并对船长或直接责任人予以警告，并可处七百五十元以上不超过一千元罚款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38" w:hRule="atLeast"/>
          <w:jc w:val="center"/>
        </w:trPr>
        <w:tc>
          <w:tcPr>
            <w:tcW w:w="421" w:type="dxa"/>
            <w:vMerge w:val="restart"/>
            <w:tcBorders>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r>
              <w:rPr>
                <w:rFonts w:hint="eastAsia" w:ascii="仿宋_GB2312" w:hAnsi="仿宋_GB2312" w:eastAsia="仿宋_GB2312" w:cs="仿宋_GB2312"/>
                <w:color w:val="000000"/>
                <w:kern w:val="0"/>
                <w:sz w:val="21"/>
                <w:szCs w:val="21"/>
                <w:lang w:val="en-US" w:eastAsia="zh-CN"/>
              </w:rPr>
              <w:t>49</w:t>
            </w:r>
          </w:p>
        </w:tc>
        <w:tc>
          <w:tcPr>
            <w:tcW w:w="1506" w:type="dxa"/>
            <w:vMerge w:val="restart"/>
            <w:tcBorders>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在非紧急情况下，未经渔政渔港监督管理机关批准，滥用烟火信号、信号枪、无线电设备、号笛及其他遇险求救信号</w:t>
            </w:r>
          </w:p>
        </w:tc>
        <w:tc>
          <w:tcPr>
            <w:tcW w:w="4664" w:type="dxa"/>
            <w:vMerge w:val="restart"/>
            <w:tcBorders>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《中华人民共和国渔业港航监督行政处罚规定》第二十条有下列行为之一的，责令其限期改正，对船舶所有者或经营者处200元以上1000元以下罚款：</w:t>
            </w:r>
            <w:r>
              <w:rPr>
                <w:rFonts w:hint="default" w:ascii="仿宋_GB2312" w:hAnsi="仿宋_GB2312" w:eastAsia="仿宋_GB2312" w:cs="仿宋_GB2312"/>
                <w:color w:val="000000"/>
                <w:kern w:val="0"/>
                <w:sz w:val="21"/>
                <w:szCs w:val="21"/>
                <w:lang w:val="en-US" w:eastAsia="zh-CN"/>
              </w:rPr>
              <w:br w:type="textWrapping"/>
            </w:r>
            <w:r>
              <w:rPr>
                <w:rFonts w:hint="default" w:ascii="仿宋_GB2312" w:hAnsi="仿宋_GB2312" w:eastAsia="仿宋_GB2312" w:cs="仿宋_GB2312"/>
                <w:color w:val="000000"/>
                <w:kern w:val="0"/>
                <w:sz w:val="21"/>
                <w:szCs w:val="21"/>
                <w:lang w:val="en-US" w:eastAsia="zh-CN"/>
              </w:rPr>
              <w:t>(一)未按规定标写船名、船号、船籍港，没有悬挂船名牌的；(二)在非紧急情况下，未经渔政渔港监督管理机关批准，滥用烟火信号、信号枪、无线电设备、号笛及其他遇险求救信号的；(三)没有配备、不正确填写或污损、丢弃航海日志、轮机日志的。</w:t>
            </w:r>
          </w:p>
        </w:tc>
        <w:tc>
          <w:tcPr>
            <w:tcW w:w="740" w:type="dxa"/>
            <w:tcBorders>
              <w:top w:val="single" w:color="auto" w:sz="4" w:space="0"/>
              <w:bottom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一般</w:t>
            </w:r>
          </w:p>
        </w:tc>
        <w:tc>
          <w:tcPr>
            <w:tcW w:w="2123" w:type="dxa"/>
            <w:tcBorders>
              <w:top w:val="single" w:color="auto" w:sz="4" w:space="0"/>
              <w:bottom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未影响渔港正常运行秩序</w:t>
            </w:r>
          </w:p>
        </w:tc>
        <w:tc>
          <w:tcPr>
            <w:tcW w:w="4546" w:type="dxa"/>
            <w:tcBorders>
              <w:top w:val="single" w:color="auto" w:sz="4" w:space="0"/>
              <w:bottom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责令限期改正，并处二百元以上六百元以下罚款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6" w:hRule="atLeast"/>
          <w:jc w:val="center"/>
        </w:trPr>
        <w:tc>
          <w:tcPr>
            <w:tcW w:w="421" w:type="dxa"/>
            <w:vMerge w:val="continue"/>
            <w:tcBorders>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eastAsia" w:ascii="仿宋_GB2312" w:hAnsi="仿宋_GB2312" w:eastAsia="仿宋_GB2312" w:cs="仿宋_GB2312"/>
                <w:color w:val="000000"/>
                <w:kern w:val="0"/>
                <w:sz w:val="21"/>
                <w:szCs w:val="21"/>
                <w:lang w:val="en-US" w:eastAsia="zh-CN"/>
              </w:rPr>
            </w:pPr>
          </w:p>
        </w:tc>
        <w:tc>
          <w:tcPr>
            <w:tcW w:w="1506" w:type="dxa"/>
            <w:vMerge w:val="continue"/>
            <w:tcBorders>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p>
        </w:tc>
        <w:tc>
          <w:tcPr>
            <w:tcW w:w="4664" w:type="dxa"/>
            <w:vMerge w:val="continue"/>
            <w:tcBorders>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p>
        </w:tc>
        <w:tc>
          <w:tcPr>
            <w:tcW w:w="740" w:type="dxa"/>
            <w:tcBorders>
              <w:top w:val="single" w:color="auto" w:sz="4" w:space="0"/>
              <w:bottom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严重</w:t>
            </w:r>
          </w:p>
        </w:tc>
        <w:tc>
          <w:tcPr>
            <w:tcW w:w="2123" w:type="dxa"/>
            <w:tcBorders>
              <w:top w:val="single" w:color="auto" w:sz="4" w:space="0"/>
              <w:bottom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影响渔港正常运行秩序</w:t>
            </w:r>
          </w:p>
        </w:tc>
        <w:tc>
          <w:tcPr>
            <w:tcW w:w="4546" w:type="dxa"/>
            <w:tcBorders>
              <w:top w:val="single" w:color="auto" w:sz="4" w:space="0"/>
              <w:bottom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责令限期改正，并处六百元以上不超过一千元罚款</w:t>
            </w:r>
          </w:p>
        </w:tc>
      </w:tr>
    </w:tbl>
    <w:p>
      <w:pPr>
        <w:pStyle w:val="2"/>
      </w:pPr>
    </w:p>
    <w:tbl>
      <w:tblPr>
        <w:tblStyle w:val="7"/>
        <w:tblW w:w="140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21"/>
        <w:gridCol w:w="1506"/>
        <w:gridCol w:w="4664"/>
        <w:gridCol w:w="740"/>
        <w:gridCol w:w="2123"/>
        <w:gridCol w:w="45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tblHeader/>
          <w:jc w:val="center"/>
        </w:trPr>
        <w:tc>
          <w:tcPr>
            <w:tcW w:w="421"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黑体" w:hAnsi="黑体" w:eastAsia="黑体" w:cs="黑体"/>
                <w:color w:val="000000"/>
                <w:sz w:val="24"/>
                <w:szCs w:val="24"/>
              </w:rPr>
            </w:pPr>
            <w:r>
              <w:rPr>
                <w:rFonts w:hint="eastAsia" w:ascii="黑体" w:hAnsi="黑体" w:eastAsia="黑体" w:cs="黑体"/>
                <w:color w:val="000000"/>
                <w:kern w:val="0"/>
                <w:sz w:val="24"/>
                <w:szCs w:val="24"/>
              </w:rPr>
              <w:t>序号</w:t>
            </w:r>
          </w:p>
        </w:tc>
        <w:tc>
          <w:tcPr>
            <w:tcW w:w="1506"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黑体" w:hAnsi="黑体" w:eastAsia="黑体" w:cs="黑体"/>
                <w:color w:val="000000"/>
                <w:sz w:val="24"/>
                <w:szCs w:val="24"/>
              </w:rPr>
            </w:pPr>
            <w:r>
              <w:rPr>
                <w:rFonts w:hint="eastAsia" w:ascii="黑体" w:hAnsi="黑体" w:eastAsia="黑体" w:cs="黑体"/>
                <w:color w:val="000000"/>
                <w:kern w:val="0"/>
                <w:sz w:val="24"/>
                <w:szCs w:val="24"/>
              </w:rPr>
              <w:t>违法行为</w:t>
            </w:r>
          </w:p>
        </w:tc>
        <w:tc>
          <w:tcPr>
            <w:tcW w:w="4664"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黑体" w:hAnsi="黑体" w:eastAsia="黑体" w:cs="黑体"/>
                <w:color w:val="000000"/>
                <w:sz w:val="24"/>
                <w:szCs w:val="24"/>
              </w:rPr>
            </w:pPr>
            <w:r>
              <w:rPr>
                <w:rFonts w:hint="eastAsia" w:ascii="黑体" w:hAnsi="黑体" w:eastAsia="黑体" w:cs="黑体"/>
                <w:color w:val="000000"/>
                <w:kern w:val="0"/>
                <w:sz w:val="24"/>
                <w:szCs w:val="24"/>
              </w:rPr>
              <w:t>处罚依据</w:t>
            </w:r>
          </w:p>
        </w:tc>
        <w:tc>
          <w:tcPr>
            <w:tcW w:w="740"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黑体" w:hAnsi="黑体" w:eastAsia="黑体" w:cs="黑体"/>
                <w:color w:val="000000"/>
                <w:sz w:val="24"/>
                <w:szCs w:val="24"/>
              </w:rPr>
            </w:pPr>
            <w:r>
              <w:rPr>
                <w:rFonts w:hint="eastAsia" w:ascii="黑体" w:hAnsi="黑体" w:eastAsia="黑体" w:cs="黑体"/>
                <w:color w:val="000000"/>
                <w:kern w:val="0"/>
                <w:sz w:val="24"/>
                <w:szCs w:val="24"/>
              </w:rPr>
              <w:t>违法程度</w:t>
            </w:r>
          </w:p>
        </w:tc>
        <w:tc>
          <w:tcPr>
            <w:tcW w:w="2123"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黑体" w:hAnsi="黑体" w:eastAsia="黑体" w:cs="黑体"/>
                <w:color w:val="000000"/>
                <w:sz w:val="24"/>
                <w:szCs w:val="24"/>
              </w:rPr>
            </w:pPr>
            <w:r>
              <w:rPr>
                <w:rFonts w:hint="eastAsia" w:ascii="黑体" w:hAnsi="黑体" w:eastAsia="黑体" w:cs="黑体"/>
                <w:color w:val="000000"/>
                <w:kern w:val="0"/>
                <w:sz w:val="24"/>
                <w:szCs w:val="24"/>
              </w:rPr>
              <w:t>违法情节</w:t>
            </w:r>
          </w:p>
        </w:tc>
        <w:tc>
          <w:tcPr>
            <w:tcW w:w="4546"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黑体" w:hAnsi="黑体" w:eastAsia="黑体" w:cs="黑体"/>
                <w:color w:val="000000"/>
                <w:sz w:val="24"/>
                <w:szCs w:val="24"/>
              </w:rPr>
            </w:pPr>
            <w:r>
              <w:rPr>
                <w:rFonts w:hint="eastAsia" w:ascii="黑体" w:hAnsi="黑体" w:eastAsia="黑体" w:cs="黑体"/>
                <w:color w:val="000000"/>
                <w:kern w:val="0"/>
                <w:sz w:val="24"/>
                <w:szCs w:val="24"/>
              </w:rPr>
              <w:t>裁量标准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0" w:hRule="atLeast"/>
          <w:jc w:val="center"/>
        </w:trPr>
        <w:tc>
          <w:tcPr>
            <w:tcW w:w="421" w:type="dxa"/>
            <w:vMerge w:val="restart"/>
            <w:tcBorders>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r>
              <w:rPr>
                <w:rFonts w:hint="eastAsia" w:ascii="仿宋_GB2312" w:hAnsi="仿宋_GB2312" w:eastAsia="仿宋_GB2312" w:cs="仿宋_GB2312"/>
                <w:color w:val="000000"/>
                <w:kern w:val="0"/>
                <w:sz w:val="21"/>
                <w:szCs w:val="21"/>
                <w:lang w:val="en-US" w:eastAsia="zh-CN"/>
              </w:rPr>
              <w:t>50</w:t>
            </w:r>
          </w:p>
        </w:tc>
        <w:tc>
          <w:tcPr>
            <w:tcW w:w="1506" w:type="dxa"/>
            <w:vMerge w:val="restart"/>
            <w:tcBorders>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渔港水域内拆船单位发生污染损害事故，不向渔政渔港监督管理机关报告也不采取消除或者控制污染措施</w:t>
            </w:r>
          </w:p>
        </w:tc>
        <w:tc>
          <w:tcPr>
            <w:tcW w:w="4664" w:type="dxa"/>
            <w:vMerge w:val="restart"/>
            <w:tcBorders>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eastAsia"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防止拆船污染环境管理条例》第十七条第一款违反本条例规定，有下列情形之一的，监督拆船污染的主管部门除责令其限期纠正外，还可以根据不同情节，处以1万元以上10万元以下的罚款：（一）发生污染损害事故，不向监督拆船污染的主管部门报告也不采取消除或者控制污染措施的；（二）废油船未经洗舱、排污、清舱和测爆即行拆解的；（三）任意排放或者丢弃污染物造成严重污染的。</w:t>
            </w:r>
          </w:p>
        </w:tc>
        <w:tc>
          <w:tcPr>
            <w:tcW w:w="740" w:type="dxa"/>
            <w:tcBorders>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eastAsia"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一般</w:t>
            </w:r>
          </w:p>
        </w:tc>
        <w:tc>
          <w:tcPr>
            <w:tcW w:w="2123" w:type="dxa"/>
            <w:tcBorders>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eastAsia"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未造成污染损害扩大</w:t>
            </w:r>
          </w:p>
        </w:tc>
        <w:tc>
          <w:tcPr>
            <w:tcW w:w="4546" w:type="dxa"/>
            <w:tcBorders>
              <w:bottom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eastAsia"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责令限期纠正，还可处以一万元以上五万元以下罚款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2" w:hRule="atLeast"/>
          <w:jc w:val="center"/>
        </w:trPr>
        <w:tc>
          <w:tcPr>
            <w:tcW w:w="421" w:type="dxa"/>
            <w:vMerge w:val="continue"/>
            <w:tcBorders>
              <w:bottom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eastAsia" w:ascii="仿宋_GB2312" w:hAnsi="仿宋_GB2312" w:eastAsia="仿宋_GB2312" w:cs="仿宋_GB2312"/>
                <w:color w:val="000000"/>
                <w:kern w:val="0"/>
                <w:sz w:val="21"/>
                <w:szCs w:val="21"/>
                <w:lang w:val="en-US" w:eastAsia="zh-CN"/>
              </w:rPr>
            </w:pPr>
          </w:p>
        </w:tc>
        <w:tc>
          <w:tcPr>
            <w:tcW w:w="1506" w:type="dxa"/>
            <w:vMerge w:val="continue"/>
            <w:tcBorders>
              <w:bottom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p>
        </w:tc>
        <w:tc>
          <w:tcPr>
            <w:tcW w:w="4664" w:type="dxa"/>
            <w:vMerge w:val="continue"/>
            <w:tcBorders>
              <w:bottom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p>
        </w:tc>
        <w:tc>
          <w:tcPr>
            <w:tcW w:w="740" w:type="dxa"/>
            <w:tcBorders>
              <w:top w:val="single" w:color="auto" w:sz="4" w:space="0"/>
              <w:bottom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eastAsia"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严重</w:t>
            </w:r>
          </w:p>
        </w:tc>
        <w:tc>
          <w:tcPr>
            <w:tcW w:w="2123" w:type="dxa"/>
            <w:tcBorders>
              <w:top w:val="single" w:color="auto" w:sz="4" w:space="0"/>
              <w:bottom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eastAsia"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造成污染损害扩大</w:t>
            </w:r>
          </w:p>
        </w:tc>
        <w:tc>
          <w:tcPr>
            <w:tcW w:w="4546" w:type="dxa"/>
            <w:tcBorders>
              <w:top w:val="single" w:color="auto" w:sz="4" w:space="0"/>
              <w:bottom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eastAsia"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责令限期纠正，还可处以五万元以上不超过十万元罚款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87" w:hRule="atLeast"/>
          <w:jc w:val="center"/>
        </w:trPr>
        <w:tc>
          <w:tcPr>
            <w:tcW w:w="421" w:type="dxa"/>
            <w:vMerge w:val="restart"/>
            <w:tcBorders>
              <w:top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r>
              <w:rPr>
                <w:rFonts w:hint="eastAsia" w:ascii="仿宋_GB2312" w:hAnsi="仿宋_GB2312" w:eastAsia="仿宋_GB2312" w:cs="仿宋_GB2312"/>
                <w:color w:val="000000"/>
                <w:kern w:val="0"/>
                <w:sz w:val="21"/>
                <w:szCs w:val="21"/>
                <w:lang w:val="en-US" w:eastAsia="zh-CN"/>
              </w:rPr>
              <w:t>51</w:t>
            </w:r>
          </w:p>
        </w:tc>
        <w:tc>
          <w:tcPr>
            <w:tcW w:w="1506" w:type="dxa"/>
            <w:vMerge w:val="restart"/>
            <w:tcBorders>
              <w:top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渔港水域内拆船发生污染损害事故，虽采取消除或者控制污染措施，但不向渔政渔港监督管理机关报告</w:t>
            </w:r>
          </w:p>
        </w:tc>
        <w:tc>
          <w:tcPr>
            <w:tcW w:w="4664" w:type="dxa"/>
            <w:vMerge w:val="restart"/>
            <w:tcBorders>
              <w:top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《防止拆船污染环境管理条例》第十八条违反本条例规定，有下列情形之一的，监督拆船污染的主管部门除责令其限期纠正外，还可以根据不同情节，给予警告或者处以1万元以下的罚款：</w:t>
            </w:r>
            <w:r>
              <w:rPr>
                <w:rFonts w:hint="default" w:ascii="仿宋_GB2312" w:hAnsi="仿宋_GB2312" w:eastAsia="仿宋_GB2312" w:cs="仿宋_GB2312"/>
                <w:color w:val="000000"/>
                <w:kern w:val="0"/>
                <w:sz w:val="21"/>
                <w:szCs w:val="21"/>
                <w:lang w:val="en-US" w:eastAsia="zh-CN"/>
              </w:rPr>
              <w:br w:type="textWrapping"/>
            </w:r>
            <w:r>
              <w:rPr>
                <w:rFonts w:hint="default" w:ascii="仿宋_GB2312" w:hAnsi="仿宋_GB2312" w:eastAsia="仿宋_GB2312" w:cs="仿宋_GB2312"/>
                <w:color w:val="000000"/>
                <w:kern w:val="0"/>
                <w:sz w:val="21"/>
                <w:szCs w:val="21"/>
                <w:lang w:val="en-US" w:eastAsia="zh-CN"/>
              </w:rPr>
              <w:t>（一）拒绝或者阻挠监督拆船污染的主管部门进行现场检查或者在被检查时弄虚作假的；（二）未按规定要求配备和使用防污设施、设备和器材，造成环境污染的；（三）发生污染损害事故，虽采取消除或者控制污染措施，但不向监督拆船污染的主管部门报告的；（四）拆船单位关闭、搬迁后，原厂址的现场清理不合格的。</w:t>
            </w:r>
          </w:p>
        </w:tc>
        <w:tc>
          <w:tcPr>
            <w:tcW w:w="740" w:type="dxa"/>
            <w:tcBorders>
              <w:top w:val="single" w:color="auto" w:sz="4" w:space="0"/>
              <w:bottom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eastAsia"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一般</w:t>
            </w:r>
          </w:p>
        </w:tc>
        <w:tc>
          <w:tcPr>
            <w:tcW w:w="2123" w:type="dxa"/>
            <w:tcBorders>
              <w:top w:val="single" w:color="auto" w:sz="4" w:space="0"/>
              <w:bottom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eastAsia"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未造成污染损害扩大</w:t>
            </w:r>
          </w:p>
        </w:tc>
        <w:tc>
          <w:tcPr>
            <w:tcW w:w="4546" w:type="dxa"/>
            <w:tcBorders>
              <w:top w:val="single" w:color="auto" w:sz="4" w:space="0"/>
              <w:bottom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eastAsia"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责令限期纠正，还可给予警告或者处以五千元以下罚款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7" w:hRule="atLeast"/>
          <w:jc w:val="center"/>
        </w:trPr>
        <w:tc>
          <w:tcPr>
            <w:tcW w:w="421" w:type="dxa"/>
            <w:vMerge w:val="continue"/>
            <w:tcBorders>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p>
        </w:tc>
        <w:tc>
          <w:tcPr>
            <w:tcW w:w="1506" w:type="dxa"/>
            <w:vMerge w:val="continue"/>
            <w:tcBorders>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p>
        </w:tc>
        <w:tc>
          <w:tcPr>
            <w:tcW w:w="4664" w:type="dxa"/>
            <w:vMerge w:val="continue"/>
            <w:tcBorders>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p>
        </w:tc>
        <w:tc>
          <w:tcPr>
            <w:tcW w:w="740" w:type="dxa"/>
            <w:tcBorders>
              <w:top w:val="single" w:color="auto" w:sz="4" w:space="0"/>
              <w:bottom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eastAsia"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严重</w:t>
            </w:r>
          </w:p>
        </w:tc>
        <w:tc>
          <w:tcPr>
            <w:tcW w:w="2123" w:type="dxa"/>
            <w:tcBorders>
              <w:top w:val="single" w:color="auto" w:sz="4" w:space="0"/>
              <w:bottom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eastAsia"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造成污染损害扩大</w:t>
            </w:r>
          </w:p>
        </w:tc>
        <w:tc>
          <w:tcPr>
            <w:tcW w:w="4546" w:type="dxa"/>
            <w:tcBorders>
              <w:top w:val="single" w:color="auto" w:sz="4" w:space="0"/>
              <w:bottom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eastAsia"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责令限期纠正，还可给予警告或者处以五千元以上不超过一万元罚款</w:t>
            </w:r>
          </w:p>
        </w:tc>
      </w:tr>
    </w:tbl>
    <w:p>
      <w:pPr>
        <w:pStyle w:val="2"/>
      </w:pPr>
    </w:p>
    <w:p>
      <w:pPr>
        <w:pStyle w:val="2"/>
      </w:pPr>
    </w:p>
    <w:p>
      <w:pPr>
        <w:pStyle w:val="2"/>
      </w:pPr>
    </w:p>
    <w:p>
      <w:pPr>
        <w:pStyle w:val="2"/>
      </w:pPr>
    </w:p>
    <w:p>
      <w:pPr>
        <w:pStyle w:val="2"/>
      </w:pPr>
    </w:p>
    <w:p>
      <w:pPr>
        <w:pStyle w:val="2"/>
      </w:pPr>
    </w:p>
    <w:p>
      <w:pPr>
        <w:pStyle w:val="2"/>
      </w:pPr>
    </w:p>
    <w:tbl>
      <w:tblPr>
        <w:tblStyle w:val="7"/>
        <w:tblW w:w="140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21"/>
        <w:gridCol w:w="1506"/>
        <w:gridCol w:w="4147"/>
        <w:gridCol w:w="643"/>
        <w:gridCol w:w="3740"/>
        <w:gridCol w:w="35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tblHeader/>
          <w:jc w:val="center"/>
        </w:trPr>
        <w:tc>
          <w:tcPr>
            <w:tcW w:w="421"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黑体" w:hAnsi="黑体" w:eastAsia="黑体" w:cs="黑体"/>
                <w:color w:val="000000"/>
                <w:sz w:val="24"/>
                <w:szCs w:val="24"/>
              </w:rPr>
            </w:pPr>
            <w:r>
              <w:rPr>
                <w:rFonts w:hint="eastAsia" w:ascii="黑体" w:hAnsi="黑体" w:eastAsia="黑体" w:cs="黑体"/>
                <w:color w:val="000000"/>
                <w:kern w:val="0"/>
                <w:sz w:val="24"/>
                <w:szCs w:val="24"/>
              </w:rPr>
              <w:t>序号</w:t>
            </w:r>
          </w:p>
        </w:tc>
        <w:tc>
          <w:tcPr>
            <w:tcW w:w="1506"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黑体" w:hAnsi="黑体" w:eastAsia="黑体" w:cs="黑体"/>
                <w:color w:val="000000"/>
                <w:sz w:val="24"/>
                <w:szCs w:val="24"/>
              </w:rPr>
            </w:pPr>
            <w:r>
              <w:rPr>
                <w:rFonts w:hint="eastAsia" w:ascii="黑体" w:hAnsi="黑体" w:eastAsia="黑体" w:cs="黑体"/>
                <w:color w:val="000000"/>
                <w:kern w:val="0"/>
                <w:sz w:val="24"/>
                <w:szCs w:val="24"/>
              </w:rPr>
              <w:t>违法行为</w:t>
            </w:r>
          </w:p>
        </w:tc>
        <w:tc>
          <w:tcPr>
            <w:tcW w:w="4147"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黑体" w:hAnsi="黑体" w:eastAsia="黑体" w:cs="黑体"/>
                <w:color w:val="000000"/>
                <w:sz w:val="24"/>
                <w:szCs w:val="24"/>
              </w:rPr>
            </w:pPr>
            <w:r>
              <w:rPr>
                <w:rFonts w:hint="eastAsia" w:ascii="黑体" w:hAnsi="黑体" w:eastAsia="黑体" w:cs="黑体"/>
                <w:color w:val="000000"/>
                <w:kern w:val="0"/>
                <w:sz w:val="24"/>
                <w:szCs w:val="24"/>
              </w:rPr>
              <w:t>处罚依据</w:t>
            </w:r>
          </w:p>
        </w:tc>
        <w:tc>
          <w:tcPr>
            <w:tcW w:w="643"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黑体" w:hAnsi="黑体" w:eastAsia="黑体" w:cs="黑体"/>
                <w:color w:val="000000"/>
                <w:sz w:val="24"/>
                <w:szCs w:val="24"/>
              </w:rPr>
            </w:pPr>
            <w:r>
              <w:rPr>
                <w:rFonts w:hint="eastAsia" w:ascii="黑体" w:hAnsi="黑体" w:eastAsia="黑体" w:cs="黑体"/>
                <w:color w:val="000000"/>
                <w:kern w:val="0"/>
                <w:sz w:val="24"/>
                <w:szCs w:val="24"/>
              </w:rPr>
              <w:t>违法程度</w:t>
            </w:r>
          </w:p>
        </w:tc>
        <w:tc>
          <w:tcPr>
            <w:tcW w:w="3740"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黑体" w:hAnsi="黑体" w:eastAsia="黑体" w:cs="黑体"/>
                <w:color w:val="000000"/>
                <w:sz w:val="24"/>
                <w:szCs w:val="24"/>
              </w:rPr>
            </w:pPr>
            <w:r>
              <w:rPr>
                <w:rFonts w:hint="eastAsia" w:ascii="黑体" w:hAnsi="黑体" w:eastAsia="黑体" w:cs="黑体"/>
                <w:color w:val="000000"/>
                <w:kern w:val="0"/>
                <w:sz w:val="24"/>
                <w:szCs w:val="24"/>
              </w:rPr>
              <w:t>违法情节</w:t>
            </w:r>
          </w:p>
        </w:tc>
        <w:tc>
          <w:tcPr>
            <w:tcW w:w="3543"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黑体" w:hAnsi="黑体" w:eastAsia="黑体" w:cs="黑体"/>
                <w:color w:val="000000"/>
                <w:sz w:val="24"/>
                <w:szCs w:val="24"/>
              </w:rPr>
            </w:pPr>
            <w:r>
              <w:rPr>
                <w:rFonts w:hint="eastAsia" w:ascii="黑体" w:hAnsi="黑体" w:eastAsia="黑体" w:cs="黑体"/>
                <w:color w:val="000000"/>
                <w:kern w:val="0"/>
                <w:sz w:val="24"/>
                <w:szCs w:val="24"/>
              </w:rPr>
              <w:t>裁量标准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1" w:hRule="atLeast"/>
          <w:jc w:val="center"/>
        </w:trPr>
        <w:tc>
          <w:tcPr>
            <w:tcW w:w="421" w:type="dxa"/>
            <w:vMerge w:val="restart"/>
            <w:tcBorders>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r>
              <w:rPr>
                <w:rFonts w:hint="eastAsia" w:ascii="仿宋_GB2312" w:hAnsi="仿宋_GB2312" w:eastAsia="仿宋_GB2312" w:cs="仿宋_GB2312"/>
                <w:color w:val="000000"/>
                <w:kern w:val="0"/>
                <w:sz w:val="21"/>
                <w:szCs w:val="21"/>
                <w:lang w:val="en-US" w:eastAsia="zh-CN"/>
              </w:rPr>
              <w:t>52</w:t>
            </w:r>
          </w:p>
        </w:tc>
        <w:tc>
          <w:tcPr>
            <w:tcW w:w="1506" w:type="dxa"/>
            <w:vMerge w:val="restart"/>
            <w:tcBorders>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擅自设置、使用</w:t>
            </w:r>
            <w:r>
              <w:rPr>
                <w:rFonts w:hint="default" w:ascii="仿宋_GB2312" w:hAnsi="仿宋_GB2312" w:eastAsia="仿宋_GB2312" w:cs="仿宋_GB2312"/>
                <w:color w:val="000000"/>
                <w:kern w:val="0"/>
                <w:sz w:val="21"/>
                <w:szCs w:val="21"/>
                <w:lang w:val="en-US" w:eastAsia="zh-CN"/>
              </w:rPr>
              <w:br w:type="textWrapping"/>
            </w:r>
            <w:r>
              <w:rPr>
                <w:rFonts w:hint="default" w:ascii="仿宋_GB2312" w:hAnsi="仿宋_GB2312" w:eastAsia="仿宋_GB2312" w:cs="仿宋_GB2312"/>
                <w:color w:val="000000"/>
                <w:kern w:val="0"/>
                <w:sz w:val="21"/>
                <w:szCs w:val="21"/>
                <w:lang w:val="en-US" w:eastAsia="zh-CN"/>
              </w:rPr>
              <w:t>渔业无线电台（站）</w:t>
            </w:r>
          </w:p>
        </w:tc>
        <w:tc>
          <w:tcPr>
            <w:tcW w:w="4147" w:type="dxa"/>
            <w:vMerge w:val="restart"/>
            <w:tcBorders>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eastAsia"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中华人民共和国无线电管理条例》第七十条违反本条例规定，未经许可擅自使用无线电频率，或者擅自设置、使用无线电台（站）的，由无线电管理机构责令改正，没收从事违法活动的设备和违法所得，可以并处5万元以下的罚款；拒不改正的，并处5万元以上20万元以下的罚款；擅自设置、使用无线电台（站）从事诈骗等违法活动，尚不构成犯罪的，并处20万元以上50万元以下的罚款。</w:t>
            </w:r>
          </w:p>
        </w:tc>
        <w:tc>
          <w:tcPr>
            <w:tcW w:w="643" w:type="dxa"/>
            <w:tcBorders>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eastAsia"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较轻</w:t>
            </w:r>
          </w:p>
        </w:tc>
        <w:tc>
          <w:tcPr>
            <w:tcW w:w="3740" w:type="dxa"/>
            <w:tcBorders>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eastAsia"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擅自设置渔业无线电台（站），但尚未使用</w:t>
            </w:r>
          </w:p>
        </w:tc>
        <w:tc>
          <w:tcPr>
            <w:tcW w:w="3543" w:type="dxa"/>
            <w:tcBorders>
              <w:bottom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eastAsia"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责令改正，没收从事违法活动的设备和违法所得，可以并处一万五千元以下罚款；拒不改正的，并处五万元以上十万元以下罚款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7" w:hRule="atLeast"/>
          <w:jc w:val="center"/>
        </w:trPr>
        <w:tc>
          <w:tcPr>
            <w:tcW w:w="421" w:type="dxa"/>
            <w:vMerge w:val="continue"/>
            <w:tcBorders>
              <w:bottom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eastAsia" w:ascii="仿宋_GB2312" w:hAnsi="仿宋_GB2312" w:eastAsia="仿宋_GB2312" w:cs="仿宋_GB2312"/>
                <w:color w:val="000000"/>
                <w:kern w:val="0"/>
                <w:sz w:val="21"/>
                <w:szCs w:val="21"/>
                <w:lang w:val="en-US" w:eastAsia="zh-CN"/>
              </w:rPr>
            </w:pPr>
          </w:p>
        </w:tc>
        <w:tc>
          <w:tcPr>
            <w:tcW w:w="1506" w:type="dxa"/>
            <w:vMerge w:val="continue"/>
            <w:tcBorders>
              <w:bottom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p>
        </w:tc>
        <w:tc>
          <w:tcPr>
            <w:tcW w:w="4147" w:type="dxa"/>
            <w:vMerge w:val="continue"/>
            <w:tcBorders>
              <w:bottom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p>
        </w:tc>
        <w:tc>
          <w:tcPr>
            <w:tcW w:w="643" w:type="dxa"/>
            <w:tcBorders>
              <w:top w:val="single" w:color="auto" w:sz="4" w:space="0"/>
              <w:bottom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eastAsia"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一般</w:t>
            </w:r>
          </w:p>
        </w:tc>
        <w:tc>
          <w:tcPr>
            <w:tcW w:w="3740" w:type="dxa"/>
            <w:tcBorders>
              <w:top w:val="single" w:color="auto" w:sz="4" w:space="0"/>
              <w:bottom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eastAsia"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擅自设置渔业无线电台（站），但未造成水上安全生产事故</w:t>
            </w:r>
          </w:p>
        </w:tc>
        <w:tc>
          <w:tcPr>
            <w:tcW w:w="3543" w:type="dxa"/>
            <w:tcBorders>
              <w:top w:val="single" w:color="auto" w:sz="4" w:space="0"/>
              <w:bottom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eastAsia"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责令改正，没收从事违法活动的设备和违法所得，可以并处一万五千元以上三万元以下罚款；拒不改正的，并处十万元以上十五万元以下罚款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0" w:hRule="atLeast"/>
          <w:jc w:val="center"/>
        </w:trPr>
        <w:tc>
          <w:tcPr>
            <w:tcW w:w="421" w:type="dxa"/>
            <w:vMerge w:val="continue"/>
            <w:tcBorders>
              <w:bottom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eastAsia" w:ascii="仿宋_GB2312" w:hAnsi="仿宋_GB2312" w:eastAsia="仿宋_GB2312" w:cs="仿宋_GB2312"/>
                <w:color w:val="000000"/>
                <w:kern w:val="0"/>
                <w:sz w:val="21"/>
                <w:szCs w:val="21"/>
                <w:lang w:val="en-US" w:eastAsia="zh-CN"/>
              </w:rPr>
            </w:pPr>
          </w:p>
        </w:tc>
        <w:tc>
          <w:tcPr>
            <w:tcW w:w="1506" w:type="dxa"/>
            <w:vMerge w:val="continue"/>
            <w:tcBorders>
              <w:bottom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p>
        </w:tc>
        <w:tc>
          <w:tcPr>
            <w:tcW w:w="4147" w:type="dxa"/>
            <w:vMerge w:val="continue"/>
            <w:tcBorders>
              <w:bottom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p>
        </w:tc>
        <w:tc>
          <w:tcPr>
            <w:tcW w:w="643" w:type="dxa"/>
            <w:tcBorders>
              <w:top w:val="single" w:color="auto" w:sz="4" w:space="0"/>
              <w:bottom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eastAsia"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严重</w:t>
            </w:r>
          </w:p>
        </w:tc>
        <w:tc>
          <w:tcPr>
            <w:tcW w:w="3740" w:type="dxa"/>
            <w:tcBorders>
              <w:top w:val="single" w:color="auto" w:sz="4" w:space="0"/>
              <w:bottom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eastAsia"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擅自设置渔业无线电台（站），且造成水上安全生产事故</w:t>
            </w:r>
          </w:p>
        </w:tc>
        <w:tc>
          <w:tcPr>
            <w:tcW w:w="3543" w:type="dxa"/>
            <w:tcBorders>
              <w:top w:val="single" w:color="auto" w:sz="4" w:space="0"/>
              <w:bottom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eastAsia"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责令改正，没收从事违法活动的设备和违法所得，可以并处三万元以上不超过五万元罚款；拒不改正的，并处十五万元以上不超过二十万元罚款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9" w:hRule="atLeast"/>
          <w:jc w:val="center"/>
        </w:trPr>
        <w:tc>
          <w:tcPr>
            <w:tcW w:w="421" w:type="dxa"/>
            <w:vMerge w:val="restart"/>
            <w:tcBorders>
              <w:top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r>
              <w:rPr>
                <w:rFonts w:hint="eastAsia" w:ascii="仿宋_GB2312" w:hAnsi="仿宋_GB2312" w:eastAsia="仿宋_GB2312" w:cs="仿宋_GB2312"/>
                <w:color w:val="000000"/>
                <w:kern w:val="0"/>
                <w:sz w:val="21"/>
                <w:szCs w:val="21"/>
                <w:lang w:val="en-US" w:eastAsia="zh-CN"/>
              </w:rPr>
              <w:t>53</w:t>
            </w:r>
          </w:p>
        </w:tc>
        <w:tc>
          <w:tcPr>
            <w:tcW w:w="1506" w:type="dxa"/>
            <w:vMerge w:val="restart"/>
            <w:tcBorders>
              <w:top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擅自设置、使用</w:t>
            </w:r>
            <w:r>
              <w:rPr>
                <w:rFonts w:hint="default" w:ascii="仿宋_GB2312" w:hAnsi="仿宋_GB2312" w:eastAsia="仿宋_GB2312" w:cs="仿宋_GB2312"/>
                <w:color w:val="000000"/>
                <w:kern w:val="0"/>
                <w:sz w:val="21"/>
                <w:szCs w:val="21"/>
                <w:lang w:val="en-US" w:eastAsia="zh-CN"/>
              </w:rPr>
              <w:br w:type="textWrapping"/>
            </w:r>
            <w:r>
              <w:rPr>
                <w:rFonts w:hint="default" w:ascii="仿宋_GB2312" w:hAnsi="仿宋_GB2312" w:eastAsia="仿宋_GB2312" w:cs="仿宋_GB2312"/>
                <w:color w:val="000000"/>
                <w:kern w:val="0"/>
                <w:sz w:val="21"/>
                <w:szCs w:val="21"/>
                <w:lang w:val="en-US" w:eastAsia="zh-CN"/>
              </w:rPr>
              <w:t>渔业无线电台（站）从事诈骗等违法活动，尚不构成犯罪</w:t>
            </w:r>
          </w:p>
        </w:tc>
        <w:tc>
          <w:tcPr>
            <w:tcW w:w="4147" w:type="dxa"/>
            <w:vMerge w:val="restart"/>
            <w:tcBorders>
              <w:top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中华人民共和国无线电管理条例》第七十条违反本条例规定，未经许可擅自使用无线电频率，或者擅自设置、使用无线电台（站）的，由无线电管理机构责令改正，没收从事违法活动的设备和违法所得，可以并处5万元以下的罚款；拒不改正的，并处5万元以上20万元以下的罚款；擅自设置、使用无线电台（站）从事诈骗等违法活动，尚不构成犯罪的，并处20万元以上50万元以下的罚款。</w:t>
            </w:r>
          </w:p>
        </w:tc>
        <w:tc>
          <w:tcPr>
            <w:tcW w:w="643" w:type="dxa"/>
            <w:tcBorders>
              <w:top w:val="single" w:color="auto" w:sz="4" w:space="0"/>
              <w:bottom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eastAsia"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较轻</w:t>
            </w:r>
          </w:p>
        </w:tc>
        <w:tc>
          <w:tcPr>
            <w:tcW w:w="3740" w:type="dxa"/>
            <w:tcBorders>
              <w:top w:val="single" w:color="auto" w:sz="4" w:space="0"/>
              <w:bottom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eastAsia"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违法所得十万元以下</w:t>
            </w:r>
          </w:p>
        </w:tc>
        <w:tc>
          <w:tcPr>
            <w:tcW w:w="3543" w:type="dxa"/>
            <w:tcBorders>
              <w:top w:val="single" w:color="auto" w:sz="4" w:space="0"/>
              <w:bottom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eastAsia"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责令改正，没收从事违法活动的设备和违法所得，并处二十万元以上三十万元以下罚款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2" w:hRule="atLeast"/>
          <w:jc w:val="center"/>
        </w:trPr>
        <w:tc>
          <w:tcPr>
            <w:tcW w:w="421" w:type="dxa"/>
            <w:vMerge w:val="continue"/>
            <w:tcBorders>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p>
        </w:tc>
        <w:tc>
          <w:tcPr>
            <w:tcW w:w="1506" w:type="dxa"/>
            <w:vMerge w:val="continue"/>
            <w:tcBorders>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p>
        </w:tc>
        <w:tc>
          <w:tcPr>
            <w:tcW w:w="4147" w:type="dxa"/>
            <w:vMerge w:val="continue"/>
            <w:tcBorders>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p>
        </w:tc>
        <w:tc>
          <w:tcPr>
            <w:tcW w:w="643" w:type="dxa"/>
            <w:tcBorders>
              <w:top w:val="single" w:color="auto" w:sz="4" w:space="0"/>
              <w:bottom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eastAsia"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一般</w:t>
            </w:r>
          </w:p>
        </w:tc>
        <w:tc>
          <w:tcPr>
            <w:tcW w:w="3740" w:type="dxa"/>
            <w:tcBorders>
              <w:top w:val="single" w:color="auto" w:sz="4" w:space="0"/>
              <w:bottom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eastAsia"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违法所得十万元以上二十万元以下</w:t>
            </w:r>
          </w:p>
        </w:tc>
        <w:tc>
          <w:tcPr>
            <w:tcW w:w="3543" w:type="dxa"/>
            <w:tcBorders>
              <w:top w:val="single" w:color="auto" w:sz="4" w:space="0"/>
              <w:bottom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eastAsia"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责令改正，没收从事违法活动的设备和违法所得，并处三十万元以上四十万元以下罚款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jc w:val="center"/>
        </w:trPr>
        <w:tc>
          <w:tcPr>
            <w:tcW w:w="421" w:type="dxa"/>
            <w:vMerge w:val="continue"/>
            <w:tcBorders>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p>
        </w:tc>
        <w:tc>
          <w:tcPr>
            <w:tcW w:w="1506" w:type="dxa"/>
            <w:vMerge w:val="continue"/>
            <w:tcBorders>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p>
        </w:tc>
        <w:tc>
          <w:tcPr>
            <w:tcW w:w="4147" w:type="dxa"/>
            <w:vMerge w:val="continue"/>
            <w:tcBorders>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p>
        </w:tc>
        <w:tc>
          <w:tcPr>
            <w:tcW w:w="643" w:type="dxa"/>
            <w:tcBorders>
              <w:top w:val="single" w:color="auto" w:sz="4" w:space="0"/>
              <w:bottom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eastAsia"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严重</w:t>
            </w:r>
          </w:p>
        </w:tc>
        <w:tc>
          <w:tcPr>
            <w:tcW w:w="3740" w:type="dxa"/>
            <w:tcBorders>
              <w:top w:val="single" w:color="auto" w:sz="4" w:space="0"/>
              <w:bottom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eastAsia"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违法所得二十万元以上</w:t>
            </w:r>
          </w:p>
        </w:tc>
        <w:tc>
          <w:tcPr>
            <w:tcW w:w="3543" w:type="dxa"/>
            <w:tcBorders>
              <w:top w:val="single" w:color="auto" w:sz="4" w:space="0"/>
              <w:bottom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eastAsia"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责令改正，没收从事违法活动的设备和违法所得，并处四十万元以上不超过五十万元罚款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3" w:hRule="atLeast"/>
          <w:jc w:val="center"/>
        </w:trPr>
        <w:tc>
          <w:tcPr>
            <w:tcW w:w="421" w:type="dxa"/>
            <w:vMerge w:val="restart"/>
            <w:tcBorders>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r>
              <w:rPr>
                <w:rFonts w:hint="eastAsia" w:ascii="仿宋_GB2312" w:hAnsi="仿宋_GB2312" w:eastAsia="仿宋_GB2312" w:cs="仿宋_GB2312"/>
                <w:color w:val="000000"/>
                <w:kern w:val="0"/>
                <w:sz w:val="21"/>
                <w:szCs w:val="21"/>
                <w:lang w:val="en-US" w:eastAsia="zh-CN"/>
              </w:rPr>
              <w:t>54</w:t>
            </w:r>
          </w:p>
        </w:tc>
        <w:tc>
          <w:tcPr>
            <w:tcW w:w="1506" w:type="dxa"/>
            <w:vMerge w:val="restart"/>
            <w:tcBorders>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擅自转让渔业</w:t>
            </w:r>
            <w:r>
              <w:rPr>
                <w:rFonts w:hint="default" w:ascii="仿宋_GB2312" w:hAnsi="仿宋_GB2312" w:eastAsia="仿宋_GB2312" w:cs="仿宋_GB2312"/>
                <w:color w:val="000000"/>
                <w:kern w:val="0"/>
                <w:sz w:val="21"/>
                <w:szCs w:val="21"/>
                <w:lang w:val="en-US" w:eastAsia="zh-CN"/>
              </w:rPr>
              <w:br w:type="textWrapping"/>
            </w:r>
            <w:r>
              <w:rPr>
                <w:rFonts w:hint="default" w:ascii="仿宋_GB2312" w:hAnsi="仿宋_GB2312" w:eastAsia="仿宋_GB2312" w:cs="仿宋_GB2312"/>
                <w:color w:val="000000"/>
                <w:kern w:val="0"/>
                <w:sz w:val="21"/>
                <w:szCs w:val="21"/>
                <w:lang w:val="en-US" w:eastAsia="zh-CN"/>
              </w:rPr>
              <w:t>无线电频率</w:t>
            </w:r>
          </w:p>
        </w:tc>
        <w:tc>
          <w:tcPr>
            <w:tcW w:w="4147" w:type="dxa"/>
            <w:vMerge w:val="restart"/>
            <w:tcBorders>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中华人民共和国无线电管理条例》第七十一条违反本条例规定，擅自转让无线电频率的，由无线电管理机构责令改正，没收违法所得；拒不改正的，并处违法所得1倍以上3倍以下的罚款；没有违法所得或者违法所得不足10万元的，处1万元以上10万元以下的罚款；造成严重后果的，吊销无线电频率使用许可证。</w:t>
            </w:r>
          </w:p>
        </w:tc>
        <w:tc>
          <w:tcPr>
            <w:tcW w:w="643" w:type="dxa"/>
            <w:tcBorders>
              <w:top w:val="single" w:color="auto" w:sz="4" w:space="0"/>
              <w:bottom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较轻</w:t>
            </w:r>
          </w:p>
        </w:tc>
        <w:tc>
          <w:tcPr>
            <w:tcW w:w="3740" w:type="dxa"/>
            <w:tcBorders>
              <w:top w:val="single" w:color="auto" w:sz="4" w:space="0"/>
              <w:bottom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未造成水上安全生产事故，也未被利用实施违法犯罪活动</w:t>
            </w:r>
          </w:p>
        </w:tc>
        <w:tc>
          <w:tcPr>
            <w:tcW w:w="3543" w:type="dxa"/>
            <w:tcBorders>
              <w:top w:val="single" w:color="auto" w:sz="4" w:space="0"/>
              <w:bottom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责令改正，没收违法所得；拒不改正的，并处违法所得一倍以上二倍以下罚款；没有违法所得或违法所得不足十万元的，处一万元以上五万元以下罚款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6" w:hRule="atLeast"/>
          <w:jc w:val="center"/>
        </w:trPr>
        <w:tc>
          <w:tcPr>
            <w:tcW w:w="421" w:type="dxa"/>
            <w:vMerge w:val="continue"/>
            <w:tcBorders>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eastAsia" w:ascii="仿宋_GB2312" w:hAnsi="仿宋_GB2312" w:eastAsia="仿宋_GB2312" w:cs="仿宋_GB2312"/>
                <w:color w:val="000000"/>
                <w:kern w:val="0"/>
                <w:sz w:val="21"/>
                <w:szCs w:val="21"/>
                <w:lang w:val="en-US" w:eastAsia="zh-CN"/>
              </w:rPr>
            </w:pPr>
          </w:p>
        </w:tc>
        <w:tc>
          <w:tcPr>
            <w:tcW w:w="1506" w:type="dxa"/>
            <w:vMerge w:val="continue"/>
            <w:tcBorders>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p>
        </w:tc>
        <w:tc>
          <w:tcPr>
            <w:tcW w:w="4147" w:type="dxa"/>
            <w:vMerge w:val="continue"/>
            <w:tcBorders>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p>
        </w:tc>
        <w:tc>
          <w:tcPr>
            <w:tcW w:w="643" w:type="dxa"/>
            <w:tcBorders>
              <w:top w:val="single" w:color="auto" w:sz="4" w:space="0"/>
              <w:bottom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一般</w:t>
            </w:r>
          </w:p>
        </w:tc>
        <w:tc>
          <w:tcPr>
            <w:tcW w:w="3740" w:type="dxa"/>
            <w:tcBorders>
              <w:top w:val="single" w:color="auto" w:sz="4" w:space="0"/>
              <w:bottom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造成一般水上安全生产事故，但未被利用实施违法犯罪活动</w:t>
            </w:r>
          </w:p>
        </w:tc>
        <w:tc>
          <w:tcPr>
            <w:tcW w:w="3543" w:type="dxa"/>
            <w:tcBorders>
              <w:top w:val="single" w:color="auto" w:sz="4" w:space="0"/>
              <w:bottom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责令改正，没收违法所得；拒不改正的，并处违法所得二倍以上部超过三倍罚款；没有违法所得或违法所得不足十万元的，处五万元以上不超过十万元罚款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1" w:hRule="atLeast"/>
          <w:jc w:val="center"/>
        </w:trPr>
        <w:tc>
          <w:tcPr>
            <w:tcW w:w="421" w:type="dxa"/>
            <w:vMerge w:val="continue"/>
            <w:tcBorders>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eastAsia" w:ascii="仿宋_GB2312" w:hAnsi="仿宋_GB2312" w:eastAsia="仿宋_GB2312" w:cs="仿宋_GB2312"/>
                <w:color w:val="000000"/>
                <w:kern w:val="0"/>
                <w:sz w:val="21"/>
                <w:szCs w:val="21"/>
                <w:lang w:val="en-US" w:eastAsia="zh-CN"/>
              </w:rPr>
            </w:pPr>
          </w:p>
        </w:tc>
        <w:tc>
          <w:tcPr>
            <w:tcW w:w="1506" w:type="dxa"/>
            <w:vMerge w:val="continue"/>
            <w:tcBorders>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p>
        </w:tc>
        <w:tc>
          <w:tcPr>
            <w:tcW w:w="4147" w:type="dxa"/>
            <w:vMerge w:val="continue"/>
            <w:tcBorders>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p>
        </w:tc>
        <w:tc>
          <w:tcPr>
            <w:tcW w:w="643" w:type="dxa"/>
            <w:tcBorders>
              <w:top w:val="single" w:color="auto" w:sz="4" w:space="0"/>
              <w:bottom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严重</w:t>
            </w:r>
          </w:p>
        </w:tc>
        <w:tc>
          <w:tcPr>
            <w:tcW w:w="3740" w:type="dxa"/>
            <w:tcBorders>
              <w:top w:val="single" w:color="auto" w:sz="4" w:space="0"/>
              <w:bottom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造成较大水上安全生产事故，或被利用实施违法犯罪活动</w:t>
            </w:r>
          </w:p>
        </w:tc>
        <w:tc>
          <w:tcPr>
            <w:tcW w:w="3543" w:type="dxa"/>
            <w:tcBorders>
              <w:top w:val="single" w:color="auto" w:sz="4" w:space="0"/>
              <w:bottom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责令改正，没收违法所得，吊销渔业无线电频率使用许可证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421" w:type="dxa"/>
            <w:vMerge w:val="restart"/>
            <w:tcBorders>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r>
              <w:rPr>
                <w:rFonts w:hint="eastAsia" w:ascii="仿宋_GB2312" w:hAnsi="仿宋_GB2312" w:eastAsia="仿宋_GB2312" w:cs="仿宋_GB2312"/>
                <w:color w:val="000000"/>
                <w:kern w:val="0"/>
                <w:sz w:val="21"/>
                <w:szCs w:val="21"/>
                <w:lang w:val="en-US" w:eastAsia="zh-CN"/>
              </w:rPr>
              <w:t>55</w:t>
            </w:r>
          </w:p>
        </w:tc>
        <w:tc>
          <w:tcPr>
            <w:tcW w:w="1506" w:type="dxa"/>
            <w:vMerge w:val="restart"/>
            <w:tcBorders>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使用无线电发射设备、辐射无线电波的非无线电设备对渔业无线电频率产生有害干扰</w:t>
            </w:r>
          </w:p>
        </w:tc>
        <w:tc>
          <w:tcPr>
            <w:tcW w:w="4147" w:type="dxa"/>
            <w:vMerge w:val="restart"/>
            <w:tcBorders>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中华人民共和国无线电管理条例》第七十三条违反本条例规定，使用无线电发射设备、辐射无线电波的非无线电设备干扰无线电业务正常进行的，由无线电管理机构责令改正，拒不改正的，没收产生有害干扰的设备，并处5万元以上20万元以下的罚款，吊销无线电台执照；对船舶、航天器、航空器、铁路机车专用无线电导航、遇险救助和安全通信等涉及人身安全的无线电频率产生有害干扰的，并处20万元以上50万元以下的罚款。</w:t>
            </w:r>
          </w:p>
        </w:tc>
        <w:tc>
          <w:tcPr>
            <w:tcW w:w="643" w:type="dxa"/>
            <w:tcBorders>
              <w:top w:val="single" w:color="auto" w:sz="4" w:space="0"/>
              <w:bottom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较轻</w:t>
            </w:r>
          </w:p>
        </w:tc>
        <w:tc>
          <w:tcPr>
            <w:tcW w:w="3740" w:type="dxa"/>
            <w:tcBorders>
              <w:top w:val="single" w:color="auto" w:sz="4" w:space="0"/>
              <w:bottom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未造成水上安全生产事故</w:t>
            </w:r>
          </w:p>
        </w:tc>
        <w:tc>
          <w:tcPr>
            <w:tcW w:w="3543" w:type="dxa"/>
            <w:tcBorders>
              <w:top w:val="single" w:color="auto" w:sz="4" w:space="0"/>
              <w:bottom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责令改正，拒不改正的，没收产生有害干扰的设备，并处二十万元以上三十万元以下罚款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1" w:hRule="atLeast"/>
          <w:jc w:val="center"/>
        </w:trPr>
        <w:tc>
          <w:tcPr>
            <w:tcW w:w="421" w:type="dxa"/>
            <w:vMerge w:val="continue"/>
            <w:tcBorders>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eastAsia" w:ascii="仿宋_GB2312" w:hAnsi="仿宋_GB2312" w:eastAsia="仿宋_GB2312" w:cs="仿宋_GB2312"/>
                <w:color w:val="000000"/>
                <w:kern w:val="0"/>
                <w:sz w:val="21"/>
                <w:szCs w:val="21"/>
                <w:lang w:val="en-US" w:eastAsia="zh-CN"/>
              </w:rPr>
            </w:pPr>
          </w:p>
        </w:tc>
        <w:tc>
          <w:tcPr>
            <w:tcW w:w="1506" w:type="dxa"/>
            <w:vMerge w:val="continue"/>
            <w:tcBorders>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p>
        </w:tc>
        <w:tc>
          <w:tcPr>
            <w:tcW w:w="4147" w:type="dxa"/>
            <w:vMerge w:val="continue"/>
            <w:tcBorders>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p>
        </w:tc>
        <w:tc>
          <w:tcPr>
            <w:tcW w:w="643" w:type="dxa"/>
            <w:tcBorders>
              <w:top w:val="single" w:color="auto" w:sz="4" w:space="0"/>
              <w:bottom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一般</w:t>
            </w:r>
          </w:p>
        </w:tc>
        <w:tc>
          <w:tcPr>
            <w:tcW w:w="3740" w:type="dxa"/>
            <w:tcBorders>
              <w:top w:val="single" w:color="auto" w:sz="4" w:space="0"/>
              <w:bottom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未造成一般水上安全生产事故</w:t>
            </w:r>
          </w:p>
        </w:tc>
        <w:tc>
          <w:tcPr>
            <w:tcW w:w="3543" w:type="dxa"/>
            <w:tcBorders>
              <w:top w:val="single" w:color="auto" w:sz="4" w:space="0"/>
              <w:bottom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责令改正，拒不改正的，没收产生有害干扰的设备，并处三十万元以上四十万元以下罚款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jc w:val="center"/>
        </w:trPr>
        <w:tc>
          <w:tcPr>
            <w:tcW w:w="421" w:type="dxa"/>
            <w:vMerge w:val="continue"/>
            <w:tcBorders>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eastAsia" w:ascii="仿宋_GB2312" w:hAnsi="仿宋_GB2312" w:eastAsia="仿宋_GB2312" w:cs="仿宋_GB2312"/>
                <w:color w:val="000000"/>
                <w:kern w:val="0"/>
                <w:sz w:val="21"/>
                <w:szCs w:val="21"/>
                <w:lang w:val="en-US" w:eastAsia="zh-CN"/>
              </w:rPr>
            </w:pPr>
          </w:p>
        </w:tc>
        <w:tc>
          <w:tcPr>
            <w:tcW w:w="1506" w:type="dxa"/>
            <w:vMerge w:val="continue"/>
            <w:tcBorders>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p>
        </w:tc>
        <w:tc>
          <w:tcPr>
            <w:tcW w:w="4147" w:type="dxa"/>
            <w:vMerge w:val="continue"/>
            <w:tcBorders>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p>
        </w:tc>
        <w:tc>
          <w:tcPr>
            <w:tcW w:w="643" w:type="dxa"/>
            <w:tcBorders>
              <w:top w:val="single" w:color="auto" w:sz="4" w:space="0"/>
              <w:bottom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严重</w:t>
            </w:r>
          </w:p>
        </w:tc>
        <w:tc>
          <w:tcPr>
            <w:tcW w:w="3740" w:type="dxa"/>
            <w:tcBorders>
              <w:top w:val="single" w:color="auto" w:sz="4" w:space="0"/>
              <w:bottom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未造成较大以上水上安全生产事故</w:t>
            </w:r>
          </w:p>
        </w:tc>
        <w:tc>
          <w:tcPr>
            <w:tcW w:w="3543" w:type="dxa"/>
            <w:tcBorders>
              <w:top w:val="single" w:color="auto" w:sz="4" w:space="0"/>
              <w:bottom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责令改正，拒不改正的，没收产生有害干扰的设备，并处四十万元以上不超过五十万元以下罚款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0" w:hRule="atLeast"/>
          <w:jc w:val="center"/>
        </w:trPr>
        <w:tc>
          <w:tcPr>
            <w:tcW w:w="421" w:type="dxa"/>
            <w:vMerge w:val="restart"/>
            <w:tcBorders>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r>
              <w:rPr>
                <w:rFonts w:hint="eastAsia" w:ascii="仿宋_GB2312" w:hAnsi="仿宋_GB2312" w:eastAsia="仿宋_GB2312" w:cs="仿宋_GB2312"/>
                <w:color w:val="000000"/>
                <w:kern w:val="0"/>
                <w:sz w:val="21"/>
                <w:szCs w:val="21"/>
                <w:lang w:val="en-US" w:eastAsia="zh-CN"/>
              </w:rPr>
              <w:t>56</w:t>
            </w:r>
          </w:p>
        </w:tc>
        <w:tc>
          <w:tcPr>
            <w:tcW w:w="1506" w:type="dxa"/>
            <w:vMerge w:val="restart"/>
            <w:tcBorders>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使用全民所有的水域、滩涂从事养殖生产，无正当理由使水域、滩涂荒芜满一年的</w:t>
            </w:r>
          </w:p>
        </w:tc>
        <w:tc>
          <w:tcPr>
            <w:tcW w:w="4147" w:type="dxa"/>
            <w:vMerge w:val="restart"/>
            <w:tcBorders>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中华人民共和国渔业法》第四十条第一款，使用全民所有的水域、滩涂从事养殖生产，无正当理由使水域、滩涂荒芜满一年的，由发放养殖证的机关责令限期开发利用；逾期未开发利用的，吊销养殖证，可以并处一万元以下的罚款。</w:t>
            </w:r>
          </w:p>
        </w:tc>
        <w:tc>
          <w:tcPr>
            <w:tcW w:w="643" w:type="dxa"/>
            <w:tcBorders>
              <w:top w:val="single" w:color="auto" w:sz="4" w:space="0"/>
              <w:bottom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较轻</w:t>
            </w:r>
          </w:p>
        </w:tc>
        <w:tc>
          <w:tcPr>
            <w:tcW w:w="3740" w:type="dxa"/>
            <w:tcBorders>
              <w:top w:val="single" w:color="auto" w:sz="4" w:space="0"/>
              <w:bottom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 xml:space="preserve"> 在限期内开发利用</w:t>
            </w:r>
          </w:p>
        </w:tc>
        <w:tc>
          <w:tcPr>
            <w:tcW w:w="3543" w:type="dxa"/>
            <w:tcBorders>
              <w:top w:val="single" w:color="auto" w:sz="4" w:space="0"/>
              <w:bottom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由发放养殖证的机关责令限期开发利用，不予行政处罚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6" w:hRule="atLeast"/>
          <w:jc w:val="center"/>
        </w:trPr>
        <w:tc>
          <w:tcPr>
            <w:tcW w:w="421" w:type="dxa"/>
            <w:vMerge w:val="continue"/>
            <w:tcBorders>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eastAsia" w:ascii="仿宋_GB2312" w:hAnsi="仿宋_GB2312" w:eastAsia="仿宋_GB2312" w:cs="仿宋_GB2312"/>
                <w:color w:val="000000"/>
                <w:kern w:val="0"/>
                <w:sz w:val="21"/>
                <w:szCs w:val="21"/>
                <w:lang w:val="en-US" w:eastAsia="zh-CN"/>
              </w:rPr>
            </w:pPr>
          </w:p>
        </w:tc>
        <w:tc>
          <w:tcPr>
            <w:tcW w:w="1506" w:type="dxa"/>
            <w:vMerge w:val="continue"/>
            <w:tcBorders>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p>
        </w:tc>
        <w:tc>
          <w:tcPr>
            <w:tcW w:w="4147" w:type="dxa"/>
            <w:vMerge w:val="continue"/>
            <w:tcBorders>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p>
        </w:tc>
        <w:tc>
          <w:tcPr>
            <w:tcW w:w="643" w:type="dxa"/>
            <w:tcBorders>
              <w:top w:val="single" w:color="auto" w:sz="4" w:space="0"/>
              <w:bottom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一般</w:t>
            </w:r>
          </w:p>
        </w:tc>
        <w:tc>
          <w:tcPr>
            <w:tcW w:w="3740" w:type="dxa"/>
            <w:tcBorders>
              <w:top w:val="single" w:color="auto" w:sz="4" w:space="0"/>
              <w:bottom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逾期仍未开发利用的</w:t>
            </w:r>
          </w:p>
        </w:tc>
        <w:tc>
          <w:tcPr>
            <w:tcW w:w="3543" w:type="dxa"/>
            <w:tcBorders>
              <w:top w:val="single" w:color="auto" w:sz="4" w:space="0"/>
              <w:bottom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由发放养殖证的机关吊销养殖证，并处不超过一万元罚款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1" w:hRule="atLeast"/>
          <w:jc w:val="center"/>
        </w:trPr>
        <w:tc>
          <w:tcPr>
            <w:tcW w:w="421" w:type="dxa"/>
            <w:vMerge w:val="restart"/>
            <w:tcBorders>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r>
              <w:rPr>
                <w:rFonts w:hint="eastAsia" w:ascii="仿宋_GB2312" w:hAnsi="仿宋_GB2312" w:eastAsia="仿宋_GB2312" w:cs="仿宋_GB2312"/>
                <w:color w:val="000000"/>
                <w:kern w:val="0"/>
                <w:sz w:val="21"/>
                <w:szCs w:val="21"/>
                <w:lang w:val="en-US" w:eastAsia="zh-CN"/>
              </w:rPr>
              <w:t>57</w:t>
            </w:r>
          </w:p>
        </w:tc>
        <w:tc>
          <w:tcPr>
            <w:tcW w:w="1506" w:type="dxa"/>
            <w:vMerge w:val="restart"/>
            <w:tcBorders>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未依法取得养殖证或者超越养殖证许可范围在全民所有的水域从事养殖生产，妨碍航运、行洪的</w:t>
            </w:r>
          </w:p>
        </w:tc>
        <w:tc>
          <w:tcPr>
            <w:tcW w:w="4147" w:type="dxa"/>
            <w:vMerge w:val="restart"/>
            <w:tcBorders>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《中华人民共和国渔业法》第四十条第三款，未依法取得养殖证或者超越养殖证许可范围在全民所有的水域从事养殖生产，妨碍航运、行洪的，责令限期拆除养殖设施，可以并处一万元以下的罚款。</w:t>
            </w:r>
          </w:p>
        </w:tc>
        <w:tc>
          <w:tcPr>
            <w:tcW w:w="643" w:type="dxa"/>
            <w:tcBorders>
              <w:top w:val="single" w:color="auto" w:sz="4" w:space="0"/>
              <w:bottom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较轻</w:t>
            </w:r>
          </w:p>
        </w:tc>
        <w:tc>
          <w:tcPr>
            <w:tcW w:w="3740" w:type="dxa"/>
            <w:tcBorders>
              <w:top w:val="single" w:color="auto" w:sz="4" w:space="0"/>
              <w:bottom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未依法取得养殖证或者超越养殖证许可范围在全民所有的水域从事养殖生产，妨碍航运、行洪，未造成安全隐患的</w:t>
            </w:r>
          </w:p>
        </w:tc>
        <w:tc>
          <w:tcPr>
            <w:tcW w:w="3543" w:type="dxa"/>
            <w:tcBorders>
              <w:top w:val="single" w:color="auto" w:sz="4" w:space="0"/>
              <w:bottom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责令限期拆除养殖设施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5" w:hRule="atLeast"/>
          <w:jc w:val="center"/>
        </w:trPr>
        <w:tc>
          <w:tcPr>
            <w:tcW w:w="421" w:type="dxa"/>
            <w:vMerge w:val="continue"/>
            <w:tcBorders>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eastAsia" w:ascii="仿宋_GB2312" w:hAnsi="仿宋_GB2312" w:eastAsia="仿宋_GB2312" w:cs="仿宋_GB2312"/>
                <w:color w:val="000000"/>
                <w:kern w:val="0"/>
                <w:sz w:val="21"/>
                <w:szCs w:val="21"/>
                <w:lang w:val="en-US" w:eastAsia="zh-CN"/>
              </w:rPr>
            </w:pPr>
          </w:p>
        </w:tc>
        <w:tc>
          <w:tcPr>
            <w:tcW w:w="1506" w:type="dxa"/>
            <w:vMerge w:val="continue"/>
            <w:tcBorders>
              <w:tl2br w:val="nil"/>
              <w:tr2bl w:val="nil"/>
            </w:tcBorders>
            <w:tcMar>
              <w:top w:w="57" w:type="dxa"/>
              <w:left w:w="57" w:type="dxa"/>
              <w:bottom w:w="57" w:type="dxa"/>
              <w:right w:w="57" w:type="dxa"/>
            </w:tcMar>
            <w:vAlign w:val="center"/>
          </w:tcPr>
          <w:p>
            <w:pPr>
              <w:keepNext w:val="0"/>
              <w:keepLines w:val="0"/>
              <w:widowControl/>
              <w:suppressLineNumbers w:val="0"/>
              <w:jc w:val="left"/>
              <w:textAlignment w:val="center"/>
              <w:rPr>
                <w:rFonts w:hint="default" w:ascii="等线" w:hAnsi="等线" w:eastAsia="等线" w:cs="等线"/>
                <w:i w:val="0"/>
                <w:color w:val="000000"/>
                <w:kern w:val="0"/>
                <w:sz w:val="22"/>
                <w:szCs w:val="22"/>
                <w:u w:val="none"/>
                <w:lang w:val="en-US" w:eastAsia="zh-CN" w:bidi="ar"/>
              </w:rPr>
            </w:pPr>
          </w:p>
        </w:tc>
        <w:tc>
          <w:tcPr>
            <w:tcW w:w="4147" w:type="dxa"/>
            <w:vMerge w:val="continue"/>
            <w:tcBorders>
              <w:tl2br w:val="nil"/>
              <w:tr2bl w:val="nil"/>
            </w:tcBorders>
            <w:tcMar>
              <w:top w:w="57" w:type="dxa"/>
              <w:left w:w="57" w:type="dxa"/>
              <w:bottom w:w="57" w:type="dxa"/>
              <w:right w:w="57" w:type="dxa"/>
            </w:tcMar>
            <w:vAlign w:val="center"/>
          </w:tcPr>
          <w:p>
            <w:pPr>
              <w:keepNext w:val="0"/>
              <w:keepLines w:val="0"/>
              <w:widowControl/>
              <w:suppressLineNumbers w:val="0"/>
              <w:jc w:val="left"/>
              <w:textAlignment w:val="center"/>
              <w:rPr>
                <w:rFonts w:hint="default" w:ascii="等线" w:hAnsi="等线" w:eastAsia="等线" w:cs="等线"/>
                <w:i w:val="0"/>
                <w:color w:val="000000"/>
                <w:kern w:val="0"/>
                <w:sz w:val="22"/>
                <w:szCs w:val="22"/>
                <w:u w:val="none"/>
                <w:lang w:val="en-US" w:eastAsia="zh-CN" w:bidi="ar"/>
              </w:rPr>
            </w:pPr>
          </w:p>
        </w:tc>
        <w:tc>
          <w:tcPr>
            <w:tcW w:w="643" w:type="dxa"/>
            <w:tcBorders>
              <w:top w:val="single" w:color="auto" w:sz="4" w:space="0"/>
              <w:bottom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一般</w:t>
            </w:r>
          </w:p>
        </w:tc>
        <w:tc>
          <w:tcPr>
            <w:tcW w:w="3740" w:type="dxa"/>
            <w:tcBorders>
              <w:top w:val="single" w:color="auto" w:sz="4" w:space="0"/>
              <w:bottom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未依法取得养殖证或者超越养殖证许可范围在全民所有的水域从事养殖生产，妨碍航运、行洪，未及时改正或造成安全隐患的</w:t>
            </w:r>
          </w:p>
        </w:tc>
        <w:tc>
          <w:tcPr>
            <w:tcW w:w="3543" w:type="dxa"/>
            <w:tcBorders>
              <w:top w:val="single" w:color="auto" w:sz="4" w:space="0"/>
              <w:bottom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可以并处五千元以下罚款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7" w:hRule="atLeast"/>
          <w:jc w:val="center"/>
        </w:trPr>
        <w:tc>
          <w:tcPr>
            <w:tcW w:w="421" w:type="dxa"/>
            <w:vMerge w:val="continue"/>
            <w:tcBorders>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eastAsia" w:ascii="仿宋_GB2312" w:hAnsi="仿宋_GB2312" w:eastAsia="仿宋_GB2312" w:cs="仿宋_GB2312"/>
                <w:color w:val="000000"/>
                <w:kern w:val="0"/>
                <w:sz w:val="21"/>
                <w:szCs w:val="21"/>
                <w:lang w:val="en-US" w:eastAsia="zh-CN"/>
              </w:rPr>
            </w:pPr>
          </w:p>
        </w:tc>
        <w:tc>
          <w:tcPr>
            <w:tcW w:w="1506" w:type="dxa"/>
            <w:vMerge w:val="continue"/>
            <w:tcBorders>
              <w:tl2br w:val="nil"/>
              <w:tr2bl w:val="nil"/>
            </w:tcBorders>
            <w:tcMar>
              <w:top w:w="57" w:type="dxa"/>
              <w:left w:w="57" w:type="dxa"/>
              <w:bottom w:w="57" w:type="dxa"/>
              <w:right w:w="57" w:type="dxa"/>
            </w:tcMar>
            <w:vAlign w:val="center"/>
          </w:tcPr>
          <w:p>
            <w:pPr>
              <w:keepNext w:val="0"/>
              <w:keepLines w:val="0"/>
              <w:widowControl/>
              <w:suppressLineNumbers w:val="0"/>
              <w:jc w:val="left"/>
              <w:textAlignment w:val="center"/>
              <w:rPr>
                <w:rFonts w:hint="default" w:ascii="等线" w:hAnsi="等线" w:eastAsia="等线" w:cs="等线"/>
                <w:i w:val="0"/>
                <w:color w:val="000000"/>
                <w:kern w:val="0"/>
                <w:sz w:val="22"/>
                <w:szCs w:val="22"/>
                <w:u w:val="none"/>
                <w:lang w:val="en-US" w:eastAsia="zh-CN" w:bidi="ar"/>
              </w:rPr>
            </w:pPr>
          </w:p>
        </w:tc>
        <w:tc>
          <w:tcPr>
            <w:tcW w:w="4147" w:type="dxa"/>
            <w:vMerge w:val="continue"/>
            <w:tcBorders>
              <w:tl2br w:val="nil"/>
              <w:tr2bl w:val="nil"/>
            </w:tcBorders>
            <w:tcMar>
              <w:top w:w="57" w:type="dxa"/>
              <w:left w:w="57" w:type="dxa"/>
              <w:bottom w:w="57" w:type="dxa"/>
              <w:right w:w="57" w:type="dxa"/>
            </w:tcMar>
            <w:vAlign w:val="center"/>
          </w:tcPr>
          <w:p>
            <w:pPr>
              <w:keepNext w:val="0"/>
              <w:keepLines w:val="0"/>
              <w:widowControl/>
              <w:suppressLineNumbers w:val="0"/>
              <w:jc w:val="left"/>
              <w:textAlignment w:val="center"/>
              <w:rPr>
                <w:rFonts w:hint="default" w:ascii="等线" w:hAnsi="等线" w:eastAsia="等线" w:cs="等线"/>
                <w:i w:val="0"/>
                <w:color w:val="000000"/>
                <w:kern w:val="0"/>
                <w:sz w:val="22"/>
                <w:szCs w:val="22"/>
                <w:u w:val="none"/>
                <w:lang w:val="en-US" w:eastAsia="zh-CN" w:bidi="ar"/>
              </w:rPr>
            </w:pPr>
          </w:p>
        </w:tc>
        <w:tc>
          <w:tcPr>
            <w:tcW w:w="643" w:type="dxa"/>
            <w:tcBorders>
              <w:top w:val="single" w:color="auto" w:sz="4" w:space="0"/>
              <w:bottom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严重</w:t>
            </w:r>
          </w:p>
        </w:tc>
        <w:tc>
          <w:tcPr>
            <w:tcW w:w="3740" w:type="dxa"/>
            <w:tcBorders>
              <w:top w:val="single" w:color="auto" w:sz="4" w:space="0"/>
              <w:bottom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未依法取得养殖证或者超越养殖证许可范围在全民所有的水域从事养殖生产，妨碍航运、行洪，未及时改正，并造成严重影响或发生安全事故的</w:t>
            </w:r>
          </w:p>
        </w:tc>
        <w:tc>
          <w:tcPr>
            <w:tcW w:w="3543" w:type="dxa"/>
            <w:tcBorders>
              <w:top w:val="single" w:color="auto" w:sz="4" w:space="0"/>
              <w:bottom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可以并处五千以上不超过一万元罚款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7" w:hRule="atLeast"/>
          <w:jc w:val="center"/>
        </w:trPr>
        <w:tc>
          <w:tcPr>
            <w:tcW w:w="421" w:type="dxa"/>
            <w:vMerge w:val="restart"/>
            <w:tcBorders>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r>
              <w:rPr>
                <w:rFonts w:hint="eastAsia" w:ascii="仿宋_GB2312" w:hAnsi="仿宋_GB2312" w:eastAsia="仿宋_GB2312" w:cs="仿宋_GB2312"/>
                <w:color w:val="000000"/>
                <w:kern w:val="0"/>
                <w:sz w:val="21"/>
                <w:szCs w:val="21"/>
                <w:lang w:val="en-US" w:eastAsia="zh-CN"/>
              </w:rPr>
              <w:t>58</w:t>
            </w:r>
          </w:p>
        </w:tc>
        <w:tc>
          <w:tcPr>
            <w:tcW w:w="1506" w:type="dxa"/>
            <w:vMerge w:val="restart"/>
            <w:tcBorders>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非法生产、进口、出口水产苗种的</w:t>
            </w:r>
          </w:p>
        </w:tc>
        <w:tc>
          <w:tcPr>
            <w:tcW w:w="4147" w:type="dxa"/>
            <w:vMerge w:val="restart"/>
            <w:tcBorders>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《中华人民共和国渔业法》第四十四条第一款，非法生产、进口、出口水产苗种的，没收苗种和违法所得，并处五万元以下的罚款。</w:t>
            </w:r>
          </w:p>
        </w:tc>
        <w:tc>
          <w:tcPr>
            <w:tcW w:w="643" w:type="dxa"/>
            <w:tcBorders>
              <w:top w:val="single" w:color="auto" w:sz="4" w:space="0"/>
              <w:bottom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较轻</w:t>
            </w:r>
          </w:p>
        </w:tc>
        <w:tc>
          <w:tcPr>
            <w:tcW w:w="3740" w:type="dxa"/>
            <w:tcBorders>
              <w:top w:val="single" w:color="auto" w:sz="4" w:space="0"/>
              <w:bottom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水产苗种价值一千元以下的　</w:t>
            </w:r>
          </w:p>
        </w:tc>
        <w:tc>
          <w:tcPr>
            <w:tcW w:w="3543" w:type="dxa"/>
            <w:tcBorders>
              <w:top w:val="single" w:color="auto" w:sz="4" w:space="0"/>
              <w:bottom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没收苗种和违法所得，并处一万元以下罚款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421" w:type="dxa"/>
            <w:vMerge w:val="continue"/>
            <w:tcBorders>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eastAsia" w:ascii="仿宋_GB2312" w:hAnsi="仿宋_GB2312" w:eastAsia="仿宋_GB2312" w:cs="仿宋_GB2312"/>
                <w:color w:val="000000"/>
                <w:kern w:val="0"/>
                <w:sz w:val="21"/>
                <w:szCs w:val="21"/>
                <w:lang w:val="en-US" w:eastAsia="zh-CN"/>
              </w:rPr>
            </w:pPr>
          </w:p>
        </w:tc>
        <w:tc>
          <w:tcPr>
            <w:tcW w:w="1506" w:type="dxa"/>
            <w:vMerge w:val="continue"/>
            <w:tcBorders>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p>
        </w:tc>
        <w:tc>
          <w:tcPr>
            <w:tcW w:w="4147" w:type="dxa"/>
            <w:vMerge w:val="continue"/>
            <w:tcBorders>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p>
        </w:tc>
        <w:tc>
          <w:tcPr>
            <w:tcW w:w="643" w:type="dxa"/>
            <w:tcBorders>
              <w:top w:val="single" w:color="auto" w:sz="4" w:space="0"/>
              <w:bottom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一般　</w:t>
            </w:r>
          </w:p>
        </w:tc>
        <w:tc>
          <w:tcPr>
            <w:tcW w:w="3740" w:type="dxa"/>
            <w:tcBorders>
              <w:top w:val="single" w:color="auto" w:sz="4" w:space="0"/>
              <w:bottom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水产苗种价值一千元以上、一万元以下的</w:t>
            </w:r>
          </w:p>
        </w:tc>
        <w:tc>
          <w:tcPr>
            <w:tcW w:w="3543" w:type="dxa"/>
            <w:tcBorders>
              <w:top w:val="single" w:color="auto" w:sz="4" w:space="0"/>
              <w:bottom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没收苗种和违法所得，并处一万元以上三万元以下罚款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jc w:val="center"/>
        </w:trPr>
        <w:tc>
          <w:tcPr>
            <w:tcW w:w="421" w:type="dxa"/>
            <w:vMerge w:val="continue"/>
            <w:tcBorders>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eastAsia" w:ascii="仿宋_GB2312" w:hAnsi="仿宋_GB2312" w:eastAsia="仿宋_GB2312" w:cs="仿宋_GB2312"/>
                <w:color w:val="000000"/>
                <w:kern w:val="0"/>
                <w:sz w:val="21"/>
                <w:szCs w:val="21"/>
                <w:lang w:val="en-US" w:eastAsia="zh-CN"/>
              </w:rPr>
            </w:pPr>
          </w:p>
        </w:tc>
        <w:tc>
          <w:tcPr>
            <w:tcW w:w="1506" w:type="dxa"/>
            <w:vMerge w:val="continue"/>
            <w:tcBorders>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p>
        </w:tc>
        <w:tc>
          <w:tcPr>
            <w:tcW w:w="4147" w:type="dxa"/>
            <w:vMerge w:val="continue"/>
            <w:tcBorders>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p>
        </w:tc>
        <w:tc>
          <w:tcPr>
            <w:tcW w:w="643" w:type="dxa"/>
            <w:tcBorders>
              <w:top w:val="single" w:color="auto" w:sz="4" w:space="0"/>
              <w:bottom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严重</w:t>
            </w:r>
          </w:p>
        </w:tc>
        <w:tc>
          <w:tcPr>
            <w:tcW w:w="3740" w:type="dxa"/>
            <w:tcBorders>
              <w:top w:val="single" w:color="auto" w:sz="4" w:space="0"/>
              <w:bottom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水产苗种价值一万元以上的</w:t>
            </w:r>
          </w:p>
        </w:tc>
        <w:tc>
          <w:tcPr>
            <w:tcW w:w="3543" w:type="dxa"/>
            <w:tcBorders>
              <w:top w:val="single" w:color="auto" w:sz="4" w:space="0"/>
              <w:bottom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没收苗种和违法所得，并处三万元以上不超过五万元罚款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4" w:hRule="atLeast"/>
          <w:jc w:val="center"/>
        </w:trPr>
        <w:tc>
          <w:tcPr>
            <w:tcW w:w="421" w:type="dxa"/>
            <w:vMerge w:val="restart"/>
            <w:tcBorders>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r>
              <w:rPr>
                <w:rFonts w:hint="eastAsia" w:ascii="仿宋_GB2312" w:hAnsi="仿宋_GB2312" w:eastAsia="仿宋_GB2312" w:cs="仿宋_GB2312"/>
                <w:color w:val="000000"/>
                <w:kern w:val="0"/>
                <w:sz w:val="21"/>
                <w:szCs w:val="21"/>
                <w:lang w:val="en-US" w:eastAsia="zh-CN"/>
              </w:rPr>
              <w:t>59</w:t>
            </w:r>
          </w:p>
        </w:tc>
        <w:tc>
          <w:tcPr>
            <w:tcW w:w="1506" w:type="dxa"/>
            <w:vMerge w:val="restart"/>
            <w:tcBorders>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经营未经审定批准的水产苗种的</w:t>
            </w:r>
          </w:p>
        </w:tc>
        <w:tc>
          <w:tcPr>
            <w:tcW w:w="4147" w:type="dxa"/>
            <w:vMerge w:val="restart"/>
            <w:tcBorders>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《中华人民共和国渔业法》第四十四条第二款，经营未经审定的水产苗种的，责令立即停止经营，没收违法所得，可以并处五万元以下的罚款。</w:t>
            </w:r>
          </w:p>
        </w:tc>
        <w:tc>
          <w:tcPr>
            <w:tcW w:w="643" w:type="dxa"/>
            <w:tcBorders>
              <w:top w:val="single" w:color="auto" w:sz="4" w:space="0"/>
              <w:bottom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较轻</w:t>
            </w:r>
          </w:p>
        </w:tc>
        <w:tc>
          <w:tcPr>
            <w:tcW w:w="3740" w:type="dxa"/>
            <w:tcBorders>
              <w:top w:val="single" w:color="auto" w:sz="4" w:space="0"/>
              <w:bottom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水产苗种价值一千元以下的　</w:t>
            </w:r>
          </w:p>
        </w:tc>
        <w:tc>
          <w:tcPr>
            <w:tcW w:w="3543" w:type="dxa"/>
            <w:tcBorders>
              <w:top w:val="single" w:color="auto" w:sz="4" w:space="0"/>
              <w:bottom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没收违法所得，可以并处一万元以下罚款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jc w:val="center"/>
        </w:trPr>
        <w:tc>
          <w:tcPr>
            <w:tcW w:w="421" w:type="dxa"/>
            <w:vMerge w:val="continue"/>
            <w:tcBorders>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eastAsia" w:ascii="仿宋_GB2312" w:hAnsi="仿宋_GB2312" w:eastAsia="仿宋_GB2312" w:cs="仿宋_GB2312"/>
                <w:color w:val="000000"/>
                <w:kern w:val="0"/>
                <w:sz w:val="21"/>
                <w:szCs w:val="21"/>
                <w:lang w:val="en-US" w:eastAsia="zh-CN"/>
              </w:rPr>
            </w:pPr>
          </w:p>
        </w:tc>
        <w:tc>
          <w:tcPr>
            <w:tcW w:w="1506" w:type="dxa"/>
            <w:vMerge w:val="continue"/>
            <w:tcBorders>
              <w:tl2br w:val="nil"/>
              <w:tr2bl w:val="nil"/>
            </w:tcBorders>
            <w:tcMar>
              <w:top w:w="57" w:type="dxa"/>
              <w:left w:w="57" w:type="dxa"/>
              <w:bottom w:w="57" w:type="dxa"/>
              <w:right w:w="57" w:type="dxa"/>
            </w:tcMar>
            <w:vAlign w:val="center"/>
          </w:tcPr>
          <w:p>
            <w:pPr>
              <w:keepNext w:val="0"/>
              <w:keepLines w:val="0"/>
              <w:widowControl/>
              <w:suppressLineNumbers w:val="0"/>
              <w:jc w:val="left"/>
              <w:textAlignment w:val="center"/>
              <w:rPr>
                <w:rFonts w:hint="default" w:ascii="等线" w:hAnsi="等线" w:eastAsia="等线" w:cs="等线"/>
                <w:i w:val="0"/>
                <w:color w:val="000000"/>
                <w:kern w:val="0"/>
                <w:sz w:val="22"/>
                <w:szCs w:val="22"/>
                <w:u w:val="none"/>
                <w:lang w:val="en-US" w:eastAsia="zh-CN" w:bidi="ar"/>
              </w:rPr>
            </w:pPr>
          </w:p>
        </w:tc>
        <w:tc>
          <w:tcPr>
            <w:tcW w:w="4147" w:type="dxa"/>
            <w:vMerge w:val="continue"/>
            <w:tcBorders>
              <w:tl2br w:val="nil"/>
              <w:tr2bl w:val="nil"/>
            </w:tcBorders>
            <w:tcMar>
              <w:top w:w="57" w:type="dxa"/>
              <w:left w:w="57" w:type="dxa"/>
              <w:bottom w:w="57" w:type="dxa"/>
              <w:right w:w="57" w:type="dxa"/>
            </w:tcMar>
            <w:vAlign w:val="center"/>
          </w:tcPr>
          <w:p>
            <w:pPr>
              <w:keepNext w:val="0"/>
              <w:keepLines w:val="0"/>
              <w:widowControl/>
              <w:suppressLineNumbers w:val="0"/>
              <w:jc w:val="left"/>
              <w:textAlignment w:val="center"/>
              <w:rPr>
                <w:rFonts w:hint="default" w:ascii="等线" w:hAnsi="等线" w:eastAsia="等线" w:cs="等线"/>
                <w:i w:val="0"/>
                <w:color w:val="000000"/>
                <w:kern w:val="0"/>
                <w:sz w:val="22"/>
                <w:szCs w:val="22"/>
                <w:u w:val="none"/>
                <w:lang w:val="en-US" w:eastAsia="zh-CN" w:bidi="ar"/>
              </w:rPr>
            </w:pPr>
          </w:p>
        </w:tc>
        <w:tc>
          <w:tcPr>
            <w:tcW w:w="643" w:type="dxa"/>
            <w:tcBorders>
              <w:top w:val="single" w:color="auto" w:sz="4" w:space="0"/>
              <w:bottom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一般　</w:t>
            </w:r>
          </w:p>
        </w:tc>
        <w:tc>
          <w:tcPr>
            <w:tcW w:w="3740" w:type="dxa"/>
            <w:tcBorders>
              <w:top w:val="single" w:color="auto" w:sz="4" w:space="0"/>
              <w:bottom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水产苗种价值一千元以上、一万元以下的</w:t>
            </w:r>
          </w:p>
        </w:tc>
        <w:tc>
          <w:tcPr>
            <w:tcW w:w="3543" w:type="dxa"/>
            <w:tcBorders>
              <w:top w:val="single" w:color="auto" w:sz="4" w:space="0"/>
              <w:bottom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没收违法所得，可以并处一万元以上三万元以下罚款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1" w:hRule="atLeast"/>
          <w:jc w:val="center"/>
        </w:trPr>
        <w:tc>
          <w:tcPr>
            <w:tcW w:w="421" w:type="dxa"/>
            <w:vMerge w:val="continue"/>
            <w:tcBorders>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eastAsia" w:ascii="仿宋_GB2312" w:hAnsi="仿宋_GB2312" w:eastAsia="仿宋_GB2312" w:cs="仿宋_GB2312"/>
                <w:color w:val="000000"/>
                <w:kern w:val="0"/>
                <w:sz w:val="21"/>
                <w:szCs w:val="21"/>
                <w:lang w:val="en-US" w:eastAsia="zh-CN"/>
              </w:rPr>
            </w:pPr>
          </w:p>
        </w:tc>
        <w:tc>
          <w:tcPr>
            <w:tcW w:w="1506" w:type="dxa"/>
            <w:vMerge w:val="continue"/>
            <w:tcBorders>
              <w:tl2br w:val="nil"/>
              <w:tr2bl w:val="nil"/>
            </w:tcBorders>
            <w:tcMar>
              <w:top w:w="57" w:type="dxa"/>
              <w:left w:w="57" w:type="dxa"/>
              <w:bottom w:w="57" w:type="dxa"/>
              <w:right w:w="57" w:type="dxa"/>
            </w:tcMar>
            <w:vAlign w:val="center"/>
          </w:tcPr>
          <w:p>
            <w:pPr>
              <w:keepNext w:val="0"/>
              <w:keepLines w:val="0"/>
              <w:widowControl/>
              <w:suppressLineNumbers w:val="0"/>
              <w:jc w:val="left"/>
              <w:textAlignment w:val="center"/>
              <w:rPr>
                <w:rFonts w:hint="default" w:ascii="等线" w:hAnsi="等线" w:eastAsia="等线" w:cs="等线"/>
                <w:i w:val="0"/>
                <w:color w:val="000000"/>
                <w:kern w:val="0"/>
                <w:sz w:val="22"/>
                <w:szCs w:val="22"/>
                <w:u w:val="none"/>
                <w:lang w:val="en-US" w:eastAsia="zh-CN" w:bidi="ar"/>
              </w:rPr>
            </w:pPr>
          </w:p>
        </w:tc>
        <w:tc>
          <w:tcPr>
            <w:tcW w:w="4147" w:type="dxa"/>
            <w:vMerge w:val="continue"/>
            <w:tcBorders>
              <w:tl2br w:val="nil"/>
              <w:tr2bl w:val="nil"/>
            </w:tcBorders>
            <w:tcMar>
              <w:top w:w="57" w:type="dxa"/>
              <w:left w:w="57" w:type="dxa"/>
              <w:bottom w:w="57" w:type="dxa"/>
              <w:right w:w="57" w:type="dxa"/>
            </w:tcMar>
            <w:vAlign w:val="center"/>
          </w:tcPr>
          <w:p>
            <w:pPr>
              <w:keepNext w:val="0"/>
              <w:keepLines w:val="0"/>
              <w:widowControl/>
              <w:suppressLineNumbers w:val="0"/>
              <w:jc w:val="left"/>
              <w:textAlignment w:val="center"/>
              <w:rPr>
                <w:rFonts w:hint="default" w:ascii="等线" w:hAnsi="等线" w:eastAsia="等线" w:cs="等线"/>
                <w:i w:val="0"/>
                <w:color w:val="000000"/>
                <w:kern w:val="0"/>
                <w:sz w:val="22"/>
                <w:szCs w:val="22"/>
                <w:u w:val="none"/>
                <w:lang w:val="en-US" w:eastAsia="zh-CN" w:bidi="ar"/>
              </w:rPr>
            </w:pPr>
          </w:p>
        </w:tc>
        <w:tc>
          <w:tcPr>
            <w:tcW w:w="643" w:type="dxa"/>
            <w:tcBorders>
              <w:top w:val="single" w:color="auto" w:sz="4" w:space="0"/>
              <w:bottom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严重</w:t>
            </w:r>
          </w:p>
        </w:tc>
        <w:tc>
          <w:tcPr>
            <w:tcW w:w="3740" w:type="dxa"/>
            <w:tcBorders>
              <w:top w:val="single" w:color="auto" w:sz="4" w:space="0"/>
              <w:bottom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水产苗种价值一万元</w:t>
            </w:r>
            <w:r>
              <w:rPr>
                <w:rFonts w:hint="eastAsia" w:ascii="仿宋_GB2312" w:hAnsi="仿宋_GB2312" w:eastAsia="仿宋_GB2312" w:cs="仿宋_GB2312"/>
                <w:color w:val="000000"/>
                <w:kern w:val="0"/>
                <w:sz w:val="21"/>
                <w:szCs w:val="21"/>
                <w:lang w:val="en-US" w:eastAsia="zh-CN"/>
              </w:rPr>
              <w:t>58</w:t>
            </w:r>
            <w:r>
              <w:rPr>
                <w:rFonts w:hint="default" w:ascii="仿宋_GB2312" w:hAnsi="仿宋_GB2312" w:eastAsia="仿宋_GB2312" w:cs="仿宋_GB2312"/>
                <w:color w:val="000000"/>
                <w:kern w:val="0"/>
                <w:sz w:val="21"/>
                <w:szCs w:val="21"/>
                <w:lang w:val="en-US" w:eastAsia="zh-CN"/>
              </w:rPr>
              <w:t>以上的</w:t>
            </w:r>
          </w:p>
        </w:tc>
        <w:tc>
          <w:tcPr>
            <w:tcW w:w="3543" w:type="dxa"/>
            <w:tcBorders>
              <w:top w:val="single" w:color="auto" w:sz="4" w:space="0"/>
              <w:bottom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没收违法所得，可以并处三万元以上不超过五万元罚款</w:t>
            </w:r>
          </w:p>
        </w:tc>
      </w:tr>
    </w:tbl>
    <w:p>
      <w:pPr>
        <w:pStyle w:val="2"/>
        <w:rPr>
          <w:rFonts w:hint="default" w:eastAsia="宋体"/>
          <w:lang w:val="en-US" w:eastAsia="zh-CN"/>
        </w:rPr>
      </w:pPr>
    </w:p>
    <w:tbl>
      <w:tblPr>
        <w:tblStyle w:val="7"/>
        <w:tblW w:w="140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21"/>
        <w:gridCol w:w="1506"/>
        <w:gridCol w:w="4147"/>
        <w:gridCol w:w="643"/>
        <w:gridCol w:w="4015"/>
        <w:gridCol w:w="326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tblHeader/>
          <w:jc w:val="center"/>
        </w:trPr>
        <w:tc>
          <w:tcPr>
            <w:tcW w:w="421"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黑体" w:hAnsi="黑体" w:eastAsia="黑体" w:cs="黑体"/>
                <w:color w:val="000000"/>
                <w:sz w:val="24"/>
                <w:szCs w:val="24"/>
              </w:rPr>
            </w:pPr>
            <w:r>
              <w:rPr>
                <w:rFonts w:hint="eastAsia" w:ascii="黑体" w:hAnsi="黑体" w:eastAsia="黑体" w:cs="黑体"/>
                <w:color w:val="000000"/>
                <w:kern w:val="0"/>
                <w:sz w:val="24"/>
                <w:szCs w:val="24"/>
              </w:rPr>
              <w:t>序号</w:t>
            </w:r>
          </w:p>
        </w:tc>
        <w:tc>
          <w:tcPr>
            <w:tcW w:w="1506"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黑体" w:hAnsi="黑体" w:eastAsia="黑体" w:cs="黑体"/>
                <w:color w:val="000000"/>
                <w:sz w:val="24"/>
                <w:szCs w:val="24"/>
              </w:rPr>
            </w:pPr>
            <w:r>
              <w:rPr>
                <w:rFonts w:hint="eastAsia" w:ascii="黑体" w:hAnsi="黑体" w:eastAsia="黑体" w:cs="黑体"/>
                <w:color w:val="000000"/>
                <w:kern w:val="0"/>
                <w:sz w:val="24"/>
                <w:szCs w:val="24"/>
              </w:rPr>
              <w:t>违法行为</w:t>
            </w:r>
          </w:p>
        </w:tc>
        <w:tc>
          <w:tcPr>
            <w:tcW w:w="4147"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黑体" w:hAnsi="黑体" w:eastAsia="黑体" w:cs="黑体"/>
                <w:color w:val="000000"/>
                <w:sz w:val="24"/>
                <w:szCs w:val="24"/>
              </w:rPr>
            </w:pPr>
            <w:r>
              <w:rPr>
                <w:rFonts w:hint="eastAsia" w:ascii="黑体" w:hAnsi="黑体" w:eastAsia="黑体" w:cs="黑体"/>
                <w:color w:val="000000"/>
                <w:kern w:val="0"/>
                <w:sz w:val="24"/>
                <w:szCs w:val="24"/>
              </w:rPr>
              <w:t>处罚依据</w:t>
            </w:r>
          </w:p>
        </w:tc>
        <w:tc>
          <w:tcPr>
            <w:tcW w:w="643"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黑体" w:hAnsi="黑体" w:eastAsia="黑体" w:cs="黑体"/>
                <w:color w:val="000000"/>
                <w:sz w:val="24"/>
                <w:szCs w:val="24"/>
              </w:rPr>
            </w:pPr>
            <w:r>
              <w:rPr>
                <w:rFonts w:hint="eastAsia" w:ascii="黑体" w:hAnsi="黑体" w:eastAsia="黑体" w:cs="黑体"/>
                <w:color w:val="000000"/>
                <w:kern w:val="0"/>
                <w:sz w:val="24"/>
                <w:szCs w:val="24"/>
              </w:rPr>
              <w:t>违法程度</w:t>
            </w:r>
          </w:p>
        </w:tc>
        <w:tc>
          <w:tcPr>
            <w:tcW w:w="4015"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黑体" w:hAnsi="黑体" w:eastAsia="黑体" w:cs="黑体"/>
                <w:color w:val="000000"/>
                <w:sz w:val="24"/>
                <w:szCs w:val="24"/>
              </w:rPr>
            </w:pPr>
            <w:r>
              <w:rPr>
                <w:rFonts w:hint="eastAsia" w:ascii="黑体" w:hAnsi="黑体" w:eastAsia="黑体" w:cs="黑体"/>
                <w:color w:val="000000"/>
                <w:kern w:val="0"/>
                <w:sz w:val="24"/>
                <w:szCs w:val="24"/>
              </w:rPr>
              <w:t>违法情节</w:t>
            </w:r>
          </w:p>
        </w:tc>
        <w:tc>
          <w:tcPr>
            <w:tcW w:w="3268"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黑体" w:hAnsi="黑体" w:eastAsia="黑体" w:cs="黑体"/>
                <w:color w:val="000000"/>
                <w:sz w:val="24"/>
                <w:szCs w:val="24"/>
              </w:rPr>
            </w:pPr>
            <w:r>
              <w:rPr>
                <w:rFonts w:hint="eastAsia" w:ascii="黑体" w:hAnsi="黑体" w:eastAsia="黑体" w:cs="黑体"/>
                <w:color w:val="000000"/>
                <w:kern w:val="0"/>
                <w:sz w:val="24"/>
                <w:szCs w:val="24"/>
              </w:rPr>
              <w:t>裁量标准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8" w:hRule="atLeast"/>
          <w:jc w:val="center"/>
        </w:trPr>
        <w:tc>
          <w:tcPr>
            <w:tcW w:w="421" w:type="dxa"/>
            <w:vMerge w:val="restart"/>
            <w:tcBorders>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r>
              <w:rPr>
                <w:rFonts w:hint="eastAsia" w:ascii="仿宋_GB2312" w:hAnsi="仿宋_GB2312" w:eastAsia="仿宋_GB2312" w:cs="仿宋_GB2312"/>
                <w:color w:val="000000"/>
                <w:kern w:val="0"/>
                <w:sz w:val="21"/>
                <w:szCs w:val="21"/>
                <w:lang w:val="en-US" w:eastAsia="zh-CN"/>
              </w:rPr>
              <w:t>60</w:t>
            </w:r>
          </w:p>
        </w:tc>
        <w:tc>
          <w:tcPr>
            <w:tcW w:w="1506" w:type="dxa"/>
            <w:vMerge w:val="restart"/>
            <w:tcBorders>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使用国家规定的禁用药物进行渔业生产的</w:t>
            </w:r>
          </w:p>
        </w:tc>
        <w:tc>
          <w:tcPr>
            <w:tcW w:w="4147" w:type="dxa"/>
            <w:vMerge w:val="restart"/>
            <w:tcBorders>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eastAsia"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《山东省实施〈中华人民共和国渔业法〉办法》第三十三条， 违反本办法规定，使用国家规定的禁用药物进行渔业生产的，由县级以上人民政府渔业行政主管部门给予警告，责令停止使用，没收其药物，可以并处一万元以上五万元以下的罚款。</w:t>
            </w:r>
          </w:p>
        </w:tc>
        <w:tc>
          <w:tcPr>
            <w:tcW w:w="643" w:type="dxa"/>
            <w:tcBorders>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eastAsia"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较轻</w:t>
            </w:r>
          </w:p>
        </w:tc>
        <w:tc>
          <w:tcPr>
            <w:tcW w:w="4015" w:type="dxa"/>
            <w:tcBorders>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eastAsia"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使用国家规定的禁用药物进行渔业生产，但未销售，未造成任何影响</w:t>
            </w:r>
          </w:p>
        </w:tc>
        <w:tc>
          <w:tcPr>
            <w:tcW w:w="3268" w:type="dxa"/>
            <w:tcBorders>
              <w:bottom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eastAsia"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给予警告，责令停止使用，没收其药物，可以并处一万元以上一万五千元以下罚款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6" w:hRule="atLeast"/>
          <w:jc w:val="center"/>
        </w:trPr>
        <w:tc>
          <w:tcPr>
            <w:tcW w:w="421" w:type="dxa"/>
            <w:vMerge w:val="continue"/>
            <w:tcBorders>
              <w:bottom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eastAsia" w:ascii="仿宋_GB2312" w:hAnsi="仿宋_GB2312" w:eastAsia="仿宋_GB2312" w:cs="仿宋_GB2312"/>
                <w:color w:val="000000"/>
                <w:kern w:val="0"/>
                <w:sz w:val="21"/>
                <w:szCs w:val="21"/>
                <w:lang w:val="en-US" w:eastAsia="zh-CN"/>
              </w:rPr>
            </w:pPr>
          </w:p>
        </w:tc>
        <w:tc>
          <w:tcPr>
            <w:tcW w:w="1506" w:type="dxa"/>
            <w:vMerge w:val="continue"/>
            <w:tcBorders>
              <w:bottom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p>
        </w:tc>
        <w:tc>
          <w:tcPr>
            <w:tcW w:w="4147" w:type="dxa"/>
            <w:vMerge w:val="continue"/>
            <w:tcBorders>
              <w:bottom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p>
        </w:tc>
        <w:tc>
          <w:tcPr>
            <w:tcW w:w="643" w:type="dxa"/>
            <w:tcBorders>
              <w:top w:val="single" w:color="auto" w:sz="4" w:space="0"/>
              <w:bottom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eastAsia"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一般　</w:t>
            </w:r>
          </w:p>
        </w:tc>
        <w:tc>
          <w:tcPr>
            <w:tcW w:w="4015" w:type="dxa"/>
            <w:tcBorders>
              <w:top w:val="single" w:color="auto" w:sz="4" w:space="0"/>
              <w:bottom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eastAsia"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使用国家规定的禁用药物进行渔业生产，已进行销售（已经销售的产品占总产品量30%以下），造成较为严重的影响</w:t>
            </w:r>
          </w:p>
        </w:tc>
        <w:tc>
          <w:tcPr>
            <w:tcW w:w="3268" w:type="dxa"/>
            <w:tcBorders>
              <w:top w:val="single" w:color="auto" w:sz="4" w:space="0"/>
              <w:bottom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eastAsia"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给予警告，责令停止使用，没收其药物，可以并处一万五千元以上三万元以下罚款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0" w:hRule="atLeast"/>
          <w:jc w:val="center"/>
        </w:trPr>
        <w:tc>
          <w:tcPr>
            <w:tcW w:w="421" w:type="dxa"/>
            <w:vMerge w:val="continue"/>
            <w:tcBorders>
              <w:bottom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eastAsia" w:ascii="仿宋_GB2312" w:hAnsi="仿宋_GB2312" w:eastAsia="仿宋_GB2312" w:cs="仿宋_GB2312"/>
                <w:color w:val="000000"/>
                <w:kern w:val="0"/>
                <w:sz w:val="21"/>
                <w:szCs w:val="21"/>
                <w:lang w:val="en-US" w:eastAsia="zh-CN"/>
              </w:rPr>
            </w:pPr>
          </w:p>
        </w:tc>
        <w:tc>
          <w:tcPr>
            <w:tcW w:w="1506" w:type="dxa"/>
            <w:vMerge w:val="continue"/>
            <w:tcBorders>
              <w:bottom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p>
        </w:tc>
        <w:tc>
          <w:tcPr>
            <w:tcW w:w="4147" w:type="dxa"/>
            <w:vMerge w:val="continue"/>
            <w:tcBorders>
              <w:bottom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p>
        </w:tc>
        <w:tc>
          <w:tcPr>
            <w:tcW w:w="643" w:type="dxa"/>
            <w:tcBorders>
              <w:top w:val="single" w:color="auto" w:sz="4" w:space="0"/>
              <w:bottom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eastAsia"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严重</w:t>
            </w:r>
          </w:p>
        </w:tc>
        <w:tc>
          <w:tcPr>
            <w:tcW w:w="4015" w:type="dxa"/>
            <w:tcBorders>
              <w:top w:val="single" w:color="auto" w:sz="4" w:space="0"/>
              <w:bottom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eastAsia"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使用国家规定的禁用药物进行渔业生产，已经大规模销售已经大规模销售（已经销售的产品占总产品量超过30%），造成严重影响</w:t>
            </w:r>
          </w:p>
        </w:tc>
        <w:tc>
          <w:tcPr>
            <w:tcW w:w="3268" w:type="dxa"/>
            <w:tcBorders>
              <w:top w:val="single" w:color="auto" w:sz="4" w:space="0"/>
              <w:bottom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eastAsia"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给予警告，责令停止使用，没收其药物，可以并处三万元以上不超过五万元罚款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9" w:hRule="atLeast"/>
          <w:jc w:val="center"/>
        </w:trPr>
        <w:tc>
          <w:tcPr>
            <w:tcW w:w="421" w:type="dxa"/>
            <w:vMerge w:val="restart"/>
            <w:tcBorders>
              <w:top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r>
              <w:rPr>
                <w:rFonts w:hint="eastAsia" w:ascii="仿宋_GB2312" w:hAnsi="仿宋_GB2312" w:eastAsia="仿宋_GB2312" w:cs="仿宋_GB2312"/>
                <w:color w:val="000000"/>
                <w:kern w:val="0"/>
                <w:sz w:val="21"/>
                <w:szCs w:val="21"/>
                <w:lang w:val="en-US" w:eastAsia="zh-CN"/>
              </w:rPr>
              <w:t>61</w:t>
            </w:r>
          </w:p>
        </w:tc>
        <w:tc>
          <w:tcPr>
            <w:tcW w:w="1506" w:type="dxa"/>
            <w:vMerge w:val="restart"/>
            <w:tcBorders>
              <w:top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违法出售、收购、运输、携带、经营国家重点保护的或者地方重点保护的水生野生动物或者其产品</w:t>
            </w:r>
          </w:p>
        </w:tc>
        <w:tc>
          <w:tcPr>
            <w:tcW w:w="4147" w:type="dxa"/>
            <w:vMerge w:val="restart"/>
            <w:tcBorders>
              <w:top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 xml:space="preserve">1.《中华人民共和国水生野生动物保护实施条例》第二十八条，违反野生动物保护法律、法规，出售、收购、运输、携带国家重点保护的或者地方重点保护的水生野生动物或者其产品的，由工商行政管理部门或者其授权的渔业行政主管部门没收实物和违法所得，可以并处相当于实物价值10倍以下的罚款。  </w:t>
            </w:r>
            <w:r>
              <w:rPr>
                <w:rFonts w:hint="default" w:ascii="仿宋_GB2312" w:hAnsi="仿宋_GB2312" w:eastAsia="仿宋_GB2312" w:cs="仿宋_GB2312"/>
                <w:color w:val="000000"/>
                <w:kern w:val="0"/>
                <w:sz w:val="21"/>
                <w:szCs w:val="21"/>
                <w:lang w:val="en-US" w:eastAsia="zh-CN"/>
              </w:rPr>
              <w:br w:type="textWrapping"/>
            </w:r>
            <w:r>
              <w:rPr>
                <w:rFonts w:hint="default" w:ascii="仿宋_GB2312" w:hAnsi="仿宋_GB2312" w:eastAsia="仿宋_GB2312" w:cs="仿宋_GB2312"/>
                <w:color w:val="000000"/>
                <w:kern w:val="0"/>
                <w:sz w:val="21"/>
                <w:szCs w:val="21"/>
                <w:lang w:val="en-US" w:eastAsia="zh-CN"/>
              </w:rPr>
              <w:t>2.《山东省实施〈中华人民共和国渔业法〉办法》第三十六条，违反本办法规定，出售、收购、运输、携带、经营国家、省重点保护的水生野生动物及其产品的，由渔业行政主管部门、工商行政管理部门没收实物和违法所得，可以并处相当于实物价值十倍以下的罚款。</w:t>
            </w:r>
          </w:p>
        </w:tc>
        <w:tc>
          <w:tcPr>
            <w:tcW w:w="643" w:type="dxa"/>
            <w:tcBorders>
              <w:top w:val="single" w:color="auto" w:sz="4" w:space="0"/>
              <w:bottom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eastAsia"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较轻</w:t>
            </w:r>
          </w:p>
        </w:tc>
        <w:tc>
          <w:tcPr>
            <w:tcW w:w="4015" w:type="dxa"/>
            <w:tcBorders>
              <w:top w:val="single" w:color="auto" w:sz="4" w:space="0"/>
              <w:bottom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eastAsia"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违法出售、收购、运输、携带、经营国家重点保护的或者地方重点保护的水生野生动物或者其产品，造成较小危害后果的</w:t>
            </w:r>
          </w:p>
        </w:tc>
        <w:tc>
          <w:tcPr>
            <w:tcW w:w="3268" w:type="dxa"/>
            <w:tcBorders>
              <w:top w:val="single" w:color="auto" w:sz="4" w:space="0"/>
              <w:bottom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eastAsia"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没收实物和违法所得，可以并处相当于实物价值三倍以下罚款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2" w:hRule="atLeast"/>
          <w:jc w:val="center"/>
        </w:trPr>
        <w:tc>
          <w:tcPr>
            <w:tcW w:w="421" w:type="dxa"/>
            <w:vMerge w:val="continue"/>
            <w:tcBorders>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p>
        </w:tc>
        <w:tc>
          <w:tcPr>
            <w:tcW w:w="1506" w:type="dxa"/>
            <w:vMerge w:val="continue"/>
            <w:tcBorders>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p>
        </w:tc>
        <w:tc>
          <w:tcPr>
            <w:tcW w:w="4147" w:type="dxa"/>
            <w:vMerge w:val="continue"/>
            <w:tcBorders>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p>
        </w:tc>
        <w:tc>
          <w:tcPr>
            <w:tcW w:w="643" w:type="dxa"/>
            <w:tcBorders>
              <w:top w:val="single" w:color="auto" w:sz="4" w:space="0"/>
              <w:bottom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eastAsia"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一般　</w:t>
            </w:r>
          </w:p>
        </w:tc>
        <w:tc>
          <w:tcPr>
            <w:tcW w:w="4015" w:type="dxa"/>
            <w:tcBorders>
              <w:top w:val="single" w:color="auto" w:sz="4" w:space="0"/>
              <w:bottom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eastAsia"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违法出售、收购、运输、携带、经营国家重点保护的或者地方重点保护的水生野生动物或者其产品，造成较重危害后果的</w:t>
            </w:r>
          </w:p>
        </w:tc>
        <w:tc>
          <w:tcPr>
            <w:tcW w:w="3268" w:type="dxa"/>
            <w:tcBorders>
              <w:top w:val="single" w:color="auto" w:sz="4" w:space="0"/>
              <w:bottom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eastAsia"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没收实物和违法所得，可以并处相当于实物价值三倍以上六倍以下罚款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74" w:hRule="atLeast"/>
          <w:jc w:val="center"/>
        </w:trPr>
        <w:tc>
          <w:tcPr>
            <w:tcW w:w="421" w:type="dxa"/>
            <w:vMerge w:val="continue"/>
            <w:tcBorders>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p>
        </w:tc>
        <w:tc>
          <w:tcPr>
            <w:tcW w:w="1506" w:type="dxa"/>
            <w:vMerge w:val="continue"/>
            <w:tcBorders>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p>
        </w:tc>
        <w:tc>
          <w:tcPr>
            <w:tcW w:w="4147" w:type="dxa"/>
            <w:vMerge w:val="continue"/>
            <w:tcBorders>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p>
        </w:tc>
        <w:tc>
          <w:tcPr>
            <w:tcW w:w="643" w:type="dxa"/>
            <w:tcBorders>
              <w:top w:val="single" w:color="auto" w:sz="4" w:space="0"/>
              <w:bottom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eastAsia"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严重</w:t>
            </w:r>
          </w:p>
        </w:tc>
        <w:tc>
          <w:tcPr>
            <w:tcW w:w="4015" w:type="dxa"/>
            <w:tcBorders>
              <w:top w:val="single" w:color="auto" w:sz="4" w:space="0"/>
              <w:bottom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eastAsia"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违法出售、收购、运输、携带、经营国家重点保护的或者地方重点保护的水生野生动物或者其产品，造成严重危害后果的</w:t>
            </w:r>
          </w:p>
        </w:tc>
        <w:tc>
          <w:tcPr>
            <w:tcW w:w="3268" w:type="dxa"/>
            <w:tcBorders>
              <w:top w:val="single" w:color="auto" w:sz="4" w:space="0"/>
              <w:bottom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eastAsia"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没收实物和违法所得，可以并处相当于实物价值六倍以上不超过十倍罚款</w:t>
            </w:r>
          </w:p>
        </w:tc>
      </w:tr>
    </w:tbl>
    <w:p>
      <w:pPr>
        <w:pStyle w:val="2"/>
        <w:rPr>
          <w:rFonts w:hint="default" w:eastAsia="宋体"/>
          <w:lang w:val="en-US" w:eastAsia="zh-CN"/>
        </w:rPr>
      </w:pPr>
    </w:p>
    <w:tbl>
      <w:tblPr>
        <w:tblStyle w:val="7"/>
        <w:tblW w:w="140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21"/>
        <w:gridCol w:w="1506"/>
        <w:gridCol w:w="4147"/>
        <w:gridCol w:w="643"/>
        <w:gridCol w:w="3623"/>
        <w:gridCol w:w="366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tblHeader/>
          <w:jc w:val="center"/>
        </w:trPr>
        <w:tc>
          <w:tcPr>
            <w:tcW w:w="421"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黑体" w:hAnsi="黑体" w:eastAsia="黑体" w:cs="黑体"/>
                <w:color w:val="000000"/>
                <w:sz w:val="24"/>
                <w:szCs w:val="24"/>
              </w:rPr>
            </w:pPr>
            <w:r>
              <w:rPr>
                <w:rFonts w:hint="eastAsia" w:ascii="黑体" w:hAnsi="黑体" w:eastAsia="黑体" w:cs="黑体"/>
                <w:color w:val="000000"/>
                <w:kern w:val="0"/>
                <w:sz w:val="24"/>
                <w:szCs w:val="24"/>
              </w:rPr>
              <w:t>序号</w:t>
            </w:r>
          </w:p>
        </w:tc>
        <w:tc>
          <w:tcPr>
            <w:tcW w:w="1506"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黑体" w:hAnsi="黑体" w:eastAsia="黑体" w:cs="黑体"/>
                <w:color w:val="000000"/>
                <w:sz w:val="24"/>
                <w:szCs w:val="24"/>
              </w:rPr>
            </w:pPr>
            <w:r>
              <w:rPr>
                <w:rFonts w:hint="eastAsia" w:ascii="黑体" w:hAnsi="黑体" w:eastAsia="黑体" w:cs="黑体"/>
                <w:color w:val="000000"/>
                <w:kern w:val="0"/>
                <w:sz w:val="24"/>
                <w:szCs w:val="24"/>
              </w:rPr>
              <w:t>违法行为</w:t>
            </w:r>
          </w:p>
        </w:tc>
        <w:tc>
          <w:tcPr>
            <w:tcW w:w="4147"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黑体" w:hAnsi="黑体" w:eastAsia="黑体" w:cs="黑体"/>
                <w:color w:val="000000"/>
                <w:sz w:val="24"/>
                <w:szCs w:val="24"/>
              </w:rPr>
            </w:pPr>
            <w:r>
              <w:rPr>
                <w:rFonts w:hint="eastAsia" w:ascii="黑体" w:hAnsi="黑体" w:eastAsia="黑体" w:cs="黑体"/>
                <w:color w:val="000000"/>
                <w:kern w:val="0"/>
                <w:sz w:val="24"/>
                <w:szCs w:val="24"/>
              </w:rPr>
              <w:t>处罚依据</w:t>
            </w:r>
          </w:p>
        </w:tc>
        <w:tc>
          <w:tcPr>
            <w:tcW w:w="643"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黑体" w:hAnsi="黑体" w:eastAsia="黑体" w:cs="黑体"/>
                <w:color w:val="000000"/>
                <w:sz w:val="24"/>
                <w:szCs w:val="24"/>
              </w:rPr>
            </w:pPr>
            <w:r>
              <w:rPr>
                <w:rFonts w:hint="eastAsia" w:ascii="黑体" w:hAnsi="黑体" w:eastAsia="黑体" w:cs="黑体"/>
                <w:color w:val="000000"/>
                <w:kern w:val="0"/>
                <w:sz w:val="24"/>
                <w:szCs w:val="24"/>
              </w:rPr>
              <w:t>违法程度</w:t>
            </w:r>
          </w:p>
        </w:tc>
        <w:tc>
          <w:tcPr>
            <w:tcW w:w="3623"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黑体" w:hAnsi="黑体" w:eastAsia="黑体" w:cs="黑体"/>
                <w:color w:val="000000"/>
                <w:sz w:val="24"/>
                <w:szCs w:val="24"/>
              </w:rPr>
            </w:pPr>
            <w:r>
              <w:rPr>
                <w:rFonts w:hint="eastAsia" w:ascii="黑体" w:hAnsi="黑体" w:eastAsia="黑体" w:cs="黑体"/>
                <w:color w:val="000000"/>
                <w:kern w:val="0"/>
                <w:sz w:val="24"/>
                <w:szCs w:val="24"/>
              </w:rPr>
              <w:t>违法情节</w:t>
            </w:r>
          </w:p>
        </w:tc>
        <w:tc>
          <w:tcPr>
            <w:tcW w:w="3660"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黑体" w:hAnsi="黑体" w:eastAsia="黑体" w:cs="黑体"/>
                <w:color w:val="000000"/>
                <w:sz w:val="24"/>
                <w:szCs w:val="24"/>
              </w:rPr>
            </w:pPr>
            <w:r>
              <w:rPr>
                <w:rFonts w:hint="eastAsia" w:ascii="黑体" w:hAnsi="黑体" w:eastAsia="黑体" w:cs="黑体"/>
                <w:color w:val="000000"/>
                <w:kern w:val="0"/>
                <w:sz w:val="24"/>
                <w:szCs w:val="24"/>
              </w:rPr>
              <w:t>裁量标准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8" w:hRule="atLeast"/>
          <w:jc w:val="center"/>
        </w:trPr>
        <w:tc>
          <w:tcPr>
            <w:tcW w:w="421" w:type="dxa"/>
            <w:vMerge w:val="restart"/>
            <w:tcBorders>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r>
              <w:rPr>
                <w:rFonts w:hint="eastAsia" w:ascii="仿宋_GB2312" w:hAnsi="仿宋_GB2312" w:eastAsia="仿宋_GB2312" w:cs="仿宋_GB2312"/>
                <w:color w:val="000000"/>
                <w:kern w:val="0"/>
                <w:sz w:val="21"/>
                <w:szCs w:val="21"/>
                <w:lang w:val="en-US" w:eastAsia="zh-CN"/>
              </w:rPr>
              <w:t>62</w:t>
            </w:r>
          </w:p>
        </w:tc>
        <w:tc>
          <w:tcPr>
            <w:tcW w:w="1506" w:type="dxa"/>
            <w:vMerge w:val="restart"/>
            <w:tcBorders>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对渔业资源造成损失的</w:t>
            </w:r>
          </w:p>
        </w:tc>
        <w:tc>
          <w:tcPr>
            <w:tcW w:w="4147" w:type="dxa"/>
            <w:vMerge w:val="restart"/>
            <w:tcBorders>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eastAsia"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1.《山东省实施〈中华人民共和国渔业法〉办法》第三十七条，违反本办法规定，对渔业资源造成损失的，应当按照损失程度交纳资源损失赔偿费。资源损失赔偿费应当交当地财政，专款用于渔业资源的恢复和保护。具体办法由省人民政府规定。                      2.《山东省渔业资源保护办法》第二十六条　第二款，渔业资源损失赔偿费按照致死渔获物市场价格的1至3倍收取；致死渔获物中的重点保护品种未达到可捕标准的，按照达到可捕标准的市场价格计算。</w:t>
            </w:r>
          </w:p>
        </w:tc>
        <w:tc>
          <w:tcPr>
            <w:tcW w:w="643" w:type="dxa"/>
            <w:tcBorders>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eastAsia"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较轻</w:t>
            </w:r>
          </w:p>
        </w:tc>
        <w:tc>
          <w:tcPr>
            <w:tcW w:w="3623" w:type="dxa"/>
            <w:tcBorders>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eastAsia"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对渔业底栖生物、鱼卵、仔鱼及成鱼造成损害，对海洋生态环境破坏程度轻微的</w:t>
            </w:r>
          </w:p>
        </w:tc>
        <w:tc>
          <w:tcPr>
            <w:tcW w:w="3660" w:type="dxa"/>
            <w:tcBorders>
              <w:bottom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eastAsia"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渔业资源损失赔偿费按照致死渔获物市场价格的一倍收取；致死渔获物中的重点保护品种未达到可捕标准的，按照达到可捕标准的市场价格计算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6" w:hRule="atLeast"/>
          <w:jc w:val="center"/>
        </w:trPr>
        <w:tc>
          <w:tcPr>
            <w:tcW w:w="421" w:type="dxa"/>
            <w:vMerge w:val="continue"/>
            <w:tcBorders>
              <w:bottom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eastAsia" w:ascii="仿宋_GB2312" w:hAnsi="仿宋_GB2312" w:eastAsia="仿宋_GB2312" w:cs="仿宋_GB2312"/>
                <w:color w:val="000000"/>
                <w:kern w:val="0"/>
                <w:sz w:val="21"/>
                <w:szCs w:val="21"/>
                <w:lang w:val="en-US" w:eastAsia="zh-CN"/>
              </w:rPr>
            </w:pPr>
          </w:p>
        </w:tc>
        <w:tc>
          <w:tcPr>
            <w:tcW w:w="1506" w:type="dxa"/>
            <w:vMerge w:val="continue"/>
            <w:tcBorders>
              <w:bottom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p>
        </w:tc>
        <w:tc>
          <w:tcPr>
            <w:tcW w:w="4147" w:type="dxa"/>
            <w:vMerge w:val="continue"/>
            <w:tcBorders>
              <w:bottom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p>
        </w:tc>
        <w:tc>
          <w:tcPr>
            <w:tcW w:w="643" w:type="dxa"/>
            <w:tcBorders>
              <w:top w:val="single" w:color="auto" w:sz="4" w:space="0"/>
              <w:bottom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eastAsia"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一般　</w:t>
            </w:r>
          </w:p>
        </w:tc>
        <w:tc>
          <w:tcPr>
            <w:tcW w:w="3623" w:type="dxa"/>
            <w:tcBorders>
              <w:top w:val="single" w:color="auto" w:sz="4" w:space="0"/>
              <w:bottom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eastAsia"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对渔业底栖生物、鱼卵、仔鱼及成鱼造成一定程度损害，对海洋生态环境造成较大影响的</w:t>
            </w:r>
          </w:p>
        </w:tc>
        <w:tc>
          <w:tcPr>
            <w:tcW w:w="3660" w:type="dxa"/>
            <w:tcBorders>
              <w:top w:val="single" w:color="auto" w:sz="4" w:space="0"/>
              <w:bottom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eastAsia"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渔业资源损失赔偿费按照致死渔获物市场价格的二倍收取；致死渔获物中的重点保护品种未达到可捕标准的，按照达到可捕标准的市场价格计算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0" w:hRule="atLeast"/>
          <w:jc w:val="center"/>
        </w:trPr>
        <w:tc>
          <w:tcPr>
            <w:tcW w:w="421" w:type="dxa"/>
            <w:vMerge w:val="continue"/>
            <w:tcBorders>
              <w:bottom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eastAsia" w:ascii="仿宋_GB2312" w:hAnsi="仿宋_GB2312" w:eastAsia="仿宋_GB2312" w:cs="仿宋_GB2312"/>
                <w:color w:val="000000"/>
                <w:kern w:val="0"/>
                <w:sz w:val="21"/>
                <w:szCs w:val="21"/>
                <w:lang w:val="en-US" w:eastAsia="zh-CN"/>
              </w:rPr>
            </w:pPr>
          </w:p>
        </w:tc>
        <w:tc>
          <w:tcPr>
            <w:tcW w:w="1506" w:type="dxa"/>
            <w:vMerge w:val="continue"/>
            <w:tcBorders>
              <w:bottom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p>
        </w:tc>
        <w:tc>
          <w:tcPr>
            <w:tcW w:w="4147" w:type="dxa"/>
            <w:vMerge w:val="continue"/>
            <w:tcBorders>
              <w:bottom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p>
        </w:tc>
        <w:tc>
          <w:tcPr>
            <w:tcW w:w="643" w:type="dxa"/>
            <w:tcBorders>
              <w:top w:val="single" w:color="auto" w:sz="4" w:space="0"/>
              <w:bottom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eastAsia"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严重</w:t>
            </w:r>
          </w:p>
        </w:tc>
        <w:tc>
          <w:tcPr>
            <w:tcW w:w="3623" w:type="dxa"/>
            <w:tcBorders>
              <w:top w:val="single" w:color="auto" w:sz="4" w:space="0"/>
              <w:bottom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eastAsia"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对渔业底栖生物、鱼卵、仔鱼及成鱼造成严重损害，对海洋生态环境造成严重破坏，或者造成较大社会影响的</w:t>
            </w:r>
          </w:p>
        </w:tc>
        <w:tc>
          <w:tcPr>
            <w:tcW w:w="3660" w:type="dxa"/>
            <w:tcBorders>
              <w:top w:val="single" w:color="auto" w:sz="4" w:space="0"/>
              <w:bottom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eastAsia"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渔业资源损失赔偿费按照致死渔获物市场价格的三倍收取；致死渔获物中的重点保护品种未达到可捕标准的，按照达到可捕标准的市场价格计算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9" w:hRule="atLeast"/>
          <w:jc w:val="center"/>
        </w:trPr>
        <w:tc>
          <w:tcPr>
            <w:tcW w:w="421" w:type="dxa"/>
            <w:vMerge w:val="restart"/>
            <w:tcBorders>
              <w:top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r>
              <w:rPr>
                <w:rFonts w:hint="eastAsia" w:ascii="仿宋_GB2312" w:hAnsi="仿宋_GB2312" w:eastAsia="仿宋_GB2312" w:cs="仿宋_GB2312"/>
                <w:color w:val="000000"/>
                <w:kern w:val="0"/>
                <w:sz w:val="21"/>
                <w:szCs w:val="21"/>
                <w:lang w:val="en-US" w:eastAsia="zh-CN"/>
              </w:rPr>
              <w:t>63</w:t>
            </w:r>
          </w:p>
        </w:tc>
        <w:tc>
          <w:tcPr>
            <w:tcW w:w="1506" w:type="dxa"/>
            <w:vMerge w:val="restart"/>
            <w:tcBorders>
              <w:top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在禁渔期、禁渔区内向违法作业渔船供油、供冰（适用于港口外）</w:t>
            </w:r>
          </w:p>
        </w:tc>
        <w:tc>
          <w:tcPr>
            <w:tcW w:w="4147" w:type="dxa"/>
            <w:vMerge w:val="restart"/>
            <w:tcBorders>
              <w:top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山东省渔业资源保护办法》第二十三条，违反本办法第十一条（二）项规定的，由县以上渔业行政主管部门或者其所属的渔政监督管理机构给予警告，对非经营性的并处1000元以下罚款，对经营性的并处3万元以下罚款。</w:t>
            </w:r>
          </w:p>
        </w:tc>
        <w:tc>
          <w:tcPr>
            <w:tcW w:w="643" w:type="dxa"/>
            <w:tcBorders>
              <w:top w:val="single" w:color="auto" w:sz="4" w:space="0"/>
              <w:bottom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eastAsia"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较轻</w:t>
            </w:r>
          </w:p>
        </w:tc>
        <w:tc>
          <w:tcPr>
            <w:tcW w:w="3623" w:type="dxa"/>
            <w:tcBorders>
              <w:top w:val="single" w:color="auto" w:sz="4" w:space="0"/>
              <w:bottom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eastAsia"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在禁渔期、禁渔区内向违法作业渔船供油、供冰，数量较少，且能主动改正违法行为的</w:t>
            </w:r>
          </w:p>
        </w:tc>
        <w:tc>
          <w:tcPr>
            <w:tcW w:w="3660" w:type="dxa"/>
            <w:tcBorders>
              <w:top w:val="single" w:color="auto" w:sz="4" w:space="0"/>
              <w:bottom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eastAsia"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给予警告，对非经营性的并处三百元以下罚款,对经营性的并处九千元以下罚款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2" w:hRule="atLeast"/>
          <w:jc w:val="center"/>
        </w:trPr>
        <w:tc>
          <w:tcPr>
            <w:tcW w:w="421" w:type="dxa"/>
            <w:vMerge w:val="continue"/>
            <w:tcBorders>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p>
        </w:tc>
        <w:tc>
          <w:tcPr>
            <w:tcW w:w="1506" w:type="dxa"/>
            <w:vMerge w:val="continue"/>
            <w:tcBorders>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p>
        </w:tc>
        <w:tc>
          <w:tcPr>
            <w:tcW w:w="4147" w:type="dxa"/>
            <w:vMerge w:val="continue"/>
            <w:tcBorders>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p>
        </w:tc>
        <w:tc>
          <w:tcPr>
            <w:tcW w:w="643" w:type="dxa"/>
            <w:tcBorders>
              <w:top w:val="single" w:color="auto" w:sz="4" w:space="0"/>
              <w:bottom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eastAsia"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一般　</w:t>
            </w:r>
          </w:p>
        </w:tc>
        <w:tc>
          <w:tcPr>
            <w:tcW w:w="3623" w:type="dxa"/>
            <w:tcBorders>
              <w:top w:val="single" w:color="auto" w:sz="4" w:space="0"/>
              <w:bottom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eastAsia"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在禁渔期、禁渔区内一次性向2艘至4艘违法作业渔船供油、供冰</w:t>
            </w:r>
          </w:p>
        </w:tc>
        <w:tc>
          <w:tcPr>
            <w:tcW w:w="3660" w:type="dxa"/>
            <w:tcBorders>
              <w:top w:val="single" w:color="auto" w:sz="4" w:space="0"/>
              <w:bottom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eastAsia"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给予警告，对非经营性的并处三百元以上六百元以下罚款,对经营性的并处九千元以上一万八千元以下罚款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74" w:hRule="atLeast"/>
          <w:jc w:val="center"/>
        </w:trPr>
        <w:tc>
          <w:tcPr>
            <w:tcW w:w="421" w:type="dxa"/>
            <w:vMerge w:val="continue"/>
            <w:tcBorders>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p>
        </w:tc>
        <w:tc>
          <w:tcPr>
            <w:tcW w:w="1506" w:type="dxa"/>
            <w:vMerge w:val="continue"/>
            <w:tcBorders>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p>
        </w:tc>
        <w:tc>
          <w:tcPr>
            <w:tcW w:w="4147" w:type="dxa"/>
            <w:vMerge w:val="continue"/>
            <w:tcBorders>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p>
        </w:tc>
        <w:tc>
          <w:tcPr>
            <w:tcW w:w="643" w:type="dxa"/>
            <w:tcBorders>
              <w:top w:val="single" w:color="auto" w:sz="4" w:space="0"/>
              <w:bottom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eastAsia"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严重</w:t>
            </w:r>
          </w:p>
        </w:tc>
        <w:tc>
          <w:tcPr>
            <w:tcW w:w="3623" w:type="dxa"/>
            <w:tcBorders>
              <w:top w:val="single" w:color="auto" w:sz="4" w:space="0"/>
              <w:bottom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eastAsia"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多次在禁渔期或禁渔区内向违法作业渔船供油、供冰或者一次性向4艘及以上违法作业渔船供油、供冰，对渔业资源造成较大损失或者造成较大社会影响的</w:t>
            </w:r>
          </w:p>
        </w:tc>
        <w:tc>
          <w:tcPr>
            <w:tcW w:w="3660" w:type="dxa"/>
            <w:tcBorders>
              <w:top w:val="single" w:color="auto" w:sz="4" w:space="0"/>
              <w:bottom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eastAsia"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给予警告，对非经营性的并处六百元以上不超过一千元罚款,对经营性的并处一万八千元以上不超过三万元罚款</w:t>
            </w:r>
          </w:p>
        </w:tc>
      </w:tr>
    </w:tbl>
    <w:p>
      <w:pPr>
        <w:pStyle w:val="2"/>
        <w:rPr>
          <w:rFonts w:hint="default" w:eastAsia="宋体"/>
          <w:lang w:val="en-US" w:eastAsia="zh-CN"/>
        </w:rPr>
      </w:pPr>
    </w:p>
    <w:p>
      <w:pPr>
        <w:pStyle w:val="2"/>
        <w:rPr>
          <w:rFonts w:hint="default" w:eastAsia="宋体"/>
          <w:lang w:val="en-US" w:eastAsia="zh-CN"/>
        </w:rPr>
      </w:pPr>
    </w:p>
    <w:tbl>
      <w:tblPr>
        <w:tblStyle w:val="7"/>
        <w:tblW w:w="140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21"/>
        <w:gridCol w:w="1506"/>
        <w:gridCol w:w="4147"/>
        <w:gridCol w:w="643"/>
        <w:gridCol w:w="3623"/>
        <w:gridCol w:w="366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tblHeader/>
          <w:jc w:val="center"/>
        </w:trPr>
        <w:tc>
          <w:tcPr>
            <w:tcW w:w="421"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黑体" w:hAnsi="黑体" w:eastAsia="黑体" w:cs="黑体"/>
                <w:color w:val="000000"/>
                <w:sz w:val="24"/>
                <w:szCs w:val="24"/>
              </w:rPr>
            </w:pPr>
            <w:r>
              <w:rPr>
                <w:rFonts w:hint="eastAsia" w:ascii="黑体" w:hAnsi="黑体" w:eastAsia="黑体" w:cs="黑体"/>
                <w:color w:val="000000"/>
                <w:kern w:val="0"/>
                <w:sz w:val="24"/>
                <w:szCs w:val="24"/>
              </w:rPr>
              <w:t>序号</w:t>
            </w:r>
          </w:p>
        </w:tc>
        <w:tc>
          <w:tcPr>
            <w:tcW w:w="1506"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黑体" w:hAnsi="黑体" w:eastAsia="黑体" w:cs="黑体"/>
                <w:color w:val="000000"/>
                <w:sz w:val="24"/>
                <w:szCs w:val="24"/>
              </w:rPr>
            </w:pPr>
            <w:r>
              <w:rPr>
                <w:rFonts w:hint="eastAsia" w:ascii="黑体" w:hAnsi="黑体" w:eastAsia="黑体" w:cs="黑体"/>
                <w:color w:val="000000"/>
                <w:kern w:val="0"/>
                <w:sz w:val="24"/>
                <w:szCs w:val="24"/>
              </w:rPr>
              <w:t>违法行为</w:t>
            </w:r>
          </w:p>
        </w:tc>
        <w:tc>
          <w:tcPr>
            <w:tcW w:w="4147"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黑体" w:hAnsi="黑体" w:eastAsia="黑体" w:cs="黑体"/>
                <w:color w:val="000000"/>
                <w:sz w:val="24"/>
                <w:szCs w:val="24"/>
              </w:rPr>
            </w:pPr>
            <w:r>
              <w:rPr>
                <w:rFonts w:hint="eastAsia" w:ascii="黑体" w:hAnsi="黑体" w:eastAsia="黑体" w:cs="黑体"/>
                <w:color w:val="000000"/>
                <w:kern w:val="0"/>
                <w:sz w:val="24"/>
                <w:szCs w:val="24"/>
              </w:rPr>
              <w:t>处罚依据</w:t>
            </w:r>
          </w:p>
        </w:tc>
        <w:tc>
          <w:tcPr>
            <w:tcW w:w="643"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黑体" w:hAnsi="黑体" w:eastAsia="黑体" w:cs="黑体"/>
                <w:color w:val="000000"/>
                <w:sz w:val="24"/>
                <w:szCs w:val="24"/>
              </w:rPr>
            </w:pPr>
            <w:r>
              <w:rPr>
                <w:rFonts w:hint="eastAsia" w:ascii="黑体" w:hAnsi="黑体" w:eastAsia="黑体" w:cs="黑体"/>
                <w:color w:val="000000"/>
                <w:kern w:val="0"/>
                <w:sz w:val="24"/>
                <w:szCs w:val="24"/>
              </w:rPr>
              <w:t>违法程度</w:t>
            </w:r>
          </w:p>
        </w:tc>
        <w:tc>
          <w:tcPr>
            <w:tcW w:w="3623"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黑体" w:hAnsi="黑体" w:eastAsia="黑体" w:cs="黑体"/>
                <w:color w:val="000000"/>
                <w:sz w:val="24"/>
                <w:szCs w:val="24"/>
              </w:rPr>
            </w:pPr>
            <w:r>
              <w:rPr>
                <w:rFonts w:hint="eastAsia" w:ascii="黑体" w:hAnsi="黑体" w:eastAsia="黑体" w:cs="黑体"/>
                <w:color w:val="000000"/>
                <w:kern w:val="0"/>
                <w:sz w:val="24"/>
                <w:szCs w:val="24"/>
              </w:rPr>
              <w:t>违法情节</w:t>
            </w:r>
          </w:p>
        </w:tc>
        <w:tc>
          <w:tcPr>
            <w:tcW w:w="3660"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黑体" w:hAnsi="黑体" w:eastAsia="黑体" w:cs="黑体"/>
                <w:color w:val="000000"/>
                <w:sz w:val="24"/>
                <w:szCs w:val="24"/>
              </w:rPr>
            </w:pPr>
            <w:r>
              <w:rPr>
                <w:rFonts w:hint="eastAsia" w:ascii="黑体" w:hAnsi="黑体" w:eastAsia="黑体" w:cs="黑体"/>
                <w:color w:val="000000"/>
                <w:kern w:val="0"/>
                <w:sz w:val="24"/>
                <w:szCs w:val="24"/>
              </w:rPr>
              <w:t>裁量标准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8" w:hRule="atLeast"/>
          <w:jc w:val="center"/>
        </w:trPr>
        <w:tc>
          <w:tcPr>
            <w:tcW w:w="421" w:type="dxa"/>
            <w:vMerge w:val="restart"/>
            <w:tcBorders>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r>
              <w:rPr>
                <w:rFonts w:hint="eastAsia" w:ascii="仿宋_GB2312" w:hAnsi="仿宋_GB2312" w:eastAsia="仿宋_GB2312" w:cs="仿宋_GB2312"/>
                <w:color w:val="000000"/>
                <w:kern w:val="0"/>
                <w:sz w:val="21"/>
                <w:szCs w:val="21"/>
                <w:lang w:val="en-US" w:eastAsia="zh-CN"/>
              </w:rPr>
              <w:t>64</w:t>
            </w:r>
          </w:p>
        </w:tc>
        <w:tc>
          <w:tcPr>
            <w:tcW w:w="1506" w:type="dxa"/>
            <w:vMerge w:val="restart"/>
            <w:tcBorders>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擅自收购、运输、销售国家和省重点保护品种的苗种及禁捕的怀卵亲体，在禁渔期、禁渔区内销售、代冻未经依法处理的违法捕捞渔获物</w:t>
            </w:r>
          </w:p>
        </w:tc>
        <w:tc>
          <w:tcPr>
            <w:tcW w:w="4147" w:type="dxa"/>
            <w:vMerge w:val="restart"/>
            <w:tcBorders>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eastAsia"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山东省渔业资源保护办法》第二十四条，违反本办法第九条、第十一条（三）项规定的，由县以上渔业行政主管部门会同有关主管部门给予警告，并处违法渔获物市场价格1倍以上3倍以下罚款，但最高不得超过3万元。</w:t>
            </w:r>
          </w:p>
        </w:tc>
        <w:tc>
          <w:tcPr>
            <w:tcW w:w="643" w:type="dxa"/>
            <w:tcBorders>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eastAsia"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较轻</w:t>
            </w:r>
          </w:p>
        </w:tc>
        <w:tc>
          <w:tcPr>
            <w:tcW w:w="3623" w:type="dxa"/>
            <w:tcBorders>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eastAsia"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在禁渔期、禁渔区内代冻未经依法处理的违法捕捞渔获物,数量在500千克以下或者价值在5000元以下的</w:t>
            </w:r>
          </w:p>
        </w:tc>
        <w:tc>
          <w:tcPr>
            <w:tcW w:w="3660" w:type="dxa"/>
            <w:tcBorders>
              <w:bottom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eastAsia"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给予警告，并处违法渔获物市场价格一倍的罚款,但最高不超过一万元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6" w:hRule="atLeast"/>
          <w:jc w:val="center"/>
        </w:trPr>
        <w:tc>
          <w:tcPr>
            <w:tcW w:w="421" w:type="dxa"/>
            <w:vMerge w:val="continue"/>
            <w:tcBorders>
              <w:bottom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eastAsia" w:ascii="仿宋_GB2312" w:hAnsi="仿宋_GB2312" w:eastAsia="仿宋_GB2312" w:cs="仿宋_GB2312"/>
                <w:color w:val="000000"/>
                <w:kern w:val="0"/>
                <w:sz w:val="21"/>
                <w:szCs w:val="21"/>
                <w:lang w:val="en-US" w:eastAsia="zh-CN"/>
              </w:rPr>
            </w:pPr>
          </w:p>
        </w:tc>
        <w:tc>
          <w:tcPr>
            <w:tcW w:w="1506" w:type="dxa"/>
            <w:vMerge w:val="continue"/>
            <w:tcBorders>
              <w:bottom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p>
        </w:tc>
        <w:tc>
          <w:tcPr>
            <w:tcW w:w="4147" w:type="dxa"/>
            <w:vMerge w:val="continue"/>
            <w:tcBorders>
              <w:bottom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p>
        </w:tc>
        <w:tc>
          <w:tcPr>
            <w:tcW w:w="643" w:type="dxa"/>
            <w:tcBorders>
              <w:top w:val="single" w:color="auto" w:sz="4" w:space="0"/>
              <w:bottom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eastAsia"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一般　</w:t>
            </w:r>
          </w:p>
        </w:tc>
        <w:tc>
          <w:tcPr>
            <w:tcW w:w="3623" w:type="dxa"/>
            <w:tcBorders>
              <w:top w:val="single" w:color="auto" w:sz="4" w:space="0"/>
              <w:bottom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eastAsia"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擅自收购、运输、销售国家和省重点保护品种的苗种及禁捕的怀卵亲体，或者在禁渔期、禁渔区内代冻未经依法处理的违法捕捞渔获物,数量在500千克以上，不足5000千克，或者价值在5000元以上，不足20000元的</w:t>
            </w:r>
          </w:p>
        </w:tc>
        <w:tc>
          <w:tcPr>
            <w:tcW w:w="3660" w:type="dxa"/>
            <w:tcBorders>
              <w:top w:val="single" w:color="auto" w:sz="4" w:space="0"/>
              <w:bottom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eastAsia"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给予警告，并处违法渔获物市场价格一倍以上二倍以下的罚款,但最高不超过二万元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0" w:hRule="atLeast"/>
          <w:jc w:val="center"/>
        </w:trPr>
        <w:tc>
          <w:tcPr>
            <w:tcW w:w="421" w:type="dxa"/>
            <w:vMerge w:val="continue"/>
            <w:tcBorders>
              <w:bottom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eastAsia" w:ascii="仿宋_GB2312" w:hAnsi="仿宋_GB2312" w:eastAsia="仿宋_GB2312" w:cs="仿宋_GB2312"/>
                <w:color w:val="000000"/>
                <w:kern w:val="0"/>
                <w:sz w:val="21"/>
                <w:szCs w:val="21"/>
                <w:lang w:val="en-US" w:eastAsia="zh-CN"/>
              </w:rPr>
            </w:pPr>
          </w:p>
        </w:tc>
        <w:tc>
          <w:tcPr>
            <w:tcW w:w="1506" w:type="dxa"/>
            <w:vMerge w:val="continue"/>
            <w:tcBorders>
              <w:bottom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p>
        </w:tc>
        <w:tc>
          <w:tcPr>
            <w:tcW w:w="4147" w:type="dxa"/>
            <w:vMerge w:val="continue"/>
            <w:tcBorders>
              <w:bottom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p>
        </w:tc>
        <w:tc>
          <w:tcPr>
            <w:tcW w:w="643" w:type="dxa"/>
            <w:tcBorders>
              <w:top w:val="single" w:color="auto" w:sz="4" w:space="0"/>
              <w:bottom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eastAsia"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严重</w:t>
            </w:r>
          </w:p>
        </w:tc>
        <w:tc>
          <w:tcPr>
            <w:tcW w:w="3623" w:type="dxa"/>
            <w:tcBorders>
              <w:top w:val="single" w:color="auto" w:sz="4" w:space="0"/>
              <w:bottom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eastAsia"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擅自收购、运输、销售国家和省重点保护品种的苗种及禁捕的坏卵亲体，或者在禁渔期、禁渔区内代冻未经依法处理的违法捕捞渔获物,数量在5000千克以上，或者价值在20000元以上的</w:t>
            </w:r>
          </w:p>
        </w:tc>
        <w:tc>
          <w:tcPr>
            <w:tcW w:w="3660" w:type="dxa"/>
            <w:tcBorders>
              <w:top w:val="single" w:color="auto" w:sz="4" w:space="0"/>
              <w:bottom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eastAsia"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给予警告，并处违法渔获物市场价格二倍以上三倍以下的罚款,但最高不超过三万元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9" w:hRule="atLeast"/>
          <w:jc w:val="center"/>
        </w:trPr>
        <w:tc>
          <w:tcPr>
            <w:tcW w:w="421" w:type="dxa"/>
            <w:vMerge w:val="restart"/>
            <w:tcBorders>
              <w:top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r>
              <w:rPr>
                <w:rFonts w:hint="eastAsia" w:ascii="仿宋_GB2312" w:hAnsi="仿宋_GB2312" w:eastAsia="仿宋_GB2312" w:cs="仿宋_GB2312"/>
                <w:color w:val="000000"/>
                <w:kern w:val="0"/>
                <w:sz w:val="21"/>
                <w:szCs w:val="21"/>
                <w:lang w:val="en-US" w:eastAsia="zh-CN"/>
              </w:rPr>
              <w:t>65</w:t>
            </w:r>
          </w:p>
        </w:tc>
        <w:tc>
          <w:tcPr>
            <w:tcW w:w="1506" w:type="dxa"/>
            <w:vMerge w:val="restart"/>
            <w:tcBorders>
              <w:top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未按渔业港口布局规划进行渔业港口建设的</w:t>
            </w:r>
          </w:p>
        </w:tc>
        <w:tc>
          <w:tcPr>
            <w:tcW w:w="4147" w:type="dxa"/>
            <w:vMerge w:val="restart"/>
            <w:tcBorders>
              <w:top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山东省渔业港口和渔业船舶管理条例》第三十五条，违反本条例规定，未按渔业港口布局规划进行渔业港口建设的，由省人民政府渔业行政主管部门责令限期改正，给予警告；情节严重的，并处以3万元以上10万元以下的罚款。</w:t>
            </w:r>
          </w:p>
        </w:tc>
        <w:tc>
          <w:tcPr>
            <w:tcW w:w="643" w:type="dxa"/>
            <w:tcBorders>
              <w:top w:val="single" w:color="auto" w:sz="4" w:space="0"/>
              <w:bottom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eastAsia"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一般</w:t>
            </w:r>
          </w:p>
        </w:tc>
        <w:tc>
          <w:tcPr>
            <w:tcW w:w="3623" w:type="dxa"/>
            <w:tcBorders>
              <w:top w:val="single" w:color="auto" w:sz="4" w:space="0"/>
              <w:bottom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eastAsia"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在建尚未投入使用的</w:t>
            </w:r>
          </w:p>
        </w:tc>
        <w:tc>
          <w:tcPr>
            <w:tcW w:w="3660" w:type="dxa"/>
            <w:tcBorders>
              <w:top w:val="single" w:color="auto" w:sz="4" w:space="0"/>
              <w:bottom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eastAsia"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责令限期改正，给予警告</w:t>
            </w:r>
            <w:r>
              <w:rPr>
                <w:rFonts w:hint="eastAsia" w:ascii="仿宋_GB2312" w:hAnsi="仿宋_GB2312" w:eastAsia="仿宋_GB2312" w:cs="仿宋_GB2312"/>
                <w:color w:val="000000"/>
                <w:kern w:val="0"/>
                <w:sz w:val="21"/>
                <w:szCs w:val="21"/>
                <w:lang w:val="en-US" w:eastAsia="zh-CN"/>
              </w:rPr>
              <w:t>，</w:t>
            </w:r>
            <w:r>
              <w:rPr>
                <w:rFonts w:hint="default" w:ascii="仿宋_GB2312" w:hAnsi="仿宋_GB2312" w:eastAsia="仿宋_GB2312" w:cs="仿宋_GB2312"/>
                <w:color w:val="000000"/>
                <w:kern w:val="0"/>
                <w:sz w:val="21"/>
                <w:szCs w:val="21"/>
                <w:lang w:val="en-US" w:eastAsia="zh-CN"/>
              </w:rPr>
              <w:t>并处以三万元以上六万元以下罚款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2" w:hRule="atLeast"/>
          <w:jc w:val="center"/>
        </w:trPr>
        <w:tc>
          <w:tcPr>
            <w:tcW w:w="421" w:type="dxa"/>
            <w:vMerge w:val="continue"/>
            <w:tcBorders>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p>
        </w:tc>
        <w:tc>
          <w:tcPr>
            <w:tcW w:w="1506" w:type="dxa"/>
            <w:vMerge w:val="continue"/>
            <w:tcBorders>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p>
        </w:tc>
        <w:tc>
          <w:tcPr>
            <w:tcW w:w="4147" w:type="dxa"/>
            <w:vMerge w:val="continue"/>
            <w:tcBorders>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p>
        </w:tc>
        <w:tc>
          <w:tcPr>
            <w:tcW w:w="643" w:type="dxa"/>
            <w:tcBorders>
              <w:top w:val="single" w:color="auto" w:sz="4" w:space="0"/>
              <w:bottom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eastAsia"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严重</w:t>
            </w:r>
          </w:p>
        </w:tc>
        <w:tc>
          <w:tcPr>
            <w:tcW w:w="3623" w:type="dxa"/>
            <w:tcBorders>
              <w:top w:val="single" w:color="auto" w:sz="4" w:space="0"/>
              <w:bottom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eastAsia"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已经投入使用的</w:t>
            </w:r>
          </w:p>
        </w:tc>
        <w:tc>
          <w:tcPr>
            <w:tcW w:w="3660" w:type="dxa"/>
            <w:tcBorders>
              <w:top w:val="single" w:color="auto" w:sz="4" w:space="0"/>
              <w:bottom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eastAsia"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责令限期改正，给予警告</w:t>
            </w:r>
            <w:r>
              <w:rPr>
                <w:rFonts w:hint="eastAsia" w:ascii="仿宋_GB2312" w:hAnsi="仿宋_GB2312" w:eastAsia="仿宋_GB2312" w:cs="仿宋_GB2312"/>
                <w:color w:val="000000"/>
                <w:kern w:val="0"/>
                <w:sz w:val="21"/>
                <w:szCs w:val="21"/>
                <w:lang w:val="en-US" w:eastAsia="zh-CN"/>
              </w:rPr>
              <w:t>，</w:t>
            </w:r>
            <w:r>
              <w:rPr>
                <w:rFonts w:hint="default" w:ascii="仿宋_GB2312" w:hAnsi="仿宋_GB2312" w:eastAsia="仿宋_GB2312" w:cs="仿宋_GB2312"/>
                <w:color w:val="000000"/>
                <w:kern w:val="0"/>
                <w:sz w:val="21"/>
                <w:szCs w:val="21"/>
                <w:lang w:val="en-US" w:eastAsia="zh-CN"/>
              </w:rPr>
              <w:t>并处以六万元以上不超过十万元罚款</w:t>
            </w:r>
          </w:p>
        </w:tc>
      </w:tr>
    </w:tbl>
    <w:p>
      <w:pPr>
        <w:pStyle w:val="2"/>
        <w:rPr>
          <w:rFonts w:hint="default" w:eastAsia="宋体"/>
          <w:lang w:val="en-US" w:eastAsia="zh-CN"/>
        </w:rPr>
      </w:pPr>
    </w:p>
    <w:p>
      <w:pPr>
        <w:pStyle w:val="2"/>
        <w:rPr>
          <w:rFonts w:hint="default" w:eastAsia="宋体"/>
          <w:lang w:val="en-US" w:eastAsia="zh-CN"/>
        </w:rPr>
      </w:pPr>
    </w:p>
    <w:p>
      <w:pPr>
        <w:pStyle w:val="2"/>
        <w:rPr>
          <w:rFonts w:hint="default" w:eastAsia="宋体"/>
          <w:lang w:val="en-US" w:eastAsia="zh-CN"/>
        </w:rPr>
      </w:pPr>
    </w:p>
    <w:p>
      <w:pPr>
        <w:pStyle w:val="2"/>
        <w:rPr>
          <w:rFonts w:hint="default" w:eastAsia="宋体"/>
          <w:lang w:val="en-US" w:eastAsia="zh-CN"/>
        </w:rPr>
      </w:pPr>
    </w:p>
    <w:p>
      <w:pPr>
        <w:pStyle w:val="2"/>
        <w:rPr>
          <w:rFonts w:hint="default" w:eastAsia="宋体"/>
          <w:lang w:val="en-US" w:eastAsia="zh-CN"/>
        </w:rPr>
      </w:pPr>
    </w:p>
    <w:tbl>
      <w:tblPr>
        <w:tblStyle w:val="7"/>
        <w:tblW w:w="140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21"/>
        <w:gridCol w:w="1506"/>
        <w:gridCol w:w="4147"/>
        <w:gridCol w:w="643"/>
        <w:gridCol w:w="2757"/>
        <w:gridCol w:w="45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tblHeader/>
          <w:jc w:val="center"/>
        </w:trPr>
        <w:tc>
          <w:tcPr>
            <w:tcW w:w="421"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黑体" w:hAnsi="黑体" w:eastAsia="黑体" w:cs="黑体"/>
                <w:color w:val="000000"/>
                <w:sz w:val="24"/>
                <w:szCs w:val="24"/>
              </w:rPr>
            </w:pPr>
            <w:r>
              <w:rPr>
                <w:rFonts w:hint="eastAsia" w:ascii="黑体" w:hAnsi="黑体" w:eastAsia="黑体" w:cs="黑体"/>
                <w:color w:val="000000"/>
                <w:kern w:val="0"/>
                <w:sz w:val="24"/>
                <w:szCs w:val="24"/>
              </w:rPr>
              <w:t>序号</w:t>
            </w:r>
          </w:p>
        </w:tc>
        <w:tc>
          <w:tcPr>
            <w:tcW w:w="1506"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黑体" w:hAnsi="黑体" w:eastAsia="黑体" w:cs="黑体"/>
                <w:color w:val="000000"/>
                <w:sz w:val="24"/>
                <w:szCs w:val="24"/>
              </w:rPr>
            </w:pPr>
            <w:r>
              <w:rPr>
                <w:rFonts w:hint="eastAsia" w:ascii="黑体" w:hAnsi="黑体" w:eastAsia="黑体" w:cs="黑体"/>
                <w:color w:val="000000"/>
                <w:kern w:val="0"/>
                <w:sz w:val="24"/>
                <w:szCs w:val="24"/>
              </w:rPr>
              <w:t>违法行为</w:t>
            </w:r>
          </w:p>
        </w:tc>
        <w:tc>
          <w:tcPr>
            <w:tcW w:w="4147"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黑体" w:hAnsi="黑体" w:eastAsia="黑体" w:cs="黑体"/>
                <w:color w:val="000000"/>
                <w:sz w:val="24"/>
                <w:szCs w:val="24"/>
              </w:rPr>
            </w:pPr>
            <w:r>
              <w:rPr>
                <w:rFonts w:hint="eastAsia" w:ascii="黑体" w:hAnsi="黑体" w:eastAsia="黑体" w:cs="黑体"/>
                <w:color w:val="000000"/>
                <w:kern w:val="0"/>
                <w:sz w:val="24"/>
                <w:szCs w:val="24"/>
              </w:rPr>
              <w:t>处罚依据</w:t>
            </w:r>
          </w:p>
        </w:tc>
        <w:tc>
          <w:tcPr>
            <w:tcW w:w="643"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黑体" w:hAnsi="黑体" w:eastAsia="黑体" w:cs="黑体"/>
                <w:color w:val="000000"/>
                <w:sz w:val="24"/>
                <w:szCs w:val="24"/>
              </w:rPr>
            </w:pPr>
            <w:r>
              <w:rPr>
                <w:rFonts w:hint="eastAsia" w:ascii="黑体" w:hAnsi="黑体" w:eastAsia="黑体" w:cs="黑体"/>
                <w:color w:val="000000"/>
                <w:kern w:val="0"/>
                <w:sz w:val="24"/>
                <w:szCs w:val="24"/>
              </w:rPr>
              <w:t>违法程度</w:t>
            </w:r>
          </w:p>
        </w:tc>
        <w:tc>
          <w:tcPr>
            <w:tcW w:w="2757"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黑体" w:hAnsi="黑体" w:eastAsia="黑体" w:cs="黑体"/>
                <w:color w:val="000000"/>
                <w:sz w:val="24"/>
                <w:szCs w:val="24"/>
              </w:rPr>
            </w:pPr>
            <w:r>
              <w:rPr>
                <w:rFonts w:hint="eastAsia" w:ascii="黑体" w:hAnsi="黑体" w:eastAsia="黑体" w:cs="黑体"/>
                <w:color w:val="000000"/>
                <w:kern w:val="0"/>
                <w:sz w:val="24"/>
                <w:szCs w:val="24"/>
              </w:rPr>
              <w:t>违法情节</w:t>
            </w:r>
          </w:p>
        </w:tc>
        <w:tc>
          <w:tcPr>
            <w:tcW w:w="4526"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黑体" w:hAnsi="黑体" w:eastAsia="黑体" w:cs="黑体"/>
                <w:color w:val="000000"/>
                <w:sz w:val="24"/>
                <w:szCs w:val="24"/>
              </w:rPr>
            </w:pPr>
            <w:r>
              <w:rPr>
                <w:rFonts w:hint="eastAsia" w:ascii="黑体" w:hAnsi="黑体" w:eastAsia="黑体" w:cs="黑体"/>
                <w:color w:val="000000"/>
                <w:kern w:val="0"/>
                <w:sz w:val="24"/>
                <w:szCs w:val="24"/>
              </w:rPr>
              <w:t>裁量标准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8" w:hRule="atLeast"/>
          <w:jc w:val="center"/>
        </w:trPr>
        <w:tc>
          <w:tcPr>
            <w:tcW w:w="421" w:type="dxa"/>
            <w:vMerge w:val="restart"/>
            <w:tcBorders>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r>
              <w:rPr>
                <w:rFonts w:hint="eastAsia" w:ascii="仿宋_GB2312" w:hAnsi="仿宋_GB2312" w:eastAsia="仿宋_GB2312" w:cs="仿宋_GB2312"/>
                <w:color w:val="000000"/>
                <w:kern w:val="0"/>
                <w:sz w:val="21"/>
                <w:szCs w:val="21"/>
                <w:lang w:val="en-US" w:eastAsia="zh-CN"/>
              </w:rPr>
              <w:t>66</w:t>
            </w:r>
          </w:p>
        </w:tc>
        <w:tc>
          <w:tcPr>
            <w:tcW w:w="1506" w:type="dxa"/>
            <w:vMerge w:val="restart"/>
            <w:tcBorders>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未取得渔业港口经营许可证从事渔业港口经营的</w:t>
            </w:r>
          </w:p>
        </w:tc>
        <w:tc>
          <w:tcPr>
            <w:tcW w:w="4147" w:type="dxa"/>
            <w:vMerge w:val="restart"/>
            <w:tcBorders>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eastAsia"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山东省渔业港口和渔业船舶管理条例》第三十六条，违反本条例规定，未取得渔业港口经营许可证从事渔业港口经营的，由设区的市人民政府渔业行政主管部门责令其停止违法经营，没收违法所得，并处以2万元以上10万元以下的罚款。</w:t>
            </w:r>
          </w:p>
        </w:tc>
        <w:tc>
          <w:tcPr>
            <w:tcW w:w="643" w:type="dxa"/>
            <w:tcBorders>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eastAsia"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较轻</w:t>
            </w:r>
          </w:p>
        </w:tc>
        <w:tc>
          <w:tcPr>
            <w:tcW w:w="2757" w:type="dxa"/>
            <w:tcBorders>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eastAsia"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未造成渔业港口安全事故的</w:t>
            </w:r>
          </w:p>
        </w:tc>
        <w:tc>
          <w:tcPr>
            <w:tcW w:w="4526" w:type="dxa"/>
            <w:tcBorders>
              <w:bottom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eastAsia"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责令其停止违法经营，没收违法所得</w:t>
            </w:r>
            <w:r>
              <w:rPr>
                <w:rFonts w:hint="eastAsia" w:ascii="仿宋_GB2312" w:hAnsi="仿宋_GB2312" w:eastAsia="仿宋_GB2312" w:cs="仿宋_GB2312"/>
                <w:color w:val="000000"/>
                <w:kern w:val="0"/>
                <w:sz w:val="21"/>
                <w:szCs w:val="21"/>
                <w:lang w:val="en-US" w:eastAsia="zh-CN"/>
              </w:rPr>
              <w:t>，</w:t>
            </w:r>
            <w:r>
              <w:rPr>
                <w:rFonts w:hint="default" w:ascii="仿宋_GB2312" w:hAnsi="仿宋_GB2312" w:eastAsia="仿宋_GB2312" w:cs="仿宋_GB2312"/>
                <w:color w:val="000000"/>
                <w:kern w:val="0"/>
                <w:sz w:val="21"/>
                <w:szCs w:val="21"/>
                <w:lang w:val="en-US" w:eastAsia="zh-CN"/>
              </w:rPr>
              <w:t>并处二万元以上五万元以下罚款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6" w:hRule="atLeast"/>
          <w:jc w:val="center"/>
        </w:trPr>
        <w:tc>
          <w:tcPr>
            <w:tcW w:w="421" w:type="dxa"/>
            <w:vMerge w:val="continue"/>
            <w:tcBorders>
              <w:bottom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eastAsia" w:ascii="仿宋_GB2312" w:hAnsi="仿宋_GB2312" w:eastAsia="仿宋_GB2312" w:cs="仿宋_GB2312"/>
                <w:color w:val="000000"/>
                <w:kern w:val="0"/>
                <w:sz w:val="21"/>
                <w:szCs w:val="21"/>
                <w:lang w:val="en-US" w:eastAsia="zh-CN"/>
              </w:rPr>
            </w:pPr>
          </w:p>
        </w:tc>
        <w:tc>
          <w:tcPr>
            <w:tcW w:w="1506" w:type="dxa"/>
            <w:vMerge w:val="continue"/>
            <w:tcBorders>
              <w:bottom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p>
        </w:tc>
        <w:tc>
          <w:tcPr>
            <w:tcW w:w="4147" w:type="dxa"/>
            <w:vMerge w:val="continue"/>
            <w:tcBorders>
              <w:bottom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p>
        </w:tc>
        <w:tc>
          <w:tcPr>
            <w:tcW w:w="643" w:type="dxa"/>
            <w:tcBorders>
              <w:top w:val="single" w:color="auto" w:sz="4" w:space="0"/>
              <w:bottom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eastAsia"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一般　</w:t>
            </w:r>
          </w:p>
        </w:tc>
        <w:tc>
          <w:tcPr>
            <w:tcW w:w="2757" w:type="dxa"/>
            <w:tcBorders>
              <w:top w:val="single" w:color="auto" w:sz="4" w:space="0"/>
              <w:bottom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eastAsia"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造成一般渔业港口安全事故的</w:t>
            </w:r>
          </w:p>
        </w:tc>
        <w:tc>
          <w:tcPr>
            <w:tcW w:w="4526" w:type="dxa"/>
            <w:tcBorders>
              <w:top w:val="single" w:color="auto" w:sz="4" w:space="0"/>
              <w:bottom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eastAsia"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责令其停止违法经营，没收违法所得</w:t>
            </w:r>
            <w:r>
              <w:rPr>
                <w:rFonts w:hint="eastAsia" w:ascii="仿宋_GB2312" w:hAnsi="仿宋_GB2312" w:eastAsia="仿宋_GB2312" w:cs="仿宋_GB2312"/>
                <w:color w:val="000000"/>
                <w:kern w:val="0"/>
                <w:sz w:val="21"/>
                <w:szCs w:val="21"/>
                <w:lang w:val="en-US" w:eastAsia="zh-CN"/>
              </w:rPr>
              <w:t>，</w:t>
            </w:r>
            <w:r>
              <w:rPr>
                <w:rFonts w:hint="default" w:ascii="仿宋_GB2312" w:hAnsi="仿宋_GB2312" w:eastAsia="仿宋_GB2312" w:cs="仿宋_GB2312"/>
                <w:color w:val="000000"/>
                <w:kern w:val="0"/>
                <w:sz w:val="21"/>
                <w:szCs w:val="21"/>
                <w:lang w:val="en-US" w:eastAsia="zh-CN"/>
              </w:rPr>
              <w:t>并处五万元以上七万元以下罚款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0" w:hRule="atLeast"/>
          <w:jc w:val="center"/>
        </w:trPr>
        <w:tc>
          <w:tcPr>
            <w:tcW w:w="421" w:type="dxa"/>
            <w:vMerge w:val="continue"/>
            <w:tcBorders>
              <w:bottom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eastAsia" w:ascii="仿宋_GB2312" w:hAnsi="仿宋_GB2312" w:eastAsia="仿宋_GB2312" w:cs="仿宋_GB2312"/>
                <w:color w:val="000000"/>
                <w:kern w:val="0"/>
                <w:sz w:val="21"/>
                <w:szCs w:val="21"/>
                <w:lang w:val="en-US" w:eastAsia="zh-CN"/>
              </w:rPr>
            </w:pPr>
          </w:p>
        </w:tc>
        <w:tc>
          <w:tcPr>
            <w:tcW w:w="1506" w:type="dxa"/>
            <w:vMerge w:val="continue"/>
            <w:tcBorders>
              <w:bottom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p>
        </w:tc>
        <w:tc>
          <w:tcPr>
            <w:tcW w:w="4147" w:type="dxa"/>
            <w:vMerge w:val="continue"/>
            <w:tcBorders>
              <w:bottom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p>
        </w:tc>
        <w:tc>
          <w:tcPr>
            <w:tcW w:w="643" w:type="dxa"/>
            <w:tcBorders>
              <w:top w:val="single" w:color="auto" w:sz="4" w:space="0"/>
              <w:bottom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eastAsia"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严重</w:t>
            </w:r>
          </w:p>
        </w:tc>
        <w:tc>
          <w:tcPr>
            <w:tcW w:w="2757" w:type="dxa"/>
            <w:tcBorders>
              <w:top w:val="single" w:color="auto" w:sz="4" w:space="0"/>
              <w:bottom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eastAsia"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造成较大以上渔业港口安全事故的</w:t>
            </w:r>
          </w:p>
        </w:tc>
        <w:tc>
          <w:tcPr>
            <w:tcW w:w="4526" w:type="dxa"/>
            <w:tcBorders>
              <w:top w:val="single" w:color="auto" w:sz="4" w:space="0"/>
              <w:bottom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eastAsia"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责令其停止违法经营，没收违法所得</w:t>
            </w:r>
            <w:r>
              <w:rPr>
                <w:rFonts w:hint="eastAsia" w:ascii="仿宋_GB2312" w:hAnsi="仿宋_GB2312" w:eastAsia="仿宋_GB2312" w:cs="仿宋_GB2312"/>
                <w:color w:val="000000"/>
                <w:kern w:val="0"/>
                <w:sz w:val="21"/>
                <w:szCs w:val="21"/>
                <w:lang w:val="en-US" w:eastAsia="zh-CN"/>
              </w:rPr>
              <w:t>，</w:t>
            </w:r>
            <w:r>
              <w:rPr>
                <w:rFonts w:hint="default" w:ascii="仿宋_GB2312" w:hAnsi="仿宋_GB2312" w:eastAsia="仿宋_GB2312" w:cs="仿宋_GB2312"/>
                <w:color w:val="000000"/>
                <w:kern w:val="0"/>
                <w:sz w:val="21"/>
                <w:szCs w:val="21"/>
                <w:lang w:val="en-US" w:eastAsia="zh-CN"/>
              </w:rPr>
              <w:t>并处七万元以上不超过十万元罚款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9" w:hRule="atLeast"/>
          <w:jc w:val="center"/>
        </w:trPr>
        <w:tc>
          <w:tcPr>
            <w:tcW w:w="421" w:type="dxa"/>
            <w:vMerge w:val="restart"/>
            <w:tcBorders>
              <w:top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r>
              <w:rPr>
                <w:rFonts w:hint="eastAsia" w:ascii="仿宋_GB2312" w:hAnsi="仿宋_GB2312" w:eastAsia="仿宋_GB2312" w:cs="仿宋_GB2312"/>
                <w:color w:val="000000"/>
                <w:kern w:val="0"/>
                <w:sz w:val="21"/>
                <w:szCs w:val="21"/>
                <w:lang w:val="en-US" w:eastAsia="zh-CN"/>
              </w:rPr>
              <w:t>67</w:t>
            </w:r>
          </w:p>
        </w:tc>
        <w:tc>
          <w:tcPr>
            <w:tcW w:w="1506" w:type="dxa"/>
            <w:vMerge w:val="restart"/>
            <w:tcBorders>
              <w:top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使用未经批准的渔业船舶设计图纸、技术文件制造、改造渔业船舶的</w:t>
            </w:r>
          </w:p>
        </w:tc>
        <w:tc>
          <w:tcPr>
            <w:tcW w:w="4147" w:type="dxa"/>
            <w:vMerge w:val="restart"/>
            <w:tcBorders>
              <w:top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山东省渔业港口和渔业船舶管理条例》第三十七条第（二）项，违反本条例规定，有下列行为之一的，由省人民政府渔业行政主管部门或者其委托的渔业船舶检验机构责令限期改正，没收违法所得，并按下列规定处以罚款：</w:t>
            </w:r>
            <w:r>
              <w:rPr>
                <w:rFonts w:hint="default" w:ascii="仿宋_GB2312" w:hAnsi="仿宋_GB2312" w:eastAsia="仿宋_GB2312" w:cs="仿宋_GB2312"/>
                <w:color w:val="000000"/>
                <w:kern w:val="0"/>
                <w:sz w:val="21"/>
                <w:szCs w:val="21"/>
                <w:lang w:val="en-US" w:eastAsia="zh-CN"/>
              </w:rPr>
              <w:br w:type="textWrapping"/>
            </w:r>
            <w:r>
              <w:rPr>
                <w:rFonts w:hint="default" w:ascii="仿宋_GB2312" w:hAnsi="仿宋_GB2312" w:eastAsia="仿宋_GB2312" w:cs="仿宋_GB2312"/>
                <w:color w:val="000000"/>
                <w:kern w:val="0"/>
                <w:sz w:val="21"/>
                <w:szCs w:val="21"/>
                <w:lang w:val="en-US" w:eastAsia="zh-CN"/>
              </w:rPr>
              <w:t xml:space="preserve">    （二）使用未经批准的渔业船舶设计图纸、技术文件制造、改造渔业船舶的，处以1万元以上5万元以下的罚款。</w:t>
            </w:r>
          </w:p>
        </w:tc>
        <w:tc>
          <w:tcPr>
            <w:tcW w:w="643" w:type="dxa"/>
            <w:tcBorders>
              <w:top w:val="single" w:color="auto" w:sz="4" w:space="0"/>
              <w:bottom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eastAsia"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较轻</w:t>
            </w:r>
          </w:p>
        </w:tc>
        <w:tc>
          <w:tcPr>
            <w:tcW w:w="2757" w:type="dxa"/>
            <w:tcBorders>
              <w:top w:val="single" w:color="auto" w:sz="4" w:space="0"/>
              <w:bottom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eastAsia"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船长小于12米</w:t>
            </w:r>
          </w:p>
        </w:tc>
        <w:tc>
          <w:tcPr>
            <w:tcW w:w="4526" w:type="dxa"/>
            <w:tcBorders>
              <w:top w:val="single" w:color="auto" w:sz="4" w:space="0"/>
              <w:bottom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eastAsia"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责令限期改正，没收违法所得</w:t>
            </w:r>
            <w:r>
              <w:rPr>
                <w:rFonts w:hint="eastAsia" w:ascii="仿宋_GB2312" w:hAnsi="仿宋_GB2312" w:eastAsia="仿宋_GB2312" w:cs="仿宋_GB2312"/>
                <w:color w:val="000000"/>
                <w:kern w:val="0"/>
                <w:sz w:val="21"/>
                <w:szCs w:val="21"/>
                <w:lang w:val="en-US" w:eastAsia="zh-CN"/>
              </w:rPr>
              <w:t>，</w:t>
            </w:r>
            <w:r>
              <w:rPr>
                <w:rFonts w:hint="default" w:ascii="仿宋_GB2312" w:hAnsi="仿宋_GB2312" w:eastAsia="仿宋_GB2312" w:cs="仿宋_GB2312"/>
                <w:color w:val="000000"/>
                <w:kern w:val="0"/>
                <w:sz w:val="21"/>
                <w:szCs w:val="21"/>
                <w:lang w:val="en-US" w:eastAsia="zh-CN"/>
              </w:rPr>
              <w:t>每艘船罚款一万元以上二万元以下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2" w:hRule="atLeast"/>
          <w:jc w:val="center"/>
        </w:trPr>
        <w:tc>
          <w:tcPr>
            <w:tcW w:w="421" w:type="dxa"/>
            <w:vMerge w:val="continue"/>
            <w:tcBorders>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p>
        </w:tc>
        <w:tc>
          <w:tcPr>
            <w:tcW w:w="1506" w:type="dxa"/>
            <w:vMerge w:val="continue"/>
            <w:tcBorders>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p>
        </w:tc>
        <w:tc>
          <w:tcPr>
            <w:tcW w:w="4147" w:type="dxa"/>
            <w:vMerge w:val="continue"/>
            <w:tcBorders>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p>
        </w:tc>
        <w:tc>
          <w:tcPr>
            <w:tcW w:w="643" w:type="dxa"/>
            <w:tcBorders>
              <w:top w:val="single" w:color="auto" w:sz="4" w:space="0"/>
              <w:bottom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eastAsia"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一般</w:t>
            </w:r>
          </w:p>
        </w:tc>
        <w:tc>
          <w:tcPr>
            <w:tcW w:w="2757" w:type="dxa"/>
            <w:tcBorders>
              <w:top w:val="single" w:color="auto" w:sz="4" w:space="0"/>
              <w:bottom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eastAsia"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船长大于或者等于12米且小于24米</w:t>
            </w:r>
          </w:p>
        </w:tc>
        <w:tc>
          <w:tcPr>
            <w:tcW w:w="4526" w:type="dxa"/>
            <w:tcBorders>
              <w:top w:val="single" w:color="auto" w:sz="4" w:space="0"/>
              <w:bottom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eastAsia"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责令限期改正，没收违法所得每艘船罚款二万元以上三万元以下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4" w:hRule="atLeast"/>
          <w:jc w:val="center"/>
        </w:trPr>
        <w:tc>
          <w:tcPr>
            <w:tcW w:w="421" w:type="dxa"/>
            <w:vMerge w:val="continue"/>
            <w:tcBorders>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p>
        </w:tc>
        <w:tc>
          <w:tcPr>
            <w:tcW w:w="1506" w:type="dxa"/>
            <w:vMerge w:val="continue"/>
            <w:tcBorders>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p>
        </w:tc>
        <w:tc>
          <w:tcPr>
            <w:tcW w:w="4147" w:type="dxa"/>
            <w:vMerge w:val="continue"/>
            <w:tcBorders>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p>
        </w:tc>
        <w:tc>
          <w:tcPr>
            <w:tcW w:w="643" w:type="dxa"/>
            <w:tcBorders>
              <w:top w:val="single" w:color="auto" w:sz="4" w:space="0"/>
              <w:bottom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eastAsia"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严重</w:t>
            </w:r>
          </w:p>
        </w:tc>
        <w:tc>
          <w:tcPr>
            <w:tcW w:w="2757" w:type="dxa"/>
            <w:tcBorders>
              <w:top w:val="single" w:color="auto" w:sz="4" w:space="0"/>
              <w:bottom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eastAsia"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船长大于或者等于24米的</w:t>
            </w:r>
          </w:p>
        </w:tc>
        <w:tc>
          <w:tcPr>
            <w:tcW w:w="4526" w:type="dxa"/>
            <w:tcBorders>
              <w:top w:val="single" w:color="auto" w:sz="4" w:space="0"/>
              <w:bottom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eastAsia"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责令限期改正，没收违法所得</w:t>
            </w:r>
            <w:r>
              <w:rPr>
                <w:rFonts w:hint="eastAsia" w:ascii="仿宋_GB2312" w:hAnsi="仿宋_GB2312" w:eastAsia="仿宋_GB2312" w:cs="仿宋_GB2312"/>
                <w:color w:val="000000"/>
                <w:kern w:val="0"/>
                <w:sz w:val="21"/>
                <w:szCs w:val="21"/>
                <w:lang w:val="en-US" w:eastAsia="zh-CN"/>
              </w:rPr>
              <w:t>，</w:t>
            </w:r>
            <w:r>
              <w:rPr>
                <w:rFonts w:hint="default" w:ascii="仿宋_GB2312" w:hAnsi="仿宋_GB2312" w:eastAsia="仿宋_GB2312" w:cs="仿宋_GB2312"/>
                <w:color w:val="000000"/>
                <w:kern w:val="0"/>
                <w:sz w:val="21"/>
                <w:szCs w:val="21"/>
                <w:lang w:val="en-US" w:eastAsia="zh-CN"/>
              </w:rPr>
              <w:t>每艘船罚款三万元以上不超过五万元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6" w:hRule="atLeast"/>
          <w:jc w:val="center"/>
        </w:trPr>
        <w:tc>
          <w:tcPr>
            <w:tcW w:w="421" w:type="dxa"/>
            <w:vMerge w:val="restart"/>
            <w:tcBorders>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r>
              <w:rPr>
                <w:rFonts w:hint="eastAsia" w:ascii="仿宋_GB2312" w:hAnsi="仿宋_GB2312" w:eastAsia="仿宋_GB2312" w:cs="仿宋_GB2312"/>
                <w:color w:val="000000"/>
                <w:kern w:val="0"/>
                <w:sz w:val="21"/>
                <w:szCs w:val="21"/>
                <w:lang w:val="en-US" w:eastAsia="zh-CN"/>
              </w:rPr>
              <w:t>68</w:t>
            </w:r>
          </w:p>
        </w:tc>
        <w:tc>
          <w:tcPr>
            <w:tcW w:w="1506" w:type="dxa"/>
            <w:vMerge w:val="restart"/>
            <w:tcBorders>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未经渔业船舶检验机构检验合格，从事渔获物捕捞演示、养殖演示等娱乐性渔业活动的</w:t>
            </w:r>
          </w:p>
        </w:tc>
        <w:tc>
          <w:tcPr>
            <w:tcW w:w="4147" w:type="dxa"/>
            <w:vMerge w:val="restart"/>
            <w:tcBorders>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《山东省渔业港口和渔业船舶管理条例》第三十九条第（一）项，违反本条例规定，渔业船舶所有者或者经营者有下列行为之一的，由渔政、渔港监督机构责令限期改正，给予警告，并按下列规定处以罚款：</w:t>
            </w:r>
            <w:r>
              <w:rPr>
                <w:rFonts w:hint="default" w:ascii="仿宋_GB2312" w:hAnsi="仿宋_GB2312" w:eastAsia="仿宋_GB2312" w:cs="仿宋_GB2312"/>
                <w:color w:val="000000"/>
                <w:kern w:val="0"/>
                <w:sz w:val="21"/>
                <w:szCs w:val="21"/>
                <w:lang w:val="en-US" w:eastAsia="zh-CN"/>
              </w:rPr>
              <w:br w:type="textWrapping"/>
            </w:r>
            <w:r>
              <w:rPr>
                <w:rFonts w:hint="default" w:ascii="仿宋_GB2312" w:hAnsi="仿宋_GB2312" w:eastAsia="仿宋_GB2312" w:cs="仿宋_GB2312"/>
                <w:color w:val="000000"/>
                <w:kern w:val="0"/>
                <w:sz w:val="21"/>
                <w:szCs w:val="21"/>
                <w:lang w:val="en-US" w:eastAsia="zh-CN"/>
              </w:rPr>
              <w:t>　　（一）未经渔业船舶检验机构检验合格，从事渔获物捕捞演示、养殖演示等娱乐性渔业活动的，处以5000元以上2万元以下的罚款。</w:t>
            </w:r>
          </w:p>
        </w:tc>
        <w:tc>
          <w:tcPr>
            <w:tcW w:w="643" w:type="dxa"/>
            <w:tcBorders>
              <w:top w:val="single" w:color="auto" w:sz="4" w:space="0"/>
              <w:bottom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较轻</w:t>
            </w:r>
          </w:p>
        </w:tc>
        <w:tc>
          <w:tcPr>
            <w:tcW w:w="2757" w:type="dxa"/>
            <w:tcBorders>
              <w:top w:val="single" w:color="auto" w:sz="4" w:space="0"/>
              <w:bottom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船长小于12米</w:t>
            </w:r>
          </w:p>
        </w:tc>
        <w:tc>
          <w:tcPr>
            <w:tcW w:w="4526" w:type="dxa"/>
            <w:tcBorders>
              <w:top w:val="single" w:color="auto" w:sz="4" w:space="0"/>
              <w:bottom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责令限期改正，给予警告</w:t>
            </w:r>
            <w:r>
              <w:rPr>
                <w:rFonts w:hint="eastAsia" w:ascii="仿宋_GB2312" w:hAnsi="仿宋_GB2312" w:eastAsia="仿宋_GB2312" w:cs="仿宋_GB2312"/>
                <w:color w:val="000000"/>
                <w:kern w:val="0"/>
                <w:sz w:val="21"/>
                <w:szCs w:val="21"/>
                <w:lang w:val="en-US" w:eastAsia="zh-CN"/>
              </w:rPr>
              <w:t>，</w:t>
            </w:r>
            <w:r>
              <w:rPr>
                <w:rFonts w:hint="default" w:ascii="仿宋_GB2312" w:hAnsi="仿宋_GB2312" w:eastAsia="仿宋_GB2312" w:cs="仿宋_GB2312"/>
                <w:color w:val="000000"/>
                <w:kern w:val="0"/>
                <w:sz w:val="21"/>
                <w:szCs w:val="21"/>
                <w:lang w:val="en-US" w:eastAsia="zh-CN"/>
              </w:rPr>
              <w:t>处以五千元以上一万元以下罚款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6" w:hRule="atLeast"/>
          <w:jc w:val="center"/>
        </w:trPr>
        <w:tc>
          <w:tcPr>
            <w:tcW w:w="421" w:type="dxa"/>
            <w:vMerge w:val="continue"/>
            <w:tcBorders>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eastAsia" w:ascii="仿宋_GB2312" w:hAnsi="仿宋_GB2312" w:eastAsia="仿宋_GB2312" w:cs="仿宋_GB2312"/>
                <w:color w:val="000000"/>
                <w:kern w:val="0"/>
                <w:sz w:val="21"/>
                <w:szCs w:val="21"/>
                <w:lang w:val="en-US" w:eastAsia="zh-CN"/>
              </w:rPr>
            </w:pPr>
          </w:p>
        </w:tc>
        <w:tc>
          <w:tcPr>
            <w:tcW w:w="1506" w:type="dxa"/>
            <w:vMerge w:val="continue"/>
            <w:tcBorders>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p>
        </w:tc>
        <w:tc>
          <w:tcPr>
            <w:tcW w:w="4147" w:type="dxa"/>
            <w:vMerge w:val="continue"/>
            <w:tcBorders>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p>
        </w:tc>
        <w:tc>
          <w:tcPr>
            <w:tcW w:w="643" w:type="dxa"/>
            <w:tcBorders>
              <w:top w:val="single" w:color="auto" w:sz="4" w:space="0"/>
              <w:bottom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一般</w:t>
            </w:r>
          </w:p>
        </w:tc>
        <w:tc>
          <w:tcPr>
            <w:tcW w:w="2757" w:type="dxa"/>
            <w:tcBorders>
              <w:top w:val="single" w:color="auto" w:sz="4" w:space="0"/>
              <w:bottom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船长大于或者等于12米且小于24米</w:t>
            </w:r>
          </w:p>
        </w:tc>
        <w:tc>
          <w:tcPr>
            <w:tcW w:w="4526" w:type="dxa"/>
            <w:tcBorders>
              <w:top w:val="single" w:color="auto" w:sz="4" w:space="0"/>
              <w:bottom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责令限期改正，给予警告</w:t>
            </w:r>
            <w:r>
              <w:rPr>
                <w:rFonts w:hint="eastAsia" w:ascii="仿宋_GB2312" w:hAnsi="仿宋_GB2312" w:eastAsia="仿宋_GB2312" w:cs="仿宋_GB2312"/>
                <w:color w:val="000000"/>
                <w:kern w:val="0"/>
                <w:sz w:val="21"/>
                <w:szCs w:val="21"/>
                <w:lang w:val="en-US" w:eastAsia="zh-CN"/>
              </w:rPr>
              <w:t>，</w:t>
            </w:r>
            <w:r>
              <w:rPr>
                <w:rFonts w:hint="default" w:ascii="仿宋_GB2312" w:hAnsi="仿宋_GB2312" w:eastAsia="仿宋_GB2312" w:cs="仿宋_GB2312"/>
                <w:color w:val="000000"/>
                <w:kern w:val="0"/>
                <w:sz w:val="21"/>
                <w:szCs w:val="21"/>
                <w:lang w:val="en-US" w:eastAsia="zh-CN"/>
              </w:rPr>
              <w:t>处以一万元以上一万五千元以下罚款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7" w:hRule="atLeast"/>
          <w:jc w:val="center"/>
        </w:trPr>
        <w:tc>
          <w:tcPr>
            <w:tcW w:w="421" w:type="dxa"/>
            <w:vMerge w:val="continue"/>
            <w:tcBorders>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eastAsia" w:ascii="仿宋_GB2312" w:hAnsi="仿宋_GB2312" w:eastAsia="仿宋_GB2312" w:cs="仿宋_GB2312"/>
                <w:color w:val="000000"/>
                <w:kern w:val="0"/>
                <w:sz w:val="21"/>
                <w:szCs w:val="21"/>
                <w:lang w:val="en-US" w:eastAsia="zh-CN"/>
              </w:rPr>
            </w:pPr>
          </w:p>
        </w:tc>
        <w:tc>
          <w:tcPr>
            <w:tcW w:w="1506" w:type="dxa"/>
            <w:vMerge w:val="continue"/>
            <w:tcBorders>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p>
        </w:tc>
        <w:tc>
          <w:tcPr>
            <w:tcW w:w="4147" w:type="dxa"/>
            <w:vMerge w:val="continue"/>
            <w:tcBorders>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p>
        </w:tc>
        <w:tc>
          <w:tcPr>
            <w:tcW w:w="643" w:type="dxa"/>
            <w:tcBorders>
              <w:top w:val="single" w:color="auto" w:sz="4" w:space="0"/>
              <w:bottom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严重</w:t>
            </w:r>
          </w:p>
        </w:tc>
        <w:tc>
          <w:tcPr>
            <w:tcW w:w="2757" w:type="dxa"/>
            <w:tcBorders>
              <w:top w:val="single" w:color="auto" w:sz="4" w:space="0"/>
              <w:bottom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船长大于或者等于24米</w:t>
            </w:r>
          </w:p>
        </w:tc>
        <w:tc>
          <w:tcPr>
            <w:tcW w:w="4526" w:type="dxa"/>
            <w:tcBorders>
              <w:top w:val="single" w:color="auto" w:sz="4" w:space="0"/>
              <w:bottom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责令限期改正，给予警告</w:t>
            </w:r>
            <w:r>
              <w:rPr>
                <w:rFonts w:hint="eastAsia" w:ascii="仿宋_GB2312" w:hAnsi="仿宋_GB2312" w:eastAsia="仿宋_GB2312" w:cs="仿宋_GB2312"/>
                <w:color w:val="000000"/>
                <w:kern w:val="0"/>
                <w:sz w:val="21"/>
                <w:szCs w:val="21"/>
                <w:lang w:val="en-US" w:eastAsia="zh-CN"/>
              </w:rPr>
              <w:t>，</w:t>
            </w:r>
            <w:r>
              <w:rPr>
                <w:rFonts w:hint="default" w:ascii="仿宋_GB2312" w:hAnsi="仿宋_GB2312" w:eastAsia="仿宋_GB2312" w:cs="仿宋_GB2312"/>
                <w:color w:val="000000"/>
                <w:kern w:val="0"/>
                <w:sz w:val="21"/>
                <w:szCs w:val="21"/>
                <w:lang w:val="en-US" w:eastAsia="zh-CN"/>
              </w:rPr>
              <w:t>处以一万五千元以上不超过二万元罚款</w:t>
            </w:r>
          </w:p>
        </w:tc>
      </w:tr>
    </w:tbl>
    <w:p>
      <w:pPr>
        <w:pStyle w:val="2"/>
        <w:rPr>
          <w:rFonts w:hint="default" w:eastAsia="宋体"/>
          <w:lang w:val="en-US" w:eastAsia="zh-CN"/>
        </w:rPr>
      </w:pPr>
    </w:p>
    <w:tbl>
      <w:tblPr>
        <w:tblStyle w:val="7"/>
        <w:tblW w:w="140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21"/>
        <w:gridCol w:w="1506"/>
        <w:gridCol w:w="4147"/>
        <w:gridCol w:w="643"/>
        <w:gridCol w:w="2757"/>
        <w:gridCol w:w="45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tblHeader/>
          <w:jc w:val="center"/>
        </w:trPr>
        <w:tc>
          <w:tcPr>
            <w:tcW w:w="421"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黑体" w:hAnsi="黑体" w:eastAsia="黑体" w:cs="黑体"/>
                <w:color w:val="000000"/>
                <w:sz w:val="24"/>
                <w:szCs w:val="24"/>
              </w:rPr>
            </w:pPr>
            <w:r>
              <w:rPr>
                <w:rFonts w:hint="eastAsia" w:ascii="黑体" w:hAnsi="黑体" w:eastAsia="黑体" w:cs="黑体"/>
                <w:color w:val="000000"/>
                <w:kern w:val="0"/>
                <w:sz w:val="24"/>
                <w:szCs w:val="24"/>
              </w:rPr>
              <w:t>序号</w:t>
            </w:r>
          </w:p>
        </w:tc>
        <w:tc>
          <w:tcPr>
            <w:tcW w:w="1506"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黑体" w:hAnsi="黑体" w:eastAsia="黑体" w:cs="黑体"/>
                <w:color w:val="000000"/>
                <w:sz w:val="24"/>
                <w:szCs w:val="24"/>
              </w:rPr>
            </w:pPr>
            <w:r>
              <w:rPr>
                <w:rFonts w:hint="eastAsia" w:ascii="黑体" w:hAnsi="黑体" w:eastAsia="黑体" w:cs="黑体"/>
                <w:color w:val="000000"/>
                <w:kern w:val="0"/>
                <w:sz w:val="24"/>
                <w:szCs w:val="24"/>
              </w:rPr>
              <w:t>违法行为</w:t>
            </w:r>
          </w:p>
        </w:tc>
        <w:tc>
          <w:tcPr>
            <w:tcW w:w="4147"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黑体" w:hAnsi="黑体" w:eastAsia="黑体" w:cs="黑体"/>
                <w:color w:val="000000"/>
                <w:sz w:val="24"/>
                <w:szCs w:val="24"/>
              </w:rPr>
            </w:pPr>
            <w:r>
              <w:rPr>
                <w:rFonts w:hint="eastAsia" w:ascii="黑体" w:hAnsi="黑体" w:eastAsia="黑体" w:cs="黑体"/>
                <w:color w:val="000000"/>
                <w:kern w:val="0"/>
                <w:sz w:val="24"/>
                <w:szCs w:val="24"/>
              </w:rPr>
              <w:t>处罚依据</w:t>
            </w:r>
          </w:p>
        </w:tc>
        <w:tc>
          <w:tcPr>
            <w:tcW w:w="643"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黑体" w:hAnsi="黑体" w:eastAsia="黑体" w:cs="黑体"/>
                <w:color w:val="000000"/>
                <w:sz w:val="24"/>
                <w:szCs w:val="24"/>
              </w:rPr>
            </w:pPr>
            <w:r>
              <w:rPr>
                <w:rFonts w:hint="eastAsia" w:ascii="黑体" w:hAnsi="黑体" w:eastAsia="黑体" w:cs="黑体"/>
                <w:color w:val="000000"/>
                <w:kern w:val="0"/>
                <w:sz w:val="24"/>
                <w:szCs w:val="24"/>
              </w:rPr>
              <w:t>违法程度</w:t>
            </w:r>
          </w:p>
        </w:tc>
        <w:tc>
          <w:tcPr>
            <w:tcW w:w="2757"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黑体" w:hAnsi="黑体" w:eastAsia="黑体" w:cs="黑体"/>
                <w:color w:val="000000"/>
                <w:sz w:val="24"/>
                <w:szCs w:val="24"/>
              </w:rPr>
            </w:pPr>
            <w:r>
              <w:rPr>
                <w:rFonts w:hint="eastAsia" w:ascii="黑体" w:hAnsi="黑体" w:eastAsia="黑体" w:cs="黑体"/>
                <w:color w:val="000000"/>
                <w:kern w:val="0"/>
                <w:sz w:val="24"/>
                <w:szCs w:val="24"/>
              </w:rPr>
              <w:t>违法情节</w:t>
            </w:r>
          </w:p>
        </w:tc>
        <w:tc>
          <w:tcPr>
            <w:tcW w:w="4526"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黑体" w:hAnsi="黑体" w:eastAsia="黑体" w:cs="黑体"/>
                <w:color w:val="000000"/>
                <w:sz w:val="24"/>
                <w:szCs w:val="24"/>
              </w:rPr>
            </w:pPr>
            <w:r>
              <w:rPr>
                <w:rFonts w:hint="eastAsia" w:ascii="黑体" w:hAnsi="黑体" w:eastAsia="黑体" w:cs="黑体"/>
                <w:color w:val="000000"/>
                <w:kern w:val="0"/>
                <w:sz w:val="24"/>
                <w:szCs w:val="24"/>
              </w:rPr>
              <w:t>裁量标准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8" w:hRule="atLeast"/>
          <w:jc w:val="center"/>
        </w:trPr>
        <w:tc>
          <w:tcPr>
            <w:tcW w:w="421" w:type="dxa"/>
            <w:vMerge w:val="restart"/>
            <w:tcBorders>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r>
              <w:rPr>
                <w:rFonts w:hint="eastAsia" w:ascii="仿宋_GB2312" w:hAnsi="仿宋_GB2312" w:eastAsia="仿宋_GB2312" w:cs="仿宋_GB2312"/>
                <w:color w:val="000000"/>
                <w:kern w:val="0"/>
                <w:sz w:val="21"/>
                <w:szCs w:val="21"/>
                <w:lang w:val="en-US" w:eastAsia="zh-CN"/>
              </w:rPr>
              <w:t>69</w:t>
            </w:r>
          </w:p>
        </w:tc>
        <w:tc>
          <w:tcPr>
            <w:tcW w:w="1506" w:type="dxa"/>
            <w:vMerge w:val="restart"/>
            <w:tcBorders>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未按规定处理报废的渔业船舶的</w:t>
            </w:r>
          </w:p>
        </w:tc>
        <w:tc>
          <w:tcPr>
            <w:tcW w:w="4147" w:type="dxa"/>
            <w:vMerge w:val="restart"/>
            <w:tcBorders>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eastAsia"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《山东省渔业港口和渔业船舶管理条例》第三十九条第（三）项，违反本条例规定，渔业船舶所有者或者经营者有下列行为之一的，由渔政、渔港监督机构责令限期改正，给予警告，并按下列规定处以罚款：</w:t>
            </w:r>
            <w:r>
              <w:rPr>
                <w:rFonts w:hint="default" w:ascii="仿宋_GB2312" w:hAnsi="仿宋_GB2312" w:eastAsia="仿宋_GB2312" w:cs="仿宋_GB2312"/>
                <w:color w:val="000000"/>
                <w:kern w:val="0"/>
                <w:sz w:val="21"/>
                <w:szCs w:val="21"/>
                <w:lang w:val="en-US" w:eastAsia="zh-CN"/>
              </w:rPr>
              <w:br w:type="textWrapping"/>
            </w:r>
            <w:r>
              <w:rPr>
                <w:rFonts w:hint="default" w:ascii="仿宋_GB2312" w:hAnsi="仿宋_GB2312" w:eastAsia="仿宋_GB2312" w:cs="仿宋_GB2312"/>
                <w:color w:val="000000"/>
                <w:kern w:val="0"/>
                <w:sz w:val="21"/>
                <w:szCs w:val="21"/>
                <w:lang w:val="en-US" w:eastAsia="zh-CN"/>
              </w:rPr>
              <w:t xml:space="preserve">    （三）未按规定处理报废的渔业船舶的，处以5000元以上3万元以下的罚款。</w:t>
            </w:r>
          </w:p>
        </w:tc>
        <w:tc>
          <w:tcPr>
            <w:tcW w:w="643" w:type="dxa"/>
            <w:tcBorders>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eastAsia"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较轻</w:t>
            </w:r>
          </w:p>
        </w:tc>
        <w:tc>
          <w:tcPr>
            <w:tcW w:w="2757" w:type="dxa"/>
            <w:tcBorders>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eastAsia"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船长小于12米</w:t>
            </w:r>
          </w:p>
        </w:tc>
        <w:tc>
          <w:tcPr>
            <w:tcW w:w="4526" w:type="dxa"/>
            <w:tcBorders>
              <w:bottom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eastAsia"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责令限期改正，给予警告</w:t>
            </w:r>
            <w:r>
              <w:rPr>
                <w:rFonts w:hint="eastAsia" w:ascii="仿宋_GB2312" w:hAnsi="仿宋_GB2312" w:eastAsia="仿宋_GB2312" w:cs="仿宋_GB2312"/>
                <w:color w:val="000000"/>
                <w:kern w:val="0"/>
                <w:sz w:val="21"/>
                <w:szCs w:val="21"/>
                <w:lang w:val="en-US" w:eastAsia="zh-CN"/>
              </w:rPr>
              <w:t>，</w:t>
            </w:r>
            <w:r>
              <w:rPr>
                <w:rFonts w:hint="default" w:ascii="仿宋_GB2312" w:hAnsi="仿宋_GB2312" w:eastAsia="仿宋_GB2312" w:cs="仿宋_GB2312"/>
                <w:color w:val="000000"/>
                <w:kern w:val="0"/>
                <w:sz w:val="21"/>
                <w:szCs w:val="21"/>
                <w:lang w:val="en-US" w:eastAsia="zh-CN"/>
              </w:rPr>
              <w:t>处以五千元以上一万元以下罚款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6" w:hRule="atLeast"/>
          <w:jc w:val="center"/>
        </w:trPr>
        <w:tc>
          <w:tcPr>
            <w:tcW w:w="421" w:type="dxa"/>
            <w:vMerge w:val="continue"/>
            <w:tcBorders>
              <w:bottom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eastAsia" w:ascii="仿宋_GB2312" w:hAnsi="仿宋_GB2312" w:eastAsia="仿宋_GB2312" w:cs="仿宋_GB2312"/>
                <w:color w:val="000000"/>
                <w:kern w:val="0"/>
                <w:sz w:val="21"/>
                <w:szCs w:val="21"/>
                <w:lang w:val="en-US" w:eastAsia="zh-CN"/>
              </w:rPr>
            </w:pPr>
          </w:p>
        </w:tc>
        <w:tc>
          <w:tcPr>
            <w:tcW w:w="1506" w:type="dxa"/>
            <w:vMerge w:val="continue"/>
            <w:tcBorders>
              <w:bottom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p>
        </w:tc>
        <w:tc>
          <w:tcPr>
            <w:tcW w:w="4147" w:type="dxa"/>
            <w:vMerge w:val="continue"/>
            <w:tcBorders>
              <w:bottom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p>
        </w:tc>
        <w:tc>
          <w:tcPr>
            <w:tcW w:w="643" w:type="dxa"/>
            <w:tcBorders>
              <w:top w:val="single" w:color="auto" w:sz="4" w:space="0"/>
              <w:bottom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eastAsia"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一般</w:t>
            </w:r>
          </w:p>
        </w:tc>
        <w:tc>
          <w:tcPr>
            <w:tcW w:w="2757" w:type="dxa"/>
            <w:tcBorders>
              <w:top w:val="single" w:color="auto" w:sz="4" w:space="0"/>
              <w:bottom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eastAsia"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船长大于或者等于12米且小于24米</w:t>
            </w:r>
          </w:p>
        </w:tc>
        <w:tc>
          <w:tcPr>
            <w:tcW w:w="4526" w:type="dxa"/>
            <w:tcBorders>
              <w:top w:val="single" w:color="auto" w:sz="4" w:space="0"/>
              <w:bottom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eastAsia"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责令限期改正，给予警告</w:t>
            </w:r>
            <w:r>
              <w:rPr>
                <w:rFonts w:hint="eastAsia" w:ascii="仿宋_GB2312" w:hAnsi="仿宋_GB2312" w:eastAsia="仿宋_GB2312" w:cs="仿宋_GB2312"/>
                <w:color w:val="000000"/>
                <w:kern w:val="0"/>
                <w:sz w:val="21"/>
                <w:szCs w:val="21"/>
                <w:lang w:val="en-US" w:eastAsia="zh-CN"/>
              </w:rPr>
              <w:t>，</w:t>
            </w:r>
            <w:r>
              <w:rPr>
                <w:rFonts w:hint="default" w:ascii="仿宋_GB2312" w:hAnsi="仿宋_GB2312" w:eastAsia="仿宋_GB2312" w:cs="仿宋_GB2312"/>
                <w:color w:val="000000"/>
                <w:kern w:val="0"/>
                <w:sz w:val="21"/>
                <w:szCs w:val="21"/>
                <w:lang w:val="en-US" w:eastAsia="zh-CN"/>
              </w:rPr>
              <w:t>处以一万元以上二万元以下罚款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0" w:hRule="atLeast"/>
          <w:jc w:val="center"/>
        </w:trPr>
        <w:tc>
          <w:tcPr>
            <w:tcW w:w="421" w:type="dxa"/>
            <w:vMerge w:val="continue"/>
            <w:tcBorders>
              <w:bottom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eastAsia" w:ascii="仿宋_GB2312" w:hAnsi="仿宋_GB2312" w:eastAsia="仿宋_GB2312" w:cs="仿宋_GB2312"/>
                <w:color w:val="000000"/>
                <w:kern w:val="0"/>
                <w:sz w:val="21"/>
                <w:szCs w:val="21"/>
                <w:lang w:val="en-US" w:eastAsia="zh-CN"/>
              </w:rPr>
            </w:pPr>
          </w:p>
        </w:tc>
        <w:tc>
          <w:tcPr>
            <w:tcW w:w="1506" w:type="dxa"/>
            <w:vMerge w:val="continue"/>
            <w:tcBorders>
              <w:bottom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p>
        </w:tc>
        <w:tc>
          <w:tcPr>
            <w:tcW w:w="4147" w:type="dxa"/>
            <w:vMerge w:val="continue"/>
            <w:tcBorders>
              <w:bottom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p>
        </w:tc>
        <w:tc>
          <w:tcPr>
            <w:tcW w:w="643" w:type="dxa"/>
            <w:tcBorders>
              <w:top w:val="single" w:color="auto" w:sz="4" w:space="0"/>
              <w:bottom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eastAsia"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严重</w:t>
            </w:r>
          </w:p>
        </w:tc>
        <w:tc>
          <w:tcPr>
            <w:tcW w:w="2757" w:type="dxa"/>
            <w:tcBorders>
              <w:top w:val="single" w:color="auto" w:sz="4" w:space="0"/>
              <w:bottom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eastAsia"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船长大于或者等于24米</w:t>
            </w:r>
          </w:p>
        </w:tc>
        <w:tc>
          <w:tcPr>
            <w:tcW w:w="4526" w:type="dxa"/>
            <w:tcBorders>
              <w:top w:val="single" w:color="auto" w:sz="4" w:space="0"/>
              <w:bottom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eastAsia"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责令限期改正，给予警告</w:t>
            </w:r>
            <w:r>
              <w:rPr>
                <w:rFonts w:hint="eastAsia" w:ascii="仿宋_GB2312" w:hAnsi="仿宋_GB2312" w:eastAsia="仿宋_GB2312" w:cs="仿宋_GB2312"/>
                <w:color w:val="000000"/>
                <w:kern w:val="0"/>
                <w:sz w:val="21"/>
                <w:szCs w:val="21"/>
                <w:lang w:val="en-US" w:eastAsia="zh-CN"/>
              </w:rPr>
              <w:t>，</w:t>
            </w:r>
            <w:r>
              <w:rPr>
                <w:rFonts w:hint="default" w:ascii="仿宋_GB2312" w:hAnsi="仿宋_GB2312" w:eastAsia="仿宋_GB2312" w:cs="仿宋_GB2312"/>
                <w:color w:val="000000"/>
                <w:kern w:val="0"/>
                <w:sz w:val="21"/>
                <w:szCs w:val="21"/>
                <w:lang w:val="en-US" w:eastAsia="zh-CN"/>
              </w:rPr>
              <w:t>处以二万元以上不超过三万元罚款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jc w:val="center"/>
        </w:trPr>
        <w:tc>
          <w:tcPr>
            <w:tcW w:w="421" w:type="dxa"/>
            <w:vMerge w:val="restart"/>
            <w:tcBorders>
              <w:top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r>
              <w:rPr>
                <w:rFonts w:hint="eastAsia" w:ascii="仿宋_GB2312" w:hAnsi="仿宋_GB2312" w:eastAsia="仿宋_GB2312" w:cs="仿宋_GB2312"/>
                <w:color w:val="000000"/>
                <w:kern w:val="0"/>
                <w:sz w:val="21"/>
                <w:szCs w:val="21"/>
                <w:lang w:val="en-US" w:eastAsia="zh-CN"/>
              </w:rPr>
              <w:t>70</w:t>
            </w:r>
          </w:p>
        </w:tc>
        <w:tc>
          <w:tcPr>
            <w:tcW w:w="1506" w:type="dxa"/>
            <w:vMerge w:val="restart"/>
            <w:tcBorders>
              <w:top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渔业船舶船员在航行、作业和停泊过程中，违反渔业安全生产管理规定操作的</w:t>
            </w:r>
          </w:p>
        </w:tc>
        <w:tc>
          <w:tcPr>
            <w:tcW w:w="4147" w:type="dxa"/>
            <w:vMerge w:val="restart"/>
            <w:tcBorders>
              <w:top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山东省渔业港口和渔业船舶管理条例》第四十条，渔业船舶船员在航行、作业和停泊过程中，违反渔业安全生产管理规定操作的，由渔政、渔港监督机构责令改正，给予警告；情节严重的，并处以500元以上5000元以下的罚款。</w:t>
            </w:r>
          </w:p>
        </w:tc>
        <w:tc>
          <w:tcPr>
            <w:tcW w:w="643" w:type="dxa"/>
            <w:tcBorders>
              <w:top w:val="single" w:color="auto" w:sz="4" w:space="0"/>
              <w:bottom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eastAsia"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一般</w:t>
            </w:r>
          </w:p>
        </w:tc>
        <w:tc>
          <w:tcPr>
            <w:tcW w:w="2757" w:type="dxa"/>
            <w:tcBorders>
              <w:top w:val="single" w:color="auto" w:sz="4" w:space="0"/>
              <w:bottom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eastAsia"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未造成任何后果的　</w:t>
            </w:r>
          </w:p>
        </w:tc>
        <w:tc>
          <w:tcPr>
            <w:tcW w:w="4526" w:type="dxa"/>
            <w:tcBorders>
              <w:top w:val="single" w:color="auto" w:sz="4" w:space="0"/>
              <w:bottom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eastAsia" w:ascii="仿宋_GB2312" w:hAnsi="仿宋_GB2312" w:eastAsia="仿宋_GB2312" w:cs="仿宋_GB2312"/>
                <w:color w:val="000000"/>
                <w:kern w:val="0"/>
                <w:sz w:val="21"/>
                <w:szCs w:val="21"/>
                <w:lang w:val="en-US" w:eastAsia="zh-CN"/>
              </w:rPr>
            </w:pPr>
            <w:r>
              <w:rPr>
                <w:rFonts w:hint="eastAsia" w:ascii="仿宋_GB2312" w:hAnsi="仿宋_GB2312" w:eastAsia="仿宋_GB2312" w:cs="仿宋_GB2312"/>
                <w:color w:val="000000"/>
                <w:kern w:val="0"/>
                <w:sz w:val="21"/>
                <w:szCs w:val="21"/>
                <w:lang w:val="en-US" w:eastAsia="zh-CN"/>
              </w:rPr>
              <w:t>责令改正，给予警告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2" w:hRule="atLeast"/>
          <w:jc w:val="center"/>
        </w:trPr>
        <w:tc>
          <w:tcPr>
            <w:tcW w:w="421" w:type="dxa"/>
            <w:vMerge w:val="continue"/>
            <w:tcBorders>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p>
        </w:tc>
        <w:tc>
          <w:tcPr>
            <w:tcW w:w="1506" w:type="dxa"/>
            <w:vMerge w:val="continue"/>
            <w:tcBorders>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p>
        </w:tc>
        <w:tc>
          <w:tcPr>
            <w:tcW w:w="4147" w:type="dxa"/>
            <w:vMerge w:val="continue"/>
            <w:tcBorders>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p>
        </w:tc>
        <w:tc>
          <w:tcPr>
            <w:tcW w:w="643" w:type="dxa"/>
            <w:tcBorders>
              <w:top w:val="single" w:color="auto" w:sz="4" w:space="0"/>
              <w:bottom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eastAsia"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严重</w:t>
            </w:r>
          </w:p>
        </w:tc>
        <w:tc>
          <w:tcPr>
            <w:tcW w:w="2757" w:type="dxa"/>
            <w:tcBorders>
              <w:top w:val="single" w:color="auto" w:sz="4" w:space="0"/>
              <w:bottom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eastAsia"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造成较大经济损失，无人员伤亡的</w:t>
            </w:r>
          </w:p>
        </w:tc>
        <w:tc>
          <w:tcPr>
            <w:tcW w:w="4526" w:type="dxa"/>
            <w:tcBorders>
              <w:top w:val="single" w:color="auto" w:sz="4" w:space="0"/>
              <w:bottom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eastAsia"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责令改正，给予警告</w:t>
            </w:r>
            <w:r>
              <w:rPr>
                <w:rFonts w:hint="eastAsia" w:ascii="仿宋_GB2312" w:hAnsi="仿宋_GB2312" w:eastAsia="仿宋_GB2312" w:cs="仿宋_GB2312"/>
                <w:color w:val="000000"/>
                <w:kern w:val="0"/>
                <w:sz w:val="21"/>
                <w:szCs w:val="21"/>
                <w:lang w:val="en-US" w:eastAsia="zh-CN"/>
              </w:rPr>
              <w:t>，</w:t>
            </w:r>
            <w:r>
              <w:rPr>
                <w:rFonts w:hint="default" w:ascii="仿宋_GB2312" w:hAnsi="仿宋_GB2312" w:eastAsia="仿宋_GB2312" w:cs="仿宋_GB2312"/>
                <w:color w:val="000000"/>
                <w:kern w:val="0"/>
                <w:sz w:val="21"/>
                <w:szCs w:val="21"/>
                <w:lang w:val="en-US" w:eastAsia="zh-CN"/>
              </w:rPr>
              <w:t>并处五百元以上二千五百元以下罚款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5" w:hRule="atLeast"/>
          <w:jc w:val="center"/>
        </w:trPr>
        <w:tc>
          <w:tcPr>
            <w:tcW w:w="421" w:type="dxa"/>
            <w:vMerge w:val="continue"/>
            <w:tcBorders>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p>
        </w:tc>
        <w:tc>
          <w:tcPr>
            <w:tcW w:w="1506" w:type="dxa"/>
            <w:vMerge w:val="continue"/>
            <w:tcBorders>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p>
        </w:tc>
        <w:tc>
          <w:tcPr>
            <w:tcW w:w="4147" w:type="dxa"/>
            <w:vMerge w:val="continue"/>
            <w:tcBorders>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p>
        </w:tc>
        <w:tc>
          <w:tcPr>
            <w:tcW w:w="643" w:type="dxa"/>
            <w:tcBorders>
              <w:top w:val="single" w:color="auto" w:sz="4" w:space="0"/>
              <w:bottom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eastAsia"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特别严重</w:t>
            </w:r>
          </w:p>
        </w:tc>
        <w:tc>
          <w:tcPr>
            <w:tcW w:w="2757" w:type="dxa"/>
            <w:tcBorders>
              <w:top w:val="single" w:color="auto" w:sz="4" w:space="0"/>
              <w:bottom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eastAsia"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造成人员伤亡或者安全生产事故的</w:t>
            </w:r>
          </w:p>
        </w:tc>
        <w:tc>
          <w:tcPr>
            <w:tcW w:w="4526" w:type="dxa"/>
            <w:tcBorders>
              <w:top w:val="single" w:color="auto" w:sz="4" w:space="0"/>
              <w:bottom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eastAsia"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责令改正，给予警告</w:t>
            </w:r>
            <w:r>
              <w:rPr>
                <w:rFonts w:hint="eastAsia" w:ascii="仿宋_GB2312" w:hAnsi="仿宋_GB2312" w:eastAsia="仿宋_GB2312" w:cs="仿宋_GB2312"/>
                <w:color w:val="000000"/>
                <w:kern w:val="0"/>
                <w:sz w:val="21"/>
                <w:szCs w:val="21"/>
                <w:lang w:val="en-US" w:eastAsia="zh-CN"/>
              </w:rPr>
              <w:t>，</w:t>
            </w:r>
            <w:r>
              <w:rPr>
                <w:rFonts w:hint="default" w:ascii="仿宋_GB2312" w:hAnsi="仿宋_GB2312" w:eastAsia="仿宋_GB2312" w:cs="仿宋_GB2312"/>
                <w:color w:val="000000"/>
                <w:kern w:val="0"/>
                <w:sz w:val="21"/>
                <w:szCs w:val="21"/>
                <w:lang w:val="en-US" w:eastAsia="zh-CN"/>
              </w:rPr>
              <w:t>并处二千五百元以上不超过五千元罚款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6" w:hRule="atLeast"/>
          <w:jc w:val="center"/>
        </w:trPr>
        <w:tc>
          <w:tcPr>
            <w:tcW w:w="421" w:type="dxa"/>
            <w:vMerge w:val="restart"/>
            <w:tcBorders>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r>
              <w:rPr>
                <w:rFonts w:hint="eastAsia" w:ascii="仿宋_GB2312" w:hAnsi="仿宋_GB2312" w:eastAsia="仿宋_GB2312" w:cs="仿宋_GB2312"/>
                <w:color w:val="000000"/>
                <w:kern w:val="0"/>
                <w:sz w:val="21"/>
                <w:szCs w:val="21"/>
                <w:lang w:val="en-US" w:eastAsia="zh-CN"/>
              </w:rPr>
              <w:t>71</w:t>
            </w:r>
          </w:p>
        </w:tc>
        <w:tc>
          <w:tcPr>
            <w:tcW w:w="1506" w:type="dxa"/>
            <w:vMerge w:val="restart"/>
            <w:tcBorders>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擅自改变渔业船舶主尺度的（适用非捕捞渔船）</w:t>
            </w:r>
          </w:p>
        </w:tc>
        <w:tc>
          <w:tcPr>
            <w:tcW w:w="4147" w:type="dxa"/>
            <w:vMerge w:val="restart"/>
            <w:tcBorders>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山东省渔业船舶管理办法》第三十二条第（一）项，违反本办法规定，有下列行为之一的，由县级以上人民政府渔业主管部门责令立即停止违法行为，可以对渔业船舶所有人或者经营人处五千元以上三万元以下的罚款：</w:t>
            </w:r>
            <w:r>
              <w:rPr>
                <w:rFonts w:hint="default" w:ascii="仿宋_GB2312" w:hAnsi="仿宋_GB2312" w:eastAsia="仿宋_GB2312" w:cs="仿宋_GB2312"/>
                <w:color w:val="000000"/>
                <w:kern w:val="0"/>
                <w:sz w:val="21"/>
                <w:szCs w:val="21"/>
                <w:lang w:val="en-US" w:eastAsia="zh-CN"/>
              </w:rPr>
              <w:br w:type="textWrapping"/>
            </w:r>
            <w:r>
              <w:rPr>
                <w:rFonts w:hint="default" w:ascii="仿宋_GB2312" w:hAnsi="仿宋_GB2312" w:eastAsia="仿宋_GB2312" w:cs="仿宋_GB2312"/>
                <w:color w:val="000000"/>
                <w:kern w:val="0"/>
                <w:sz w:val="21"/>
                <w:szCs w:val="21"/>
                <w:lang w:val="en-US" w:eastAsia="zh-CN"/>
              </w:rPr>
              <w:t xml:space="preserve">    （一）擅自改变渔业船舶主尺度的。</w:t>
            </w:r>
          </w:p>
        </w:tc>
        <w:tc>
          <w:tcPr>
            <w:tcW w:w="643" w:type="dxa"/>
            <w:tcBorders>
              <w:top w:val="single" w:color="auto" w:sz="4" w:space="0"/>
              <w:bottom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较轻</w:t>
            </w:r>
          </w:p>
        </w:tc>
        <w:tc>
          <w:tcPr>
            <w:tcW w:w="2757" w:type="dxa"/>
            <w:tcBorders>
              <w:top w:val="single" w:color="auto" w:sz="4" w:space="0"/>
              <w:bottom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船长小于12米</w:t>
            </w:r>
          </w:p>
        </w:tc>
        <w:tc>
          <w:tcPr>
            <w:tcW w:w="4526" w:type="dxa"/>
            <w:tcBorders>
              <w:top w:val="single" w:color="auto" w:sz="4" w:space="0"/>
              <w:bottom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责令立即停止违法行为</w:t>
            </w:r>
            <w:r>
              <w:rPr>
                <w:rFonts w:hint="eastAsia" w:ascii="仿宋_GB2312" w:hAnsi="仿宋_GB2312" w:eastAsia="仿宋_GB2312" w:cs="仿宋_GB2312"/>
                <w:color w:val="000000"/>
                <w:kern w:val="0"/>
                <w:sz w:val="21"/>
                <w:szCs w:val="21"/>
                <w:lang w:val="en-US" w:eastAsia="zh-CN"/>
              </w:rPr>
              <w:t>，</w:t>
            </w:r>
            <w:r>
              <w:rPr>
                <w:rFonts w:hint="default" w:ascii="仿宋_GB2312" w:hAnsi="仿宋_GB2312" w:eastAsia="仿宋_GB2312" w:cs="仿宋_GB2312"/>
                <w:color w:val="000000"/>
                <w:kern w:val="0"/>
                <w:sz w:val="21"/>
                <w:szCs w:val="21"/>
                <w:lang w:val="en-US" w:eastAsia="zh-CN"/>
              </w:rPr>
              <w:t>可以对渔业船舶所有人或者经营人处五千元以上一万元以下罚款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9" w:hRule="atLeast"/>
          <w:jc w:val="center"/>
        </w:trPr>
        <w:tc>
          <w:tcPr>
            <w:tcW w:w="421" w:type="dxa"/>
            <w:vMerge w:val="continue"/>
            <w:tcBorders>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eastAsia" w:ascii="仿宋_GB2312" w:hAnsi="仿宋_GB2312" w:eastAsia="仿宋_GB2312" w:cs="仿宋_GB2312"/>
                <w:color w:val="000000"/>
                <w:kern w:val="0"/>
                <w:sz w:val="21"/>
                <w:szCs w:val="21"/>
                <w:lang w:val="en-US" w:eastAsia="zh-CN"/>
              </w:rPr>
            </w:pPr>
          </w:p>
        </w:tc>
        <w:tc>
          <w:tcPr>
            <w:tcW w:w="1506" w:type="dxa"/>
            <w:vMerge w:val="continue"/>
            <w:tcBorders>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p>
        </w:tc>
        <w:tc>
          <w:tcPr>
            <w:tcW w:w="4147" w:type="dxa"/>
            <w:vMerge w:val="continue"/>
            <w:tcBorders>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p>
        </w:tc>
        <w:tc>
          <w:tcPr>
            <w:tcW w:w="643" w:type="dxa"/>
            <w:tcBorders>
              <w:top w:val="single" w:color="auto" w:sz="4" w:space="0"/>
              <w:bottom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一般</w:t>
            </w:r>
          </w:p>
        </w:tc>
        <w:tc>
          <w:tcPr>
            <w:tcW w:w="2757" w:type="dxa"/>
            <w:tcBorders>
              <w:top w:val="single" w:color="auto" w:sz="4" w:space="0"/>
              <w:bottom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船长大于或者等于12米且小于24米</w:t>
            </w:r>
          </w:p>
        </w:tc>
        <w:tc>
          <w:tcPr>
            <w:tcW w:w="4526" w:type="dxa"/>
            <w:tcBorders>
              <w:top w:val="single" w:color="auto" w:sz="4" w:space="0"/>
              <w:bottom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责令立即停止违法行为</w:t>
            </w:r>
            <w:r>
              <w:rPr>
                <w:rFonts w:hint="eastAsia" w:ascii="仿宋_GB2312" w:hAnsi="仿宋_GB2312" w:eastAsia="仿宋_GB2312" w:cs="仿宋_GB2312"/>
                <w:color w:val="000000"/>
                <w:kern w:val="0"/>
                <w:sz w:val="21"/>
                <w:szCs w:val="21"/>
                <w:lang w:val="en-US" w:eastAsia="zh-CN"/>
              </w:rPr>
              <w:t>，</w:t>
            </w:r>
            <w:r>
              <w:rPr>
                <w:rFonts w:hint="default" w:ascii="仿宋_GB2312" w:hAnsi="仿宋_GB2312" w:eastAsia="仿宋_GB2312" w:cs="仿宋_GB2312"/>
                <w:color w:val="000000"/>
                <w:kern w:val="0"/>
                <w:sz w:val="21"/>
                <w:szCs w:val="21"/>
                <w:lang w:val="en-US" w:eastAsia="zh-CN"/>
              </w:rPr>
              <w:t>可以对渔业船舶所有人或者经营人处一万元以上二万元以下罚款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4" w:hRule="atLeast"/>
          <w:jc w:val="center"/>
        </w:trPr>
        <w:tc>
          <w:tcPr>
            <w:tcW w:w="421" w:type="dxa"/>
            <w:vMerge w:val="continue"/>
            <w:tcBorders>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eastAsia" w:ascii="仿宋_GB2312" w:hAnsi="仿宋_GB2312" w:eastAsia="仿宋_GB2312" w:cs="仿宋_GB2312"/>
                <w:color w:val="000000"/>
                <w:kern w:val="0"/>
                <w:sz w:val="21"/>
                <w:szCs w:val="21"/>
                <w:lang w:val="en-US" w:eastAsia="zh-CN"/>
              </w:rPr>
            </w:pPr>
          </w:p>
        </w:tc>
        <w:tc>
          <w:tcPr>
            <w:tcW w:w="1506" w:type="dxa"/>
            <w:vMerge w:val="continue"/>
            <w:tcBorders>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p>
        </w:tc>
        <w:tc>
          <w:tcPr>
            <w:tcW w:w="4147" w:type="dxa"/>
            <w:vMerge w:val="continue"/>
            <w:tcBorders>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p>
        </w:tc>
        <w:tc>
          <w:tcPr>
            <w:tcW w:w="643" w:type="dxa"/>
            <w:tcBorders>
              <w:top w:val="single" w:color="auto" w:sz="4" w:space="0"/>
              <w:bottom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严重</w:t>
            </w:r>
          </w:p>
        </w:tc>
        <w:tc>
          <w:tcPr>
            <w:tcW w:w="2757" w:type="dxa"/>
            <w:tcBorders>
              <w:top w:val="single" w:color="auto" w:sz="4" w:space="0"/>
              <w:bottom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船长大于或者等于24米的</w:t>
            </w:r>
          </w:p>
        </w:tc>
        <w:tc>
          <w:tcPr>
            <w:tcW w:w="4526" w:type="dxa"/>
            <w:tcBorders>
              <w:top w:val="single" w:color="auto" w:sz="4" w:space="0"/>
              <w:bottom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责令立即停止违法行为</w:t>
            </w:r>
            <w:r>
              <w:rPr>
                <w:rFonts w:hint="eastAsia" w:ascii="仿宋_GB2312" w:hAnsi="仿宋_GB2312" w:eastAsia="仿宋_GB2312" w:cs="仿宋_GB2312"/>
                <w:color w:val="000000"/>
                <w:kern w:val="0"/>
                <w:sz w:val="21"/>
                <w:szCs w:val="21"/>
                <w:lang w:val="en-US" w:eastAsia="zh-CN"/>
              </w:rPr>
              <w:t>，</w:t>
            </w:r>
            <w:r>
              <w:rPr>
                <w:rFonts w:hint="default" w:ascii="仿宋_GB2312" w:hAnsi="仿宋_GB2312" w:eastAsia="仿宋_GB2312" w:cs="仿宋_GB2312"/>
                <w:color w:val="000000"/>
                <w:kern w:val="0"/>
                <w:sz w:val="21"/>
                <w:szCs w:val="21"/>
                <w:lang w:val="en-US" w:eastAsia="zh-CN"/>
              </w:rPr>
              <w:t>可以对渔业船舶所有人或者经营人处二万元以上不超过三万元罚款</w:t>
            </w:r>
          </w:p>
        </w:tc>
      </w:tr>
    </w:tbl>
    <w:p>
      <w:pPr>
        <w:pStyle w:val="2"/>
        <w:rPr>
          <w:rFonts w:hint="default" w:eastAsia="宋体"/>
          <w:lang w:val="en-US" w:eastAsia="zh-CN"/>
        </w:rPr>
      </w:pPr>
    </w:p>
    <w:p>
      <w:pPr>
        <w:pStyle w:val="2"/>
        <w:rPr>
          <w:rFonts w:hint="default" w:eastAsia="宋体"/>
          <w:lang w:val="en-US" w:eastAsia="zh-CN"/>
        </w:rPr>
      </w:pPr>
    </w:p>
    <w:p>
      <w:pPr>
        <w:pStyle w:val="2"/>
        <w:rPr>
          <w:rFonts w:hint="default" w:eastAsia="宋体"/>
          <w:lang w:val="en-US" w:eastAsia="zh-CN"/>
        </w:rPr>
      </w:pPr>
    </w:p>
    <w:p>
      <w:pPr>
        <w:pStyle w:val="2"/>
        <w:rPr>
          <w:rFonts w:hint="default" w:eastAsia="宋体"/>
          <w:lang w:val="en-US" w:eastAsia="zh-CN"/>
        </w:rPr>
      </w:pPr>
    </w:p>
    <w:p>
      <w:pPr>
        <w:pStyle w:val="2"/>
        <w:rPr>
          <w:rFonts w:hint="default" w:eastAsia="宋体"/>
          <w:lang w:val="en-US" w:eastAsia="zh-CN"/>
        </w:rPr>
      </w:pPr>
    </w:p>
    <w:tbl>
      <w:tblPr>
        <w:tblStyle w:val="7"/>
        <w:tblW w:w="140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21"/>
        <w:gridCol w:w="1506"/>
        <w:gridCol w:w="4147"/>
        <w:gridCol w:w="643"/>
        <w:gridCol w:w="2757"/>
        <w:gridCol w:w="45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tblHeader/>
          <w:jc w:val="center"/>
        </w:trPr>
        <w:tc>
          <w:tcPr>
            <w:tcW w:w="421"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黑体" w:hAnsi="黑体" w:eastAsia="黑体" w:cs="黑体"/>
                <w:color w:val="000000"/>
                <w:sz w:val="24"/>
                <w:szCs w:val="24"/>
              </w:rPr>
            </w:pPr>
            <w:r>
              <w:rPr>
                <w:rFonts w:hint="eastAsia" w:ascii="黑体" w:hAnsi="黑体" w:eastAsia="黑体" w:cs="黑体"/>
                <w:color w:val="000000"/>
                <w:kern w:val="0"/>
                <w:sz w:val="24"/>
                <w:szCs w:val="24"/>
              </w:rPr>
              <w:t>序号</w:t>
            </w:r>
          </w:p>
        </w:tc>
        <w:tc>
          <w:tcPr>
            <w:tcW w:w="1506"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黑体" w:hAnsi="黑体" w:eastAsia="黑体" w:cs="黑体"/>
                <w:color w:val="000000"/>
                <w:sz w:val="24"/>
                <w:szCs w:val="24"/>
              </w:rPr>
            </w:pPr>
            <w:r>
              <w:rPr>
                <w:rFonts w:hint="eastAsia" w:ascii="黑体" w:hAnsi="黑体" w:eastAsia="黑体" w:cs="黑体"/>
                <w:color w:val="000000"/>
                <w:kern w:val="0"/>
                <w:sz w:val="24"/>
                <w:szCs w:val="24"/>
              </w:rPr>
              <w:t>违法行为</w:t>
            </w:r>
          </w:p>
        </w:tc>
        <w:tc>
          <w:tcPr>
            <w:tcW w:w="4147"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黑体" w:hAnsi="黑体" w:eastAsia="黑体" w:cs="黑体"/>
                <w:color w:val="000000"/>
                <w:sz w:val="24"/>
                <w:szCs w:val="24"/>
              </w:rPr>
            </w:pPr>
            <w:r>
              <w:rPr>
                <w:rFonts w:hint="eastAsia" w:ascii="黑体" w:hAnsi="黑体" w:eastAsia="黑体" w:cs="黑体"/>
                <w:color w:val="000000"/>
                <w:kern w:val="0"/>
                <w:sz w:val="24"/>
                <w:szCs w:val="24"/>
              </w:rPr>
              <w:t>处罚依据</w:t>
            </w:r>
          </w:p>
        </w:tc>
        <w:tc>
          <w:tcPr>
            <w:tcW w:w="643"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黑体" w:hAnsi="黑体" w:eastAsia="黑体" w:cs="黑体"/>
                <w:color w:val="000000"/>
                <w:sz w:val="24"/>
                <w:szCs w:val="24"/>
              </w:rPr>
            </w:pPr>
            <w:r>
              <w:rPr>
                <w:rFonts w:hint="eastAsia" w:ascii="黑体" w:hAnsi="黑体" w:eastAsia="黑体" w:cs="黑体"/>
                <w:color w:val="000000"/>
                <w:kern w:val="0"/>
                <w:sz w:val="24"/>
                <w:szCs w:val="24"/>
              </w:rPr>
              <w:t>违法程度</w:t>
            </w:r>
          </w:p>
        </w:tc>
        <w:tc>
          <w:tcPr>
            <w:tcW w:w="2757"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黑体" w:hAnsi="黑体" w:eastAsia="黑体" w:cs="黑体"/>
                <w:color w:val="000000"/>
                <w:sz w:val="24"/>
                <w:szCs w:val="24"/>
              </w:rPr>
            </w:pPr>
            <w:r>
              <w:rPr>
                <w:rFonts w:hint="eastAsia" w:ascii="黑体" w:hAnsi="黑体" w:eastAsia="黑体" w:cs="黑体"/>
                <w:color w:val="000000"/>
                <w:kern w:val="0"/>
                <w:sz w:val="24"/>
                <w:szCs w:val="24"/>
              </w:rPr>
              <w:t>违法情节</w:t>
            </w:r>
          </w:p>
        </w:tc>
        <w:tc>
          <w:tcPr>
            <w:tcW w:w="4526"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黑体" w:hAnsi="黑体" w:eastAsia="黑体" w:cs="黑体"/>
                <w:color w:val="000000"/>
                <w:sz w:val="24"/>
                <w:szCs w:val="24"/>
              </w:rPr>
            </w:pPr>
            <w:r>
              <w:rPr>
                <w:rFonts w:hint="eastAsia" w:ascii="黑体" w:hAnsi="黑体" w:eastAsia="黑体" w:cs="黑体"/>
                <w:color w:val="000000"/>
                <w:kern w:val="0"/>
                <w:sz w:val="24"/>
                <w:szCs w:val="24"/>
              </w:rPr>
              <w:t>裁量标准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8" w:hRule="atLeast"/>
          <w:jc w:val="center"/>
        </w:trPr>
        <w:tc>
          <w:tcPr>
            <w:tcW w:w="421" w:type="dxa"/>
            <w:vMerge w:val="restart"/>
            <w:tcBorders>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r>
              <w:rPr>
                <w:rFonts w:hint="eastAsia" w:ascii="仿宋_GB2312" w:hAnsi="仿宋_GB2312" w:eastAsia="仿宋_GB2312" w:cs="仿宋_GB2312"/>
                <w:color w:val="000000"/>
                <w:kern w:val="0"/>
                <w:sz w:val="21"/>
                <w:szCs w:val="21"/>
                <w:lang w:val="en-US" w:eastAsia="zh-CN"/>
              </w:rPr>
              <w:t>72</w:t>
            </w:r>
          </w:p>
        </w:tc>
        <w:tc>
          <w:tcPr>
            <w:tcW w:w="1506" w:type="dxa"/>
            <w:vMerge w:val="restart"/>
            <w:tcBorders>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擅自改变作业性质</w:t>
            </w:r>
          </w:p>
        </w:tc>
        <w:tc>
          <w:tcPr>
            <w:tcW w:w="4147" w:type="dxa"/>
            <w:vMerge w:val="restart"/>
            <w:tcBorders>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eastAsia"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山东省渔业船舶管理办法》第三十二条第（三）项，违反本办法规定，有下列行为之一的，由县级以上人民政府渔业主管部门责令立即停止违法行为，可以对渔业船舶所有人或者经营人处五千元以上三万元以下的罚款：</w:t>
            </w:r>
            <w:r>
              <w:rPr>
                <w:rFonts w:hint="default" w:ascii="仿宋_GB2312" w:hAnsi="仿宋_GB2312" w:eastAsia="仿宋_GB2312" w:cs="仿宋_GB2312"/>
                <w:color w:val="000000"/>
                <w:kern w:val="0"/>
                <w:sz w:val="21"/>
                <w:szCs w:val="21"/>
                <w:lang w:val="en-US" w:eastAsia="zh-CN"/>
              </w:rPr>
              <w:br w:type="textWrapping"/>
            </w:r>
            <w:r>
              <w:rPr>
                <w:rFonts w:hint="default" w:ascii="仿宋_GB2312" w:hAnsi="仿宋_GB2312" w:eastAsia="仿宋_GB2312" w:cs="仿宋_GB2312"/>
                <w:color w:val="000000"/>
                <w:kern w:val="0"/>
                <w:sz w:val="21"/>
                <w:szCs w:val="21"/>
                <w:lang w:val="en-US" w:eastAsia="zh-CN"/>
              </w:rPr>
              <w:t xml:space="preserve">  （三）擅自改变作业性质或者作业类型的。</w:t>
            </w:r>
          </w:p>
        </w:tc>
        <w:tc>
          <w:tcPr>
            <w:tcW w:w="643" w:type="dxa"/>
            <w:tcBorders>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eastAsia"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较轻</w:t>
            </w:r>
          </w:p>
        </w:tc>
        <w:tc>
          <w:tcPr>
            <w:tcW w:w="2757" w:type="dxa"/>
            <w:tcBorders>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eastAsia"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船长小于12米</w:t>
            </w:r>
          </w:p>
        </w:tc>
        <w:tc>
          <w:tcPr>
            <w:tcW w:w="4526" w:type="dxa"/>
            <w:tcBorders>
              <w:bottom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eastAsia"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责令立即停止违法行为</w:t>
            </w:r>
            <w:r>
              <w:rPr>
                <w:rFonts w:hint="eastAsia" w:ascii="仿宋_GB2312" w:hAnsi="仿宋_GB2312" w:eastAsia="仿宋_GB2312" w:cs="仿宋_GB2312"/>
                <w:color w:val="000000"/>
                <w:kern w:val="0"/>
                <w:sz w:val="21"/>
                <w:szCs w:val="21"/>
                <w:lang w:val="en-US" w:eastAsia="zh-CN"/>
              </w:rPr>
              <w:t>，</w:t>
            </w:r>
            <w:r>
              <w:rPr>
                <w:rFonts w:hint="default" w:ascii="仿宋_GB2312" w:hAnsi="仿宋_GB2312" w:eastAsia="仿宋_GB2312" w:cs="仿宋_GB2312"/>
                <w:color w:val="000000"/>
                <w:kern w:val="0"/>
                <w:sz w:val="21"/>
                <w:szCs w:val="21"/>
                <w:lang w:val="en-US" w:eastAsia="zh-CN"/>
              </w:rPr>
              <w:t>可以对渔业船舶所有人或者经营人处五千元以上一万元以下罚款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6" w:hRule="atLeast"/>
          <w:jc w:val="center"/>
        </w:trPr>
        <w:tc>
          <w:tcPr>
            <w:tcW w:w="421" w:type="dxa"/>
            <w:vMerge w:val="continue"/>
            <w:tcBorders>
              <w:bottom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eastAsia" w:ascii="仿宋_GB2312" w:hAnsi="仿宋_GB2312" w:eastAsia="仿宋_GB2312" w:cs="仿宋_GB2312"/>
                <w:color w:val="000000"/>
                <w:kern w:val="0"/>
                <w:sz w:val="21"/>
                <w:szCs w:val="21"/>
                <w:lang w:val="en-US" w:eastAsia="zh-CN"/>
              </w:rPr>
            </w:pPr>
          </w:p>
        </w:tc>
        <w:tc>
          <w:tcPr>
            <w:tcW w:w="1506" w:type="dxa"/>
            <w:vMerge w:val="continue"/>
            <w:tcBorders>
              <w:bottom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p>
        </w:tc>
        <w:tc>
          <w:tcPr>
            <w:tcW w:w="4147" w:type="dxa"/>
            <w:vMerge w:val="continue"/>
            <w:tcBorders>
              <w:bottom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p>
        </w:tc>
        <w:tc>
          <w:tcPr>
            <w:tcW w:w="643" w:type="dxa"/>
            <w:tcBorders>
              <w:top w:val="single" w:color="auto" w:sz="4" w:space="0"/>
              <w:bottom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eastAsia"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一般</w:t>
            </w:r>
          </w:p>
        </w:tc>
        <w:tc>
          <w:tcPr>
            <w:tcW w:w="2757" w:type="dxa"/>
            <w:tcBorders>
              <w:top w:val="single" w:color="auto" w:sz="4" w:space="0"/>
              <w:bottom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eastAsia"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船长大于或者等于12米且小于24米</w:t>
            </w:r>
          </w:p>
        </w:tc>
        <w:tc>
          <w:tcPr>
            <w:tcW w:w="4526" w:type="dxa"/>
            <w:tcBorders>
              <w:top w:val="single" w:color="auto" w:sz="4" w:space="0"/>
              <w:bottom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eastAsia"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责令立即停止违法行为</w:t>
            </w:r>
            <w:r>
              <w:rPr>
                <w:rFonts w:hint="eastAsia" w:ascii="仿宋_GB2312" w:hAnsi="仿宋_GB2312" w:eastAsia="仿宋_GB2312" w:cs="仿宋_GB2312"/>
                <w:color w:val="000000"/>
                <w:kern w:val="0"/>
                <w:sz w:val="21"/>
                <w:szCs w:val="21"/>
                <w:lang w:val="en-US" w:eastAsia="zh-CN"/>
              </w:rPr>
              <w:t>，</w:t>
            </w:r>
            <w:r>
              <w:rPr>
                <w:rFonts w:hint="default" w:ascii="仿宋_GB2312" w:hAnsi="仿宋_GB2312" w:eastAsia="仿宋_GB2312" w:cs="仿宋_GB2312"/>
                <w:color w:val="000000"/>
                <w:kern w:val="0"/>
                <w:sz w:val="21"/>
                <w:szCs w:val="21"/>
                <w:lang w:val="en-US" w:eastAsia="zh-CN"/>
              </w:rPr>
              <w:t>可以对渔业船舶所有人或者经营人处一万元以上二万元以下罚款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0" w:hRule="atLeast"/>
          <w:jc w:val="center"/>
        </w:trPr>
        <w:tc>
          <w:tcPr>
            <w:tcW w:w="421" w:type="dxa"/>
            <w:vMerge w:val="continue"/>
            <w:tcBorders>
              <w:bottom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eastAsia" w:ascii="仿宋_GB2312" w:hAnsi="仿宋_GB2312" w:eastAsia="仿宋_GB2312" w:cs="仿宋_GB2312"/>
                <w:color w:val="000000"/>
                <w:kern w:val="0"/>
                <w:sz w:val="21"/>
                <w:szCs w:val="21"/>
                <w:lang w:val="en-US" w:eastAsia="zh-CN"/>
              </w:rPr>
            </w:pPr>
          </w:p>
        </w:tc>
        <w:tc>
          <w:tcPr>
            <w:tcW w:w="1506" w:type="dxa"/>
            <w:vMerge w:val="continue"/>
            <w:tcBorders>
              <w:bottom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p>
        </w:tc>
        <w:tc>
          <w:tcPr>
            <w:tcW w:w="4147" w:type="dxa"/>
            <w:vMerge w:val="continue"/>
            <w:tcBorders>
              <w:bottom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p>
        </w:tc>
        <w:tc>
          <w:tcPr>
            <w:tcW w:w="643" w:type="dxa"/>
            <w:tcBorders>
              <w:top w:val="single" w:color="auto" w:sz="4" w:space="0"/>
              <w:bottom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eastAsia"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严重</w:t>
            </w:r>
          </w:p>
        </w:tc>
        <w:tc>
          <w:tcPr>
            <w:tcW w:w="2757" w:type="dxa"/>
            <w:tcBorders>
              <w:top w:val="single" w:color="auto" w:sz="4" w:space="0"/>
              <w:bottom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eastAsia"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船长大于或者等于24米的</w:t>
            </w:r>
          </w:p>
        </w:tc>
        <w:tc>
          <w:tcPr>
            <w:tcW w:w="4526" w:type="dxa"/>
            <w:tcBorders>
              <w:top w:val="single" w:color="auto" w:sz="4" w:space="0"/>
              <w:bottom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eastAsia"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责令立即停止违法行为</w:t>
            </w:r>
            <w:r>
              <w:rPr>
                <w:rFonts w:hint="eastAsia" w:ascii="仿宋_GB2312" w:hAnsi="仿宋_GB2312" w:eastAsia="仿宋_GB2312" w:cs="仿宋_GB2312"/>
                <w:color w:val="000000"/>
                <w:kern w:val="0"/>
                <w:sz w:val="21"/>
                <w:szCs w:val="21"/>
                <w:lang w:val="en-US" w:eastAsia="zh-CN"/>
              </w:rPr>
              <w:t>，</w:t>
            </w:r>
            <w:r>
              <w:rPr>
                <w:rFonts w:hint="default" w:ascii="仿宋_GB2312" w:hAnsi="仿宋_GB2312" w:eastAsia="仿宋_GB2312" w:cs="仿宋_GB2312"/>
                <w:color w:val="000000"/>
                <w:kern w:val="0"/>
                <w:sz w:val="21"/>
                <w:szCs w:val="21"/>
                <w:lang w:val="en-US" w:eastAsia="zh-CN"/>
              </w:rPr>
              <w:t>可以对渔业船舶所有人或者经营人处二万元以上不超过三万元罚款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jc w:val="center"/>
        </w:trPr>
        <w:tc>
          <w:tcPr>
            <w:tcW w:w="421" w:type="dxa"/>
            <w:vMerge w:val="restart"/>
            <w:tcBorders>
              <w:top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r>
              <w:rPr>
                <w:rFonts w:hint="eastAsia" w:ascii="仿宋_GB2312" w:hAnsi="仿宋_GB2312" w:eastAsia="仿宋_GB2312" w:cs="仿宋_GB2312"/>
                <w:color w:val="000000"/>
                <w:kern w:val="0"/>
                <w:sz w:val="21"/>
                <w:szCs w:val="21"/>
                <w:lang w:val="en-US" w:eastAsia="zh-CN"/>
              </w:rPr>
              <w:t>73</w:t>
            </w:r>
          </w:p>
        </w:tc>
        <w:tc>
          <w:tcPr>
            <w:tcW w:w="1506" w:type="dxa"/>
            <w:vMerge w:val="restart"/>
            <w:tcBorders>
              <w:top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超过核定的航区航行或者作业的</w:t>
            </w:r>
          </w:p>
        </w:tc>
        <w:tc>
          <w:tcPr>
            <w:tcW w:w="4147" w:type="dxa"/>
            <w:vMerge w:val="restart"/>
            <w:tcBorders>
              <w:top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山东省渔业船舶管理办法》第三十二条第（五）项，违反本办法规定，有下列行为之一的，由县级以上人民政府渔业主管部门责令立即停止违法行为，可以对渔业船舶所有人或者经营人处五千元以上三万元以下的罚款：</w:t>
            </w:r>
            <w:r>
              <w:rPr>
                <w:rFonts w:hint="default" w:ascii="仿宋_GB2312" w:hAnsi="仿宋_GB2312" w:eastAsia="仿宋_GB2312" w:cs="仿宋_GB2312"/>
                <w:color w:val="000000"/>
                <w:kern w:val="0"/>
                <w:sz w:val="21"/>
                <w:szCs w:val="21"/>
                <w:lang w:val="en-US" w:eastAsia="zh-CN"/>
              </w:rPr>
              <w:br w:type="textWrapping"/>
            </w:r>
            <w:r>
              <w:rPr>
                <w:rFonts w:hint="default" w:ascii="仿宋_GB2312" w:hAnsi="仿宋_GB2312" w:eastAsia="仿宋_GB2312" w:cs="仿宋_GB2312"/>
                <w:color w:val="000000"/>
                <w:kern w:val="0"/>
                <w:sz w:val="21"/>
                <w:szCs w:val="21"/>
                <w:lang w:val="en-US" w:eastAsia="zh-CN"/>
              </w:rPr>
              <w:t xml:space="preserve">    （五）超过核定的航区航行或者作业的。</w:t>
            </w:r>
          </w:p>
        </w:tc>
        <w:tc>
          <w:tcPr>
            <w:tcW w:w="643" w:type="dxa"/>
            <w:tcBorders>
              <w:top w:val="single" w:color="auto" w:sz="4" w:space="0"/>
              <w:bottom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eastAsia"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较轻</w:t>
            </w:r>
          </w:p>
        </w:tc>
        <w:tc>
          <w:tcPr>
            <w:tcW w:w="2757" w:type="dxa"/>
            <w:tcBorders>
              <w:top w:val="single" w:color="auto" w:sz="4" w:space="0"/>
              <w:bottom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eastAsia"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船长小于12米</w:t>
            </w:r>
          </w:p>
        </w:tc>
        <w:tc>
          <w:tcPr>
            <w:tcW w:w="4526" w:type="dxa"/>
            <w:tcBorders>
              <w:top w:val="single" w:color="auto" w:sz="4" w:space="0"/>
              <w:bottom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eastAsia"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责令立即停止违法行为</w:t>
            </w:r>
            <w:r>
              <w:rPr>
                <w:rFonts w:hint="eastAsia" w:ascii="仿宋_GB2312" w:hAnsi="仿宋_GB2312" w:eastAsia="仿宋_GB2312" w:cs="仿宋_GB2312"/>
                <w:color w:val="000000"/>
                <w:kern w:val="0"/>
                <w:sz w:val="21"/>
                <w:szCs w:val="21"/>
                <w:lang w:val="en-US" w:eastAsia="zh-CN"/>
              </w:rPr>
              <w:t>，</w:t>
            </w:r>
            <w:r>
              <w:rPr>
                <w:rFonts w:hint="default" w:ascii="仿宋_GB2312" w:hAnsi="仿宋_GB2312" w:eastAsia="仿宋_GB2312" w:cs="仿宋_GB2312"/>
                <w:color w:val="000000"/>
                <w:kern w:val="0"/>
                <w:sz w:val="21"/>
                <w:szCs w:val="21"/>
                <w:lang w:val="en-US" w:eastAsia="zh-CN"/>
              </w:rPr>
              <w:t>可以对渔业船舶所有人或者经营人处五千元以上一万元以下罚款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2" w:hRule="atLeast"/>
          <w:jc w:val="center"/>
        </w:trPr>
        <w:tc>
          <w:tcPr>
            <w:tcW w:w="421" w:type="dxa"/>
            <w:vMerge w:val="continue"/>
            <w:tcBorders>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p>
        </w:tc>
        <w:tc>
          <w:tcPr>
            <w:tcW w:w="1506" w:type="dxa"/>
            <w:vMerge w:val="continue"/>
            <w:tcBorders>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p>
        </w:tc>
        <w:tc>
          <w:tcPr>
            <w:tcW w:w="4147" w:type="dxa"/>
            <w:vMerge w:val="continue"/>
            <w:tcBorders>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p>
        </w:tc>
        <w:tc>
          <w:tcPr>
            <w:tcW w:w="643" w:type="dxa"/>
            <w:tcBorders>
              <w:top w:val="single" w:color="auto" w:sz="4" w:space="0"/>
              <w:bottom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eastAsia"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一般</w:t>
            </w:r>
          </w:p>
        </w:tc>
        <w:tc>
          <w:tcPr>
            <w:tcW w:w="2757" w:type="dxa"/>
            <w:tcBorders>
              <w:top w:val="single" w:color="auto" w:sz="4" w:space="0"/>
              <w:bottom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eastAsia"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船长大于或者等于12米且小于24米</w:t>
            </w:r>
          </w:p>
        </w:tc>
        <w:tc>
          <w:tcPr>
            <w:tcW w:w="4526" w:type="dxa"/>
            <w:tcBorders>
              <w:top w:val="single" w:color="auto" w:sz="4" w:space="0"/>
              <w:bottom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eastAsia"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责令立即停止违法行为</w:t>
            </w:r>
            <w:r>
              <w:rPr>
                <w:rFonts w:hint="eastAsia" w:ascii="仿宋_GB2312" w:hAnsi="仿宋_GB2312" w:eastAsia="仿宋_GB2312" w:cs="仿宋_GB2312"/>
                <w:color w:val="000000"/>
                <w:kern w:val="0"/>
                <w:sz w:val="21"/>
                <w:szCs w:val="21"/>
                <w:lang w:val="en-US" w:eastAsia="zh-CN"/>
              </w:rPr>
              <w:t>，</w:t>
            </w:r>
            <w:r>
              <w:rPr>
                <w:rFonts w:hint="default" w:ascii="仿宋_GB2312" w:hAnsi="仿宋_GB2312" w:eastAsia="仿宋_GB2312" w:cs="仿宋_GB2312"/>
                <w:color w:val="000000"/>
                <w:kern w:val="0"/>
                <w:sz w:val="21"/>
                <w:szCs w:val="21"/>
                <w:lang w:val="en-US" w:eastAsia="zh-CN"/>
              </w:rPr>
              <w:t>可以对渔业船舶所有人或者经营人处一万元以上二万元以下罚款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5" w:hRule="atLeast"/>
          <w:jc w:val="center"/>
        </w:trPr>
        <w:tc>
          <w:tcPr>
            <w:tcW w:w="421" w:type="dxa"/>
            <w:vMerge w:val="continue"/>
            <w:tcBorders>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p>
        </w:tc>
        <w:tc>
          <w:tcPr>
            <w:tcW w:w="1506" w:type="dxa"/>
            <w:vMerge w:val="continue"/>
            <w:tcBorders>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p>
        </w:tc>
        <w:tc>
          <w:tcPr>
            <w:tcW w:w="4147" w:type="dxa"/>
            <w:vMerge w:val="continue"/>
            <w:tcBorders>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p>
        </w:tc>
        <w:tc>
          <w:tcPr>
            <w:tcW w:w="643" w:type="dxa"/>
            <w:tcBorders>
              <w:top w:val="single" w:color="auto" w:sz="4" w:space="0"/>
              <w:bottom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eastAsia"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严重</w:t>
            </w:r>
          </w:p>
        </w:tc>
        <w:tc>
          <w:tcPr>
            <w:tcW w:w="2757" w:type="dxa"/>
            <w:tcBorders>
              <w:top w:val="single" w:color="auto" w:sz="4" w:space="0"/>
              <w:bottom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eastAsia"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船长大于或者等于24米的</w:t>
            </w:r>
          </w:p>
        </w:tc>
        <w:tc>
          <w:tcPr>
            <w:tcW w:w="4526" w:type="dxa"/>
            <w:tcBorders>
              <w:top w:val="single" w:color="auto" w:sz="4" w:space="0"/>
              <w:bottom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eastAsia"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责令立即停止违法行为</w:t>
            </w:r>
            <w:r>
              <w:rPr>
                <w:rFonts w:hint="eastAsia" w:ascii="仿宋_GB2312" w:hAnsi="仿宋_GB2312" w:eastAsia="仿宋_GB2312" w:cs="仿宋_GB2312"/>
                <w:color w:val="000000"/>
                <w:kern w:val="0"/>
                <w:sz w:val="21"/>
                <w:szCs w:val="21"/>
                <w:lang w:val="en-US" w:eastAsia="zh-CN"/>
              </w:rPr>
              <w:t>，</w:t>
            </w:r>
            <w:r>
              <w:rPr>
                <w:rFonts w:hint="default" w:ascii="仿宋_GB2312" w:hAnsi="仿宋_GB2312" w:eastAsia="仿宋_GB2312" w:cs="仿宋_GB2312"/>
                <w:color w:val="000000"/>
                <w:kern w:val="0"/>
                <w:sz w:val="21"/>
                <w:szCs w:val="21"/>
                <w:lang w:val="en-US" w:eastAsia="zh-CN"/>
              </w:rPr>
              <w:t>可以对渔业船舶所有人或者经营人处二万元以上不超过三万元罚款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6" w:hRule="atLeast"/>
          <w:jc w:val="center"/>
        </w:trPr>
        <w:tc>
          <w:tcPr>
            <w:tcW w:w="421" w:type="dxa"/>
            <w:vMerge w:val="restart"/>
            <w:tcBorders>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r>
              <w:rPr>
                <w:rFonts w:hint="eastAsia" w:ascii="仿宋_GB2312" w:hAnsi="仿宋_GB2312" w:eastAsia="仿宋_GB2312" w:cs="仿宋_GB2312"/>
                <w:color w:val="000000"/>
                <w:kern w:val="0"/>
                <w:sz w:val="21"/>
                <w:szCs w:val="21"/>
                <w:lang w:val="en-US" w:eastAsia="zh-CN"/>
              </w:rPr>
              <w:t>74</w:t>
            </w:r>
          </w:p>
        </w:tc>
        <w:tc>
          <w:tcPr>
            <w:tcW w:w="1506" w:type="dxa"/>
            <w:vMerge w:val="restart"/>
            <w:tcBorders>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在渔业港口水域内从事养殖、捕捞或者其他有碍航行安全的活动的</w:t>
            </w:r>
          </w:p>
        </w:tc>
        <w:tc>
          <w:tcPr>
            <w:tcW w:w="4147" w:type="dxa"/>
            <w:vMerge w:val="restart"/>
            <w:tcBorders>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山东省渔业船舶管理办法》第三十二条第（六）项，违反本办法规定，有下列行为之一的，由县级以上人民政府渔业主管部门责令立即停止违法行为，可以对渔业船舶所有人或者经营人处五千元以上三万元以下的罚款：</w:t>
            </w:r>
            <w:r>
              <w:rPr>
                <w:rFonts w:hint="default" w:ascii="仿宋_GB2312" w:hAnsi="仿宋_GB2312" w:eastAsia="仿宋_GB2312" w:cs="仿宋_GB2312"/>
                <w:color w:val="000000"/>
                <w:kern w:val="0"/>
                <w:sz w:val="21"/>
                <w:szCs w:val="21"/>
                <w:lang w:val="en-US" w:eastAsia="zh-CN"/>
              </w:rPr>
              <w:br w:type="textWrapping"/>
            </w:r>
            <w:r>
              <w:rPr>
                <w:rFonts w:hint="default" w:ascii="仿宋_GB2312" w:hAnsi="仿宋_GB2312" w:eastAsia="仿宋_GB2312" w:cs="仿宋_GB2312"/>
                <w:color w:val="000000"/>
                <w:kern w:val="0"/>
                <w:sz w:val="21"/>
                <w:szCs w:val="21"/>
                <w:lang w:val="en-US" w:eastAsia="zh-CN"/>
              </w:rPr>
              <w:t xml:space="preserve">    （六）在渔业港口水域内从事养殖、捕捞或者其他有碍航行安全的活动的。</w:t>
            </w:r>
          </w:p>
        </w:tc>
        <w:tc>
          <w:tcPr>
            <w:tcW w:w="643" w:type="dxa"/>
            <w:tcBorders>
              <w:top w:val="single" w:color="auto" w:sz="4" w:space="0"/>
              <w:bottom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较轻</w:t>
            </w:r>
          </w:p>
        </w:tc>
        <w:tc>
          <w:tcPr>
            <w:tcW w:w="2757" w:type="dxa"/>
            <w:tcBorders>
              <w:top w:val="single" w:color="auto" w:sz="4" w:space="0"/>
              <w:bottom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船长小于12米</w:t>
            </w:r>
          </w:p>
        </w:tc>
        <w:tc>
          <w:tcPr>
            <w:tcW w:w="4526" w:type="dxa"/>
            <w:tcBorders>
              <w:top w:val="single" w:color="auto" w:sz="4" w:space="0"/>
              <w:bottom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责令立即停止违法行为</w:t>
            </w:r>
            <w:r>
              <w:rPr>
                <w:rFonts w:hint="eastAsia" w:ascii="仿宋_GB2312" w:hAnsi="仿宋_GB2312" w:eastAsia="仿宋_GB2312" w:cs="仿宋_GB2312"/>
                <w:color w:val="000000"/>
                <w:kern w:val="0"/>
                <w:sz w:val="21"/>
                <w:szCs w:val="21"/>
                <w:lang w:val="en-US" w:eastAsia="zh-CN"/>
              </w:rPr>
              <w:t>，</w:t>
            </w:r>
            <w:r>
              <w:rPr>
                <w:rFonts w:hint="default" w:ascii="仿宋_GB2312" w:hAnsi="仿宋_GB2312" w:eastAsia="仿宋_GB2312" w:cs="仿宋_GB2312"/>
                <w:color w:val="000000"/>
                <w:kern w:val="0"/>
                <w:sz w:val="21"/>
                <w:szCs w:val="21"/>
                <w:lang w:val="en-US" w:eastAsia="zh-CN"/>
              </w:rPr>
              <w:t>可以对渔业船舶所有人或者经营人处五千元以上一万元以下罚款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9" w:hRule="atLeast"/>
          <w:jc w:val="center"/>
        </w:trPr>
        <w:tc>
          <w:tcPr>
            <w:tcW w:w="421" w:type="dxa"/>
            <w:vMerge w:val="continue"/>
            <w:tcBorders>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eastAsia" w:ascii="仿宋_GB2312" w:hAnsi="仿宋_GB2312" w:eastAsia="仿宋_GB2312" w:cs="仿宋_GB2312"/>
                <w:color w:val="000000"/>
                <w:kern w:val="0"/>
                <w:sz w:val="21"/>
                <w:szCs w:val="21"/>
                <w:lang w:val="en-US" w:eastAsia="zh-CN"/>
              </w:rPr>
            </w:pPr>
          </w:p>
        </w:tc>
        <w:tc>
          <w:tcPr>
            <w:tcW w:w="1506" w:type="dxa"/>
            <w:vMerge w:val="continue"/>
            <w:tcBorders>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p>
        </w:tc>
        <w:tc>
          <w:tcPr>
            <w:tcW w:w="4147" w:type="dxa"/>
            <w:vMerge w:val="continue"/>
            <w:tcBorders>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p>
        </w:tc>
        <w:tc>
          <w:tcPr>
            <w:tcW w:w="643" w:type="dxa"/>
            <w:tcBorders>
              <w:top w:val="single" w:color="auto" w:sz="4" w:space="0"/>
              <w:bottom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一般　</w:t>
            </w:r>
          </w:p>
        </w:tc>
        <w:tc>
          <w:tcPr>
            <w:tcW w:w="2757" w:type="dxa"/>
            <w:tcBorders>
              <w:top w:val="single" w:color="auto" w:sz="4" w:space="0"/>
              <w:bottom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船长大于或者等于12米且小于24米</w:t>
            </w:r>
          </w:p>
        </w:tc>
        <w:tc>
          <w:tcPr>
            <w:tcW w:w="4526" w:type="dxa"/>
            <w:tcBorders>
              <w:top w:val="single" w:color="auto" w:sz="4" w:space="0"/>
              <w:bottom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责令立即停止违法行为</w:t>
            </w:r>
            <w:r>
              <w:rPr>
                <w:rFonts w:hint="eastAsia" w:ascii="仿宋_GB2312" w:hAnsi="仿宋_GB2312" w:eastAsia="仿宋_GB2312" w:cs="仿宋_GB2312"/>
                <w:color w:val="000000"/>
                <w:kern w:val="0"/>
                <w:sz w:val="21"/>
                <w:szCs w:val="21"/>
                <w:lang w:val="en-US" w:eastAsia="zh-CN"/>
              </w:rPr>
              <w:t>，</w:t>
            </w:r>
            <w:r>
              <w:rPr>
                <w:rFonts w:hint="default" w:ascii="仿宋_GB2312" w:hAnsi="仿宋_GB2312" w:eastAsia="仿宋_GB2312" w:cs="仿宋_GB2312"/>
                <w:color w:val="000000"/>
                <w:kern w:val="0"/>
                <w:sz w:val="21"/>
                <w:szCs w:val="21"/>
                <w:lang w:val="en-US" w:eastAsia="zh-CN"/>
              </w:rPr>
              <w:t>可以对渔业船舶所有人或者经营人处一万元以上二万元以下罚款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4" w:hRule="atLeast"/>
          <w:jc w:val="center"/>
        </w:trPr>
        <w:tc>
          <w:tcPr>
            <w:tcW w:w="421" w:type="dxa"/>
            <w:vMerge w:val="continue"/>
            <w:tcBorders>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eastAsia" w:ascii="仿宋_GB2312" w:hAnsi="仿宋_GB2312" w:eastAsia="仿宋_GB2312" w:cs="仿宋_GB2312"/>
                <w:color w:val="000000"/>
                <w:kern w:val="0"/>
                <w:sz w:val="21"/>
                <w:szCs w:val="21"/>
                <w:lang w:val="en-US" w:eastAsia="zh-CN"/>
              </w:rPr>
            </w:pPr>
          </w:p>
        </w:tc>
        <w:tc>
          <w:tcPr>
            <w:tcW w:w="1506" w:type="dxa"/>
            <w:vMerge w:val="continue"/>
            <w:tcBorders>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p>
        </w:tc>
        <w:tc>
          <w:tcPr>
            <w:tcW w:w="4147" w:type="dxa"/>
            <w:vMerge w:val="continue"/>
            <w:tcBorders>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p>
        </w:tc>
        <w:tc>
          <w:tcPr>
            <w:tcW w:w="643" w:type="dxa"/>
            <w:tcBorders>
              <w:top w:val="single" w:color="auto" w:sz="4" w:space="0"/>
              <w:bottom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严重</w:t>
            </w:r>
          </w:p>
        </w:tc>
        <w:tc>
          <w:tcPr>
            <w:tcW w:w="2757" w:type="dxa"/>
            <w:tcBorders>
              <w:top w:val="single" w:color="auto" w:sz="4" w:space="0"/>
              <w:bottom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船长大于或者等于24米的</w:t>
            </w:r>
          </w:p>
        </w:tc>
        <w:tc>
          <w:tcPr>
            <w:tcW w:w="4526" w:type="dxa"/>
            <w:tcBorders>
              <w:top w:val="single" w:color="auto" w:sz="4" w:space="0"/>
              <w:bottom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责令立即停止违法行为</w:t>
            </w:r>
            <w:r>
              <w:rPr>
                <w:rFonts w:hint="eastAsia" w:ascii="仿宋_GB2312" w:hAnsi="仿宋_GB2312" w:eastAsia="仿宋_GB2312" w:cs="仿宋_GB2312"/>
                <w:color w:val="000000"/>
                <w:kern w:val="0"/>
                <w:sz w:val="21"/>
                <w:szCs w:val="21"/>
                <w:lang w:val="en-US" w:eastAsia="zh-CN"/>
              </w:rPr>
              <w:t>，</w:t>
            </w:r>
            <w:r>
              <w:rPr>
                <w:rFonts w:hint="default" w:ascii="仿宋_GB2312" w:hAnsi="仿宋_GB2312" w:eastAsia="仿宋_GB2312" w:cs="仿宋_GB2312"/>
                <w:color w:val="000000"/>
                <w:kern w:val="0"/>
                <w:sz w:val="21"/>
                <w:szCs w:val="21"/>
                <w:lang w:val="en-US" w:eastAsia="zh-CN"/>
              </w:rPr>
              <w:t>可以对渔业船舶所有人或者经营人处二万元以上不超过三万元罚款</w:t>
            </w:r>
          </w:p>
        </w:tc>
      </w:tr>
    </w:tbl>
    <w:p>
      <w:pPr>
        <w:pStyle w:val="2"/>
        <w:rPr>
          <w:rFonts w:hint="default" w:eastAsia="宋体"/>
          <w:lang w:val="en-US" w:eastAsia="zh-CN"/>
        </w:rPr>
      </w:pPr>
    </w:p>
    <w:p>
      <w:pPr>
        <w:pStyle w:val="2"/>
        <w:rPr>
          <w:rFonts w:hint="default" w:eastAsia="宋体"/>
          <w:lang w:val="en-US" w:eastAsia="zh-CN"/>
        </w:rPr>
      </w:pPr>
    </w:p>
    <w:p>
      <w:pPr>
        <w:pStyle w:val="2"/>
        <w:rPr>
          <w:rFonts w:hint="default" w:eastAsia="宋体"/>
          <w:lang w:val="en-US" w:eastAsia="zh-CN"/>
        </w:rPr>
      </w:pPr>
    </w:p>
    <w:p>
      <w:pPr>
        <w:pStyle w:val="2"/>
        <w:rPr>
          <w:rFonts w:hint="default" w:eastAsia="宋体"/>
          <w:lang w:val="en-US" w:eastAsia="zh-CN"/>
        </w:rPr>
      </w:pPr>
    </w:p>
    <w:tbl>
      <w:tblPr>
        <w:tblStyle w:val="7"/>
        <w:tblW w:w="140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21"/>
        <w:gridCol w:w="1506"/>
        <w:gridCol w:w="4147"/>
        <w:gridCol w:w="643"/>
        <w:gridCol w:w="2757"/>
        <w:gridCol w:w="45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tblHeader/>
          <w:jc w:val="center"/>
        </w:trPr>
        <w:tc>
          <w:tcPr>
            <w:tcW w:w="421"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黑体" w:hAnsi="黑体" w:eastAsia="黑体" w:cs="黑体"/>
                <w:color w:val="000000"/>
                <w:sz w:val="24"/>
                <w:szCs w:val="24"/>
              </w:rPr>
            </w:pPr>
            <w:r>
              <w:rPr>
                <w:rFonts w:hint="eastAsia" w:ascii="黑体" w:hAnsi="黑体" w:eastAsia="黑体" w:cs="黑体"/>
                <w:color w:val="000000"/>
                <w:kern w:val="0"/>
                <w:sz w:val="24"/>
                <w:szCs w:val="24"/>
              </w:rPr>
              <w:t>序号</w:t>
            </w:r>
          </w:p>
        </w:tc>
        <w:tc>
          <w:tcPr>
            <w:tcW w:w="1506"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黑体" w:hAnsi="黑体" w:eastAsia="黑体" w:cs="黑体"/>
                <w:color w:val="000000"/>
                <w:sz w:val="24"/>
                <w:szCs w:val="24"/>
              </w:rPr>
            </w:pPr>
            <w:r>
              <w:rPr>
                <w:rFonts w:hint="eastAsia" w:ascii="黑体" w:hAnsi="黑体" w:eastAsia="黑体" w:cs="黑体"/>
                <w:color w:val="000000"/>
                <w:kern w:val="0"/>
                <w:sz w:val="24"/>
                <w:szCs w:val="24"/>
              </w:rPr>
              <w:t>违法行为</w:t>
            </w:r>
          </w:p>
        </w:tc>
        <w:tc>
          <w:tcPr>
            <w:tcW w:w="4147"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黑体" w:hAnsi="黑体" w:eastAsia="黑体" w:cs="黑体"/>
                <w:color w:val="000000"/>
                <w:sz w:val="24"/>
                <w:szCs w:val="24"/>
              </w:rPr>
            </w:pPr>
            <w:r>
              <w:rPr>
                <w:rFonts w:hint="eastAsia" w:ascii="黑体" w:hAnsi="黑体" w:eastAsia="黑体" w:cs="黑体"/>
                <w:color w:val="000000"/>
                <w:kern w:val="0"/>
                <w:sz w:val="24"/>
                <w:szCs w:val="24"/>
              </w:rPr>
              <w:t>处罚依据</w:t>
            </w:r>
          </w:p>
        </w:tc>
        <w:tc>
          <w:tcPr>
            <w:tcW w:w="643"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黑体" w:hAnsi="黑体" w:eastAsia="黑体" w:cs="黑体"/>
                <w:color w:val="000000"/>
                <w:sz w:val="24"/>
                <w:szCs w:val="24"/>
              </w:rPr>
            </w:pPr>
            <w:r>
              <w:rPr>
                <w:rFonts w:hint="eastAsia" w:ascii="黑体" w:hAnsi="黑体" w:eastAsia="黑体" w:cs="黑体"/>
                <w:color w:val="000000"/>
                <w:kern w:val="0"/>
                <w:sz w:val="24"/>
                <w:szCs w:val="24"/>
              </w:rPr>
              <w:t>违法程度</w:t>
            </w:r>
          </w:p>
        </w:tc>
        <w:tc>
          <w:tcPr>
            <w:tcW w:w="2757"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黑体" w:hAnsi="黑体" w:eastAsia="黑体" w:cs="黑体"/>
                <w:color w:val="000000"/>
                <w:sz w:val="24"/>
                <w:szCs w:val="24"/>
              </w:rPr>
            </w:pPr>
            <w:r>
              <w:rPr>
                <w:rFonts w:hint="eastAsia" w:ascii="黑体" w:hAnsi="黑体" w:eastAsia="黑体" w:cs="黑体"/>
                <w:color w:val="000000"/>
                <w:kern w:val="0"/>
                <w:sz w:val="24"/>
                <w:szCs w:val="24"/>
              </w:rPr>
              <w:t>违法情节</w:t>
            </w:r>
          </w:p>
        </w:tc>
        <w:tc>
          <w:tcPr>
            <w:tcW w:w="4526"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黑体" w:hAnsi="黑体" w:eastAsia="黑体" w:cs="黑体"/>
                <w:color w:val="000000"/>
                <w:sz w:val="24"/>
                <w:szCs w:val="24"/>
              </w:rPr>
            </w:pPr>
            <w:r>
              <w:rPr>
                <w:rFonts w:hint="eastAsia" w:ascii="黑体" w:hAnsi="黑体" w:eastAsia="黑体" w:cs="黑体"/>
                <w:color w:val="000000"/>
                <w:kern w:val="0"/>
                <w:sz w:val="24"/>
                <w:szCs w:val="24"/>
              </w:rPr>
              <w:t>裁量标准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8" w:hRule="atLeast"/>
          <w:jc w:val="center"/>
        </w:trPr>
        <w:tc>
          <w:tcPr>
            <w:tcW w:w="421" w:type="dxa"/>
            <w:vMerge w:val="restart"/>
            <w:tcBorders>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r>
              <w:rPr>
                <w:rFonts w:hint="eastAsia" w:ascii="仿宋_GB2312" w:hAnsi="仿宋_GB2312" w:eastAsia="仿宋_GB2312" w:cs="仿宋_GB2312"/>
                <w:color w:val="000000"/>
                <w:kern w:val="0"/>
                <w:sz w:val="21"/>
                <w:szCs w:val="21"/>
                <w:lang w:val="en-US" w:eastAsia="zh-CN"/>
              </w:rPr>
              <w:t>75</w:t>
            </w:r>
          </w:p>
        </w:tc>
        <w:tc>
          <w:tcPr>
            <w:tcW w:w="1506" w:type="dxa"/>
            <w:vMerge w:val="restart"/>
            <w:tcBorders>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超抗风等级作业或者未按照规定转移渔业船舶上的人员的</w:t>
            </w:r>
          </w:p>
        </w:tc>
        <w:tc>
          <w:tcPr>
            <w:tcW w:w="4147" w:type="dxa"/>
            <w:vMerge w:val="restart"/>
            <w:tcBorders>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eastAsia"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山东省渔业船舶管理办法》第三十三条，违反本办法第二十五、第二十六条、第二十七条规定，超抗风等级作业或者未按照规定转移渔业船舶上的人员的，由县级以上人民政府渔业主管部门责令立即停止违法行为，情节严重的，对渔业船舶所有人或者经营人处二千元以上一万元以下的罚款。</w:t>
            </w:r>
          </w:p>
        </w:tc>
        <w:tc>
          <w:tcPr>
            <w:tcW w:w="643" w:type="dxa"/>
            <w:vMerge w:val="restart"/>
            <w:tcBorders>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eastAsia"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严重</w:t>
            </w:r>
          </w:p>
        </w:tc>
        <w:tc>
          <w:tcPr>
            <w:tcW w:w="2757" w:type="dxa"/>
            <w:tcBorders>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eastAsia"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船长小于12米</w:t>
            </w:r>
          </w:p>
        </w:tc>
        <w:tc>
          <w:tcPr>
            <w:tcW w:w="4526" w:type="dxa"/>
            <w:tcBorders>
              <w:bottom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eastAsia"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责令立即停止违法行为</w:t>
            </w:r>
            <w:r>
              <w:rPr>
                <w:rFonts w:hint="eastAsia" w:ascii="仿宋_GB2312" w:hAnsi="仿宋_GB2312" w:eastAsia="仿宋_GB2312" w:cs="仿宋_GB2312"/>
                <w:color w:val="000000"/>
                <w:kern w:val="0"/>
                <w:sz w:val="21"/>
                <w:szCs w:val="21"/>
                <w:lang w:val="en-US" w:eastAsia="zh-CN"/>
              </w:rPr>
              <w:t>，</w:t>
            </w:r>
            <w:r>
              <w:rPr>
                <w:rFonts w:hint="default" w:ascii="仿宋_GB2312" w:hAnsi="仿宋_GB2312" w:eastAsia="仿宋_GB2312" w:cs="仿宋_GB2312"/>
                <w:color w:val="000000"/>
                <w:kern w:val="0"/>
                <w:sz w:val="21"/>
                <w:szCs w:val="21"/>
                <w:lang w:val="en-US" w:eastAsia="zh-CN"/>
              </w:rPr>
              <w:t>对渔业船舶所有人或者经营人处二千元以上四千以下罚款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6" w:hRule="atLeast"/>
          <w:jc w:val="center"/>
        </w:trPr>
        <w:tc>
          <w:tcPr>
            <w:tcW w:w="421" w:type="dxa"/>
            <w:vMerge w:val="continue"/>
            <w:tcBorders>
              <w:bottom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eastAsia" w:ascii="仿宋_GB2312" w:hAnsi="仿宋_GB2312" w:eastAsia="仿宋_GB2312" w:cs="仿宋_GB2312"/>
                <w:color w:val="000000"/>
                <w:kern w:val="0"/>
                <w:sz w:val="21"/>
                <w:szCs w:val="21"/>
                <w:lang w:val="en-US" w:eastAsia="zh-CN"/>
              </w:rPr>
            </w:pPr>
          </w:p>
        </w:tc>
        <w:tc>
          <w:tcPr>
            <w:tcW w:w="1506" w:type="dxa"/>
            <w:vMerge w:val="continue"/>
            <w:tcBorders>
              <w:bottom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p>
        </w:tc>
        <w:tc>
          <w:tcPr>
            <w:tcW w:w="4147" w:type="dxa"/>
            <w:vMerge w:val="continue"/>
            <w:tcBorders>
              <w:bottom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p>
        </w:tc>
        <w:tc>
          <w:tcPr>
            <w:tcW w:w="643" w:type="dxa"/>
            <w:vMerge w:val="continue"/>
            <w:tcBorders>
              <w:top w:val="single" w:color="auto" w:sz="4" w:space="0"/>
              <w:bottom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eastAsia" w:ascii="仿宋_GB2312" w:hAnsi="仿宋_GB2312" w:eastAsia="仿宋_GB2312" w:cs="仿宋_GB2312"/>
                <w:color w:val="000000"/>
                <w:kern w:val="0"/>
                <w:sz w:val="21"/>
                <w:szCs w:val="21"/>
                <w:lang w:val="en-US" w:eastAsia="zh-CN"/>
              </w:rPr>
            </w:pPr>
          </w:p>
        </w:tc>
        <w:tc>
          <w:tcPr>
            <w:tcW w:w="2757" w:type="dxa"/>
            <w:tcBorders>
              <w:top w:val="single" w:color="auto" w:sz="4" w:space="0"/>
              <w:bottom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eastAsia"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船长大于或者等于12米且小于24米</w:t>
            </w:r>
          </w:p>
        </w:tc>
        <w:tc>
          <w:tcPr>
            <w:tcW w:w="4526" w:type="dxa"/>
            <w:tcBorders>
              <w:top w:val="single" w:color="auto" w:sz="4" w:space="0"/>
              <w:bottom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eastAsia"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责令立即停止违法行为</w:t>
            </w:r>
            <w:r>
              <w:rPr>
                <w:rFonts w:hint="eastAsia" w:ascii="仿宋_GB2312" w:hAnsi="仿宋_GB2312" w:eastAsia="仿宋_GB2312" w:cs="仿宋_GB2312"/>
                <w:color w:val="000000"/>
                <w:kern w:val="0"/>
                <w:sz w:val="21"/>
                <w:szCs w:val="21"/>
                <w:lang w:val="en-US" w:eastAsia="zh-CN"/>
              </w:rPr>
              <w:t>，</w:t>
            </w:r>
            <w:r>
              <w:rPr>
                <w:rFonts w:hint="default" w:ascii="仿宋_GB2312" w:hAnsi="仿宋_GB2312" w:eastAsia="仿宋_GB2312" w:cs="仿宋_GB2312"/>
                <w:color w:val="000000"/>
                <w:kern w:val="0"/>
                <w:sz w:val="21"/>
                <w:szCs w:val="21"/>
                <w:lang w:val="en-US" w:eastAsia="zh-CN"/>
              </w:rPr>
              <w:t>对渔业船舶所有人或者经营人处四千元以上七千以下罚款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7" w:hRule="atLeast"/>
          <w:jc w:val="center"/>
        </w:trPr>
        <w:tc>
          <w:tcPr>
            <w:tcW w:w="421" w:type="dxa"/>
            <w:vMerge w:val="continue"/>
            <w:tcBorders>
              <w:bottom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eastAsia" w:ascii="仿宋_GB2312" w:hAnsi="仿宋_GB2312" w:eastAsia="仿宋_GB2312" w:cs="仿宋_GB2312"/>
                <w:color w:val="000000"/>
                <w:kern w:val="0"/>
                <w:sz w:val="21"/>
                <w:szCs w:val="21"/>
                <w:lang w:val="en-US" w:eastAsia="zh-CN"/>
              </w:rPr>
            </w:pPr>
          </w:p>
        </w:tc>
        <w:tc>
          <w:tcPr>
            <w:tcW w:w="1506" w:type="dxa"/>
            <w:vMerge w:val="continue"/>
            <w:tcBorders>
              <w:bottom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p>
        </w:tc>
        <w:tc>
          <w:tcPr>
            <w:tcW w:w="4147" w:type="dxa"/>
            <w:vMerge w:val="continue"/>
            <w:tcBorders>
              <w:bottom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p>
        </w:tc>
        <w:tc>
          <w:tcPr>
            <w:tcW w:w="643" w:type="dxa"/>
            <w:tcBorders>
              <w:top w:val="single" w:color="auto" w:sz="4" w:space="0"/>
              <w:bottom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特别</w:t>
            </w:r>
          </w:p>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eastAsia"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严重</w:t>
            </w:r>
          </w:p>
        </w:tc>
        <w:tc>
          <w:tcPr>
            <w:tcW w:w="2757" w:type="dxa"/>
            <w:tcBorders>
              <w:top w:val="single" w:color="auto" w:sz="4" w:space="0"/>
              <w:bottom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eastAsia"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船长大于或者等于24米的</w:t>
            </w:r>
          </w:p>
        </w:tc>
        <w:tc>
          <w:tcPr>
            <w:tcW w:w="4526" w:type="dxa"/>
            <w:tcBorders>
              <w:top w:val="single" w:color="auto" w:sz="4" w:space="0"/>
              <w:bottom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eastAsia"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责令立即停止违法行为</w:t>
            </w:r>
            <w:r>
              <w:rPr>
                <w:rFonts w:hint="eastAsia" w:ascii="仿宋_GB2312" w:hAnsi="仿宋_GB2312" w:eastAsia="仿宋_GB2312" w:cs="仿宋_GB2312"/>
                <w:color w:val="000000"/>
                <w:kern w:val="0"/>
                <w:sz w:val="21"/>
                <w:szCs w:val="21"/>
                <w:lang w:val="en-US" w:eastAsia="zh-CN"/>
              </w:rPr>
              <w:t>，</w:t>
            </w:r>
            <w:r>
              <w:rPr>
                <w:rFonts w:hint="default" w:ascii="仿宋_GB2312" w:hAnsi="仿宋_GB2312" w:eastAsia="仿宋_GB2312" w:cs="仿宋_GB2312"/>
                <w:color w:val="000000"/>
                <w:kern w:val="0"/>
                <w:sz w:val="21"/>
                <w:szCs w:val="21"/>
                <w:lang w:val="en-US" w:eastAsia="zh-CN"/>
              </w:rPr>
              <w:t>对渔业船舶所有人或者经营人处七千元以上不超过一万元罚款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jc w:val="center"/>
        </w:trPr>
        <w:tc>
          <w:tcPr>
            <w:tcW w:w="421" w:type="dxa"/>
            <w:vMerge w:val="restart"/>
            <w:tcBorders>
              <w:top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r>
              <w:rPr>
                <w:rFonts w:hint="eastAsia" w:ascii="仿宋_GB2312" w:hAnsi="仿宋_GB2312" w:eastAsia="仿宋_GB2312" w:cs="仿宋_GB2312"/>
                <w:color w:val="000000"/>
                <w:kern w:val="0"/>
                <w:sz w:val="21"/>
                <w:szCs w:val="21"/>
                <w:lang w:val="en-US" w:eastAsia="zh-CN"/>
              </w:rPr>
              <w:t>76</w:t>
            </w:r>
          </w:p>
        </w:tc>
        <w:tc>
          <w:tcPr>
            <w:tcW w:w="1506" w:type="dxa"/>
            <w:vMerge w:val="restart"/>
            <w:tcBorders>
              <w:top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渔业船舶证书不齐全、渔业船员配备不符合标准的</w:t>
            </w:r>
          </w:p>
        </w:tc>
        <w:tc>
          <w:tcPr>
            <w:tcW w:w="4147" w:type="dxa"/>
            <w:vMerge w:val="restart"/>
            <w:tcBorders>
              <w:top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山东省渔业船舶管理办法》第三十四条第（一）项，违反本办法规定，有下列行为之一的，由县级以上人民政府渔业主管部门责令限期改正，逾期不改正的，对船舶所有人或者经营人处五百元以上五千元以下的罚款：</w:t>
            </w:r>
            <w:r>
              <w:rPr>
                <w:rFonts w:hint="default" w:ascii="仿宋_GB2312" w:hAnsi="仿宋_GB2312" w:eastAsia="仿宋_GB2312" w:cs="仿宋_GB2312"/>
                <w:color w:val="000000"/>
                <w:kern w:val="0"/>
                <w:sz w:val="21"/>
                <w:szCs w:val="21"/>
                <w:lang w:val="en-US" w:eastAsia="zh-CN"/>
              </w:rPr>
              <w:br w:type="textWrapping"/>
            </w:r>
            <w:r>
              <w:rPr>
                <w:rFonts w:hint="default" w:ascii="仿宋_GB2312" w:hAnsi="仿宋_GB2312" w:eastAsia="仿宋_GB2312" w:cs="仿宋_GB2312"/>
                <w:color w:val="000000"/>
                <w:kern w:val="0"/>
                <w:sz w:val="21"/>
                <w:szCs w:val="21"/>
                <w:lang w:val="en-US" w:eastAsia="zh-CN"/>
              </w:rPr>
              <w:t xml:space="preserve">    (一)渔业船舶证书不齐全、渔业船员配备不符合标准或者涂改、伪造、冒用、出借渔业船舶证书或者渔业船员证书的。</w:t>
            </w:r>
          </w:p>
        </w:tc>
        <w:tc>
          <w:tcPr>
            <w:tcW w:w="643" w:type="dxa"/>
            <w:tcBorders>
              <w:top w:val="single" w:color="auto" w:sz="4" w:space="0"/>
              <w:bottom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eastAsia"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轻微</w:t>
            </w:r>
          </w:p>
        </w:tc>
        <w:tc>
          <w:tcPr>
            <w:tcW w:w="2757" w:type="dxa"/>
            <w:tcBorders>
              <w:top w:val="single" w:color="auto" w:sz="4" w:space="0"/>
              <w:bottom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eastAsia"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在限期内改正的</w:t>
            </w:r>
          </w:p>
        </w:tc>
        <w:tc>
          <w:tcPr>
            <w:tcW w:w="4526" w:type="dxa"/>
            <w:tcBorders>
              <w:top w:val="single" w:color="auto" w:sz="4" w:space="0"/>
              <w:bottom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eastAsia"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责令限期改正</w:t>
            </w:r>
            <w:r>
              <w:rPr>
                <w:rFonts w:hint="eastAsia" w:ascii="仿宋_GB2312" w:hAnsi="仿宋_GB2312" w:eastAsia="仿宋_GB2312" w:cs="仿宋_GB2312"/>
                <w:color w:val="000000"/>
                <w:kern w:val="0"/>
                <w:sz w:val="21"/>
                <w:szCs w:val="21"/>
                <w:lang w:val="en-US" w:eastAsia="zh-CN"/>
              </w:rPr>
              <w:t>，</w:t>
            </w:r>
            <w:r>
              <w:rPr>
                <w:rFonts w:hint="default" w:ascii="仿宋_GB2312" w:hAnsi="仿宋_GB2312" w:eastAsia="仿宋_GB2312" w:cs="仿宋_GB2312"/>
                <w:color w:val="000000"/>
                <w:kern w:val="0"/>
                <w:sz w:val="21"/>
                <w:szCs w:val="21"/>
                <w:lang w:val="en-US" w:eastAsia="zh-CN"/>
              </w:rPr>
              <w:t>不予行政处罚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4" w:hRule="atLeast"/>
          <w:jc w:val="center"/>
        </w:trPr>
        <w:tc>
          <w:tcPr>
            <w:tcW w:w="421" w:type="dxa"/>
            <w:vMerge w:val="continue"/>
            <w:tcBorders>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p>
        </w:tc>
        <w:tc>
          <w:tcPr>
            <w:tcW w:w="1506" w:type="dxa"/>
            <w:vMerge w:val="continue"/>
            <w:tcBorders>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p>
        </w:tc>
        <w:tc>
          <w:tcPr>
            <w:tcW w:w="4147" w:type="dxa"/>
            <w:vMerge w:val="continue"/>
            <w:tcBorders>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p>
        </w:tc>
        <w:tc>
          <w:tcPr>
            <w:tcW w:w="643" w:type="dxa"/>
            <w:tcBorders>
              <w:top w:val="single" w:color="auto" w:sz="4" w:space="0"/>
              <w:bottom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eastAsia"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较轻</w:t>
            </w:r>
          </w:p>
        </w:tc>
        <w:tc>
          <w:tcPr>
            <w:tcW w:w="2757" w:type="dxa"/>
            <w:tcBorders>
              <w:top w:val="single" w:color="auto" w:sz="4" w:space="0"/>
              <w:bottom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eastAsia"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渔业船舶证书有效但不齐全、渔业船员配备不符合标准的</w:t>
            </w:r>
          </w:p>
        </w:tc>
        <w:tc>
          <w:tcPr>
            <w:tcW w:w="4526" w:type="dxa"/>
            <w:tcBorders>
              <w:top w:val="single" w:color="auto" w:sz="4" w:space="0"/>
              <w:bottom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eastAsia"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责令限期改正</w:t>
            </w:r>
            <w:r>
              <w:rPr>
                <w:rFonts w:hint="eastAsia" w:ascii="仿宋_GB2312" w:hAnsi="仿宋_GB2312" w:eastAsia="仿宋_GB2312" w:cs="仿宋_GB2312"/>
                <w:color w:val="000000"/>
                <w:kern w:val="0"/>
                <w:sz w:val="21"/>
                <w:szCs w:val="21"/>
                <w:lang w:val="en-US" w:eastAsia="zh-CN"/>
              </w:rPr>
              <w:t>，</w:t>
            </w:r>
            <w:r>
              <w:rPr>
                <w:rFonts w:hint="default" w:ascii="仿宋_GB2312" w:hAnsi="仿宋_GB2312" w:eastAsia="仿宋_GB2312" w:cs="仿宋_GB2312"/>
                <w:color w:val="000000"/>
                <w:kern w:val="0"/>
                <w:sz w:val="21"/>
                <w:szCs w:val="21"/>
                <w:lang w:val="en-US" w:eastAsia="zh-CN"/>
              </w:rPr>
              <w:t>逾期不改正的，对船舶所有人或者经营人处五百元以上一千五百元以下罚款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3" w:hRule="atLeast"/>
          <w:jc w:val="center"/>
        </w:trPr>
        <w:tc>
          <w:tcPr>
            <w:tcW w:w="421" w:type="dxa"/>
            <w:vMerge w:val="continue"/>
            <w:tcBorders>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p>
        </w:tc>
        <w:tc>
          <w:tcPr>
            <w:tcW w:w="1506" w:type="dxa"/>
            <w:vMerge w:val="continue"/>
            <w:tcBorders>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p>
        </w:tc>
        <w:tc>
          <w:tcPr>
            <w:tcW w:w="4147" w:type="dxa"/>
            <w:vMerge w:val="continue"/>
            <w:tcBorders>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p>
        </w:tc>
        <w:tc>
          <w:tcPr>
            <w:tcW w:w="643" w:type="dxa"/>
            <w:tcBorders>
              <w:top w:val="single" w:color="auto" w:sz="4" w:space="0"/>
              <w:bottom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eastAsia"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一般　</w:t>
            </w:r>
          </w:p>
        </w:tc>
        <w:tc>
          <w:tcPr>
            <w:tcW w:w="2757" w:type="dxa"/>
            <w:tcBorders>
              <w:top w:val="single" w:color="auto" w:sz="4" w:space="0"/>
              <w:bottom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eastAsia"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渔业船舶证书不齐全、渔业船员配备不符合标准或者涂改、出借渔业船舶证书的</w:t>
            </w:r>
          </w:p>
        </w:tc>
        <w:tc>
          <w:tcPr>
            <w:tcW w:w="4526" w:type="dxa"/>
            <w:tcBorders>
              <w:top w:val="single" w:color="auto" w:sz="4" w:space="0"/>
              <w:bottom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eastAsia"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责令限期改正</w:t>
            </w:r>
            <w:r>
              <w:rPr>
                <w:rFonts w:hint="eastAsia" w:ascii="仿宋_GB2312" w:hAnsi="仿宋_GB2312" w:eastAsia="仿宋_GB2312" w:cs="仿宋_GB2312"/>
                <w:color w:val="000000"/>
                <w:kern w:val="0"/>
                <w:sz w:val="21"/>
                <w:szCs w:val="21"/>
                <w:lang w:val="en-US" w:eastAsia="zh-CN"/>
              </w:rPr>
              <w:t>，</w:t>
            </w:r>
            <w:r>
              <w:rPr>
                <w:rFonts w:hint="default" w:ascii="仿宋_GB2312" w:hAnsi="仿宋_GB2312" w:eastAsia="仿宋_GB2312" w:cs="仿宋_GB2312"/>
                <w:color w:val="000000"/>
                <w:kern w:val="0"/>
                <w:sz w:val="21"/>
                <w:szCs w:val="21"/>
                <w:lang w:val="en-US" w:eastAsia="zh-CN"/>
              </w:rPr>
              <w:t>逾期不改正的，对船舶所有人或者经营人处一千五百元以上三千五百元以下罚款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9" w:hRule="atLeast"/>
          <w:jc w:val="center"/>
        </w:trPr>
        <w:tc>
          <w:tcPr>
            <w:tcW w:w="421" w:type="dxa"/>
            <w:vMerge w:val="continue"/>
            <w:tcBorders>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p>
        </w:tc>
        <w:tc>
          <w:tcPr>
            <w:tcW w:w="1506" w:type="dxa"/>
            <w:vMerge w:val="continue"/>
            <w:tcBorders>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p>
        </w:tc>
        <w:tc>
          <w:tcPr>
            <w:tcW w:w="4147" w:type="dxa"/>
            <w:vMerge w:val="continue"/>
            <w:tcBorders>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p>
        </w:tc>
        <w:tc>
          <w:tcPr>
            <w:tcW w:w="643" w:type="dxa"/>
            <w:tcBorders>
              <w:top w:val="single" w:color="auto" w:sz="4" w:space="0"/>
              <w:bottom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eastAsia"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严重</w:t>
            </w:r>
          </w:p>
        </w:tc>
        <w:tc>
          <w:tcPr>
            <w:tcW w:w="2757" w:type="dxa"/>
            <w:tcBorders>
              <w:top w:val="single" w:color="auto" w:sz="4" w:space="0"/>
              <w:bottom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eastAsia"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渔业船舶证书不齐全、渔业船员配备不符合标准或者伪造、冒用渔业船舶证书</w:t>
            </w:r>
          </w:p>
        </w:tc>
        <w:tc>
          <w:tcPr>
            <w:tcW w:w="4526" w:type="dxa"/>
            <w:tcBorders>
              <w:top w:val="single" w:color="auto" w:sz="4" w:space="0"/>
              <w:bottom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eastAsia"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责令限期改正</w:t>
            </w:r>
            <w:r>
              <w:rPr>
                <w:rFonts w:hint="eastAsia" w:ascii="仿宋_GB2312" w:hAnsi="仿宋_GB2312" w:eastAsia="仿宋_GB2312" w:cs="仿宋_GB2312"/>
                <w:color w:val="000000"/>
                <w:kern w:val="0"/>
                <w:sz w:val="21"/>
                <w:szCs w:val="21"/>
                <w:lang w:val="en-US" w:eastAsia="zh-CN"/>
              </w:rPr>
              <w:t>，</w:t>
            </w:r>
            <w:r>
              <w:rPr>
                <w:rFonts w:hint="default" w:ascii="仿宋_GB2312" w:hAnsi="仿宋_GB2312" w:eastAsia="仿宋_GB2312" w:cs="仿宋_GB2312"/>
                <w:color w:val="000000"/>
                <w:kern w:val="0"/>
                <w:sz w:val="21"/>
                <w:szCs w:val="21"/>
                <w:lang w:val="en-US" w:eastAsia="zh-CN"/>
              </w:rPr>
              <w:t>逾期不改正的，对船舶所有人或者经营人处三千五百元以上不超过五千元罚款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6" w:hRule="atLeast"/>
          <w:jc w:val="center"/>
        </w:trPr>
        <w:tc>
          <w:tcPr>
            <w:tcW w:w="421" w:type="dxa"/>
            <w:vMerge w:val="restart"/>
            <w:tcBorders>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r>
              <w:rPr>
                <w:rFonts w:hint="eastAsia" w:ascii="仿宋_GB2312" w:hAnsi="仿宋_GB2312" w:eastAsia="仿宋_GB2312" w:cs="仿宋_GB2312"/>
                <w:color w:val="000000"/>
                <w:kern w:val="0"/>
                <w:sz w:val="21"/>
                <w:szCs w:val="21"/>
                <w:lang w:val="en-US" w:eastAsia="zh-CN"/>
              </w:rPr>
              <w:t>77</w:t>
            </w:r>
          </w:p>
        </w:tc>
        <w:tc>
          <w:tcPr>
            <w:tcW w:w="1506" w:type="dxa"/>
            <w:vMerge w:val="restart"/>
            <w:tcBorders>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消防、救生、通讯等法定安全设备配备不齐或者失效的</w:t>
            </w:r>
          </w:p>
        </w:tc>
        <w:tc>
          <w:tcPr>
            <w:tcW w:w="4147" w:type="dxa"/>
            <w:vMerge w:val="restart"/>
            <w:tcBorders>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山东省渔业船舶管理办法》第三十四条第（二）项，违反本办法规定，有下列行为之一的，由县级以上人民政府渔业主管部门责令限期改正，逾期不改正的，对船舶所有人或者经营人处五百元以上五千元以下的罚款：</w:t>
            </w:r>
            <w:r>
              <w:rPr>
                <w:rFonts w:hint="default" w:ascii="仿宋_GB2312" w:hAnsi="仿宋_GB2312" w:eastAsia="仿宋_GB2312" w:cs="仿宋_GB2312"/>
                <w:color w:val="000000"/>
                <w:kern w:val="0"/>
                <w:sz w:val="21"/>
                <w:szCs w:val="21"/>
                <w:lang w:val="en-US" w:eastAsia="zh-CN"/>
              </w:rPr>
              <w:br w:type="textWrapping"/>
            </w:r>
            <w:r>
              <w:rPr>
                <w:rFonts w:hint="default" w:ascii="仿宋_GB2312" w:hAnsi="仿宋_GB2312" w:eastAsia="仿宋_GB2312" w:cs="仿宋_GB2312"/>
                <w:color w:val="000000"/>
                <w:kern w:val="0"/>
                <w:sz w:val="21"/>
                <w:szCs w:val="21"/>
                <w:lang w:val="en-US" w:eastAsia="zh-CN"/>
              </w:rPr>
              <w:t xml:space="preserve">    (二)消防、救生、通讯等法定安全设备配备不齐或者失效的。</w:t>
            </w:r>
          </w:p>
        </w:tc>
        <w:tc>
          <w:tcPr>
            <w:tcW w:w="643" w:type="dxa"/>
            <w:tcBorders>
              <w:top w:val="single" w:color="auto" w:sz="4" w:space="0"/>
              <w:bottom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较轻</w:t>
            </w:r>
          </w:p>
        </w:tc>
        <w:tc>
          <w:tcPr>
            <w:tcW w:w="2757" w:type="dxa"/>
            <w:tcBorders>
              <w:top w:val="single" w:color="auto" w:sz="4" w:space="0"/>
              <w:bottom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消防、通讯等法定安全设备配备不齐的</w:t>
            </w:r>
          </w:p>
        </w:tc>
        <w:tc>
          <w:tcPr>
            <w:tcW w:w="4526" w:type="dxa"/>
            <w:tcBorders>
              <w:top w:val="single" w:color="auto" w:sz="4" w:space="0"/>
              <w:bottom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责令限期改正</w:t>
            </w:r>
            <w:r>
              <w:rPr>
                <w:rFonts w:hint="eastAsia" w:ascii="仿宋_GB2312" w:hAnsi="仿宋_GB2312" w:eastAsia="仿宋_GB2312" w:cs="仿宋_GB2312"/>
                <w:color w:val="000000"/>
                <w:kern w:val="0"/>
                <w:sz w:val="21"/>
                <w:szCs w:val="21"/>
                <w:lang w:val="en-US" w:eastAsia="zh-CN"/>
              </w:rPr>
              <w:t>，</w:t>
            </w:r>
            <w:r>
              <w:rPr>
                <w:rFonts w:hint="default" w:ascii="仿宋_GB2312" w:hAnsi="仿宋_GB2312" w:eastAsia="仿宋_GB2312" w:cs="仿宋_GB2312"/>
                <w:color w:val="000000"/>
                <w:kern w:val="0"/>
                <w:sz w:val="21"/>
                <w:szCs w:val="21"/>
                <w:lang w:val="en-US" w:eastAsia="zh-CN"/>
              </w:rPr>
              <w:t>逾期不改正的，对船舶所有人或者经营人处五百元以上一千五百元以下罚款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9" w:hRule="atLeast"/>
          <w:jc w:val="center"/>
        </w:trPr>
        <w:tc>
          <w:tcPr>
            <w:tcW w:w="421" w:type="dxa"/>
            <w:vMerge w:val="continue"/>
            <w:tcBorders>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eastAsia" w:ascii="仿宋_GB2312" w:hAnsi="仿宋_GB2312" w:eastAsia="仿宋_GB2312" w:cs="仿宋_GB2312"/>
                <w:color w:val="000000"/>
                <w:kern w:val="0"/>
                <w:sz w:val="21"/>
                <w:szCs w:val="21"/>
                <w:lang w:val="en-US" w:eastAsia="zh-CN"/>
              </w:rPr>
            </w:pPr>
          </w:p>
        </w:tc>
        <w:tc>
          <w:tcPr>
            <w:tcW w:w="1506" w:type="dxa"/>
            <w:vMerge w:val="continue"/>
            <w:tcBorders>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p>
        </w:tc>
        <w:tc>
          <w:tcPr>
            <w:tcW w:w="4147" w:type="dxa"/>
            <w:vMerge w:val="continue"/>
            <w:tcBorders>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p>
        </w:tc>
        <w:tc>
          <w:tcPr>
            <w:tcW w:w="643" w:type="dxa"/>
            <w:tcBorders>
              <w:top w:val="single" w:color="auto" w:sz="4" w:space="0"/>
              <w:bottom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一般　</w:t>
            </w:r>
          </w:p>
        </w:tc>
        <w:tc>
          <w:tcPr>
            <w:tcW w:w="2757" w:type="dxa"/>
            <w:tcBorders>
              <w:top w:val="single" w:color="auto" w:sz="4" w:space="0"/>
              <w:bottom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消防、救生、通讯等法定安全设备配备不齐或者失效的</w:t>
            </w:r>
          </w:p>
        </w:tc>
        <w:tc>
          <w:tcPr>
            <w:tcW w:w="4526" w:type="dxa"/>
            <w:tcBorders>
              <w:top w:val="single" w:color="auto" w:sz="4" w:space="0"/>
              <w:bottom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责令限期改正</w:t>
            </w:r>
            <w:r>
              <w:rPr>
                <w:rFonts w:hint="eastAsia" w:ascii="仿宋_GB2312" w:hAnsi="仿宋_GB2312" w:eastAsia="仿宋_GB2312" w:cs="仿宋_GB2312"/>
                <w:color w:val="000000"/>
                <w:kern w:val="0"/>
                <w:sz w:val="21"/>
                <w:szCs w:val="21"/>
                <w:lang w:val="en-US" w:eastAsia="zh-CN"/>
              </w:rPr>
              <w:t>，</w:t>
            </w:r>
            <w:r>
              <w:rPr>
                <w:rFonts w:hint="default" w:ascii="仿宋_GB2312" w:hAnsi="仿宋_GB2312" w:eastAsia="仿宋_GB2312" w:cs="仿宋_GB2312"/>
                <w:color w:val="000000"/>
                <w:kern w:val="0"/>
                <w:sz w:val="21"/>
                <w:szCs w:val="21"/>
                <w:lang w:val="en-US" w:eastAsia="zh-CN"/>
              </w:rPr>
              <w:t>逾期不改正的，对船舶所有人或者经营人处一千五百元以上三千五百元以下罚款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4" w:hRule="atLeast"/>
          <w:jc w:val="center"/>
        </w:trPr>
        <w:tc>
          <w:tcPr>
            <w:tcW w:w="421" w:type="dxa"/>
            <w:vMerge w:val="continue"/>
            <w:tcBorders>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eastAsia" w:ascii="仿宋_GB2312" w:hAnsi="仿宋_GB2312" w:eastAsia="仿宋_GB2312" w:cs="仿宋_GB2312"/>
                <w:color w:val="000000"/>
                <w:kern w:val="0"/>
                <w:sz w:val="21"/>
                <w:szCs w:val="21"/>
                <w:lang w:val="en-US" w:eastAsia="zh-CN"/>
              </w:rPr>
            </w:pPr>
          </w:p>
        </w:tc>
        <w:tc>
          <w:tcPr>
            <w:tcW w:w="1506" w:type="dxa"/>
            <w:vMerge w:val="continue"/>
            <w:tcBorders>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p>
        </w:tc>
        <w:tc>
          <w:tcPr>
            <w:tcW w:w="4147" w:type="dxa"/>
            <w:vMerge w:val="continue"/>
            <w:tcBorders>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p>
        </w:tc>
        <w:tc>
          <w:tcPr>
            <w:tcW w:w="643" w:type="dxa"/>
            <w:tcBorders>
              <w:top w:val="single" w:color="auto" w:sz="4" w:space="0"/>
              <w:bottom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严重</w:t>
            </w:r>
          </w:p>
        </w:tc>
        <w:tc>
          <w:tcPr>
            <w:tcW w:w="2757" w:type="dxa"/>
            <w:tcBorders>
              <w:top w:val="single" w:color="auto" w:sz="4" w:space="0"/>
              <w:bottom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未配备消防、救生、通讯等法定安全设备的</w:t>
            </w:r>
          </w:p>
        </w:tc>
        <w:tc>
          <w:tcPr>
            <w:tcW w:w="4526" w:type="dxa"/>
            <w:tcBorders>
              <w:top w:val="single" w:color="auto" w:sz="4" w:space="0"/>
              <w:bottom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责令限期改正</w:t>
            </w:r>
            <w:r>
              <w:rPr>
                <w:rFonts w:hint="eastAsia" w:ascii="仿宋_GB2312" w:hAnsi="仿宋_GB2312" w:eastAsia="仿宋_GB2312" w:cs="仿宋_GB2312"/>
                <w:color w:val="000000"/>
                <w:kern w:val="0"/>
                <w:sz w:val="21"/>
                <w:szCs w:val="21"/>
                <w:lang w:val="en-US" w:eastAsia="zh-CN"/>
              </w:rPr>
              <w:t>，</w:t>
            </w:r>
            <w:r>
              <w:rPr>
                <w:rFonts w:hint="default" w:ascii="仿宋_GB2312" w:hAnsi="仿宋_GB2312" w:eastAsia="仿宋_GB2312" w:cs="仿宋_GB2312"/>
                <w:color w:val="000000"/>
                <w:kern w:val="0"/>
                <w:sz w:val="21"/>
                <w:szCs w:val="21"/>
                <w:lang w:val="en-US" w:eastAsia="zh-CN"/>
              </w:rPr>
              <w:t>逾期不改正的，对船舶所有人或者经营人处三千五百元以上不超过五千元罚款</w:t>
            </w:r>
          </w:p>
        </w:tc>
      </w:tr>
    </w:tbl>
    <w:p>
      <w:pPr>
        <w:pStyle w:val="2"/>
        <w:rPr>
          <w:rFonts w:hint="default" w:eastAsia="宋体"/>
          <w:lang w:val="en-US" w:eastAsia="zh-CN"/>
        </w:rPr>
      </w:pPr>
    </w:p>
    <w:tbl>
      <w:tblPr>
        <w:tblStyle w:val="7"/>
        <w:tblW w:w="140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21"/>
        <w:gridCol w:w="1506"/>
        <w:gridCol w:w="4147"/>
        <w:gridCol w:w="643"/>
        <w:gridCol w:w="2757"/>
        <w:gridCol w:w="45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tblHeader/>
          <w:jc w:val="center"/>
        </w:trPr>
        <w:tc>
          <w:tcPr>
            <w:tcW w:w="421"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黑体" w:hAnsi="黑体" w:eastAsia="黑体" w:cs="黑体"/>
                <w:color w:val="000000"/>
                <w:sz w:val="24"/>
                <w:szCs w:val="24"/>
              </w:rPr>
            </w:pPr>
            <w:r>
              <w:rPr>
                <w:rFonts w:hint="eastAsia" w:ascii="黑体" w:hAnsi="黑体" w:eastAsia="黑体" w:cs="黑体"/>
                <w:color w:val="000000"/>
                <w:kern w:val="0"/>
                <w:sz w:val="24"/>
                <w:szCs w:val="24"/>
              </w:rPr>
              <w:t>序号</w:t>
            </w:r>
          </w:p>
        </w:tc>
        <w:tc>
          <w:tcPr>
            <w:tcW w:w="1506"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黑体" w:hAnsi="黑体" w:eastAsia="黑体" w:cs="黑体"/>
                <w:color w:val="000000"/>
                <w:sz w:val="24"/>
                <w:szCs w:val="24"/>
              </w:rPr>
            </w:pPr>
            <w:r>
              <w:rPr>
                <w:rFonts w:hint="eastAsia" w:ascii="黑体" w:hAnsi="黑体" w:eastAsia="黑体" w:cs="黑体"/>
                <w:color w:val="000000"/>
                <w:kern w:val="0"/>
                <w:sz w:val="24"/>
                <w:szCs w:val="24"/>
              </w:rPr>
              <w:t>违法行为</w:t>
            </w:r>
          </w:p>
        </w:tc>
        <w:tc>
          <w:tcPr>
            <w:tcW w:w="4147"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黑体" w:hAnsi="黑体" w:eastAsia="黑体" w:cs="黑体"/>
                <w:color w:val="000000"/>
                <w:sz w:val="24"/>
                <w:szCs w:val="24"/>
              </w:rPr>
            </w:pPr>
            <w:r>
              <w:rPr>
                <w:rFonts w:hint="eastAsia" w:ascii="黑体" w:hAnsi="黑体" w:eastAsia="黑体" w:cs="黑体"/>
                <w:color w:val="000000"/>
                <w:kern w:val="0"/>
                <w:sz w:val="24"/>
                <w:szCs w:val="24"/>
              </w:rPr>
              <w:t>处罚依据</w:t>
            </w:r>
          </w:p>
        </w:tc>
        <w:tc>
          <w:tcPr>
            <w:tcW w:w="643"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黑体" w:hAnsi="黑体" w:eastAsia="黑体" w:cs="黑体"/>
                <w:color w:val="000000"/>
                <w:sz w:val="24"/>
                <w:szCs w:val="24"/>
              </w:rPr>
            </w:pPr>
            <w:r>
              <w:rPr>
                <w:rFonts w:hint="eastAsia" w:ascii="黑体" w:hAnsi="黑体" w:eastAsia="黑体" w:cs="黑体"/>
                <w:color w:val="000000"/>
                <w:kern w:val="0"/>
                <w:sz w:val="24"/>
                <w:szCs w:val="24"/>
              </w:rPr>
              <w:t>违法程度</w:t>
            </w:r>
          </w:p>
        </w:tc>
        <w:tc>
          <w:tcPr>
            <w:tcW w:w="2757"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黑体" w:hAnsi="黑体" w:eastAsia="黑体" w:cs="黑体"/>
                <w:color w:val="000000"/>
                <w:sz w:val="24"/>
                <w:szCs w:val="24"/>
              </w:rPr>
            </w:pPr>
            <w:r>
              <w:rPr>
                <w:rFonts w:hint="eastAsia" w:ascii="黑体" w:hAnsi="黑体" w:eastAsia="黑体" w:cs="黑体"/>
                <w:color w:val="000000"/>
                <w:kern w:val="0"/>
                <w:sz w:val="24"/>
                <w:szCs w:val="24"/>
              </w:rPr>
              <w:t>违法情节</w:t>
            </w:r>
          </w:p>
        </w:tc>
        <w:tc>
          <w:tcPr>
            <w:tcW w:w="4526" w:type="dxa"/>
            <w:tcBorders>
              <w:tl2br w:val="nil"/>
              <w:tr2bl w:val="nil"/>
            </w:tcBorders>
            <w:tcMar>
              <w:top w:w="57" w:type="dxa"/>
              <w:left w:w="57" w:type="dxa"/>
              <w:bottom w:w="57" w:type="dxa"/>
              <w:right w:w="57" w:type="dxa"/>
            </w:tcMar>
            <w:vAlign w:val="center"/>
          </w:tcPr>
          <w:p>
            <w:pPr>
              <w:widowControl/>
              <w:adjustRightInd w:val="0"/>
              <w:snapToGrid w:val="0"/>
              <w:jc w:val="center"/>
              <w:textAlignment w:val="center"/>
              <w:rPr>
                <w:rFonts w:ascii="黑体" w:hAnsi="黑体" w:eastAsia="黑体" w:cs="黑体"/>
                <w:color w:val="000000"/>
                <w:sz w:val="24"/>
                <w:szCs w:val="24"/>
              </w:rPr>
            </w:pPr>
            <w:r>
              <w:rPr>
                <w:rFonts w:hint="eastAsia" w:ascii="黑体" w:hAnsi="黑体" w:eastAsia="黑体" w:cs="黑体"/>
                <w:color w:val="000000"/>
                <w:kern w:val="0"/>
                <w:sz w:val="24"/>
                <w:szCs w:val="24"/>
              </w:rPr>
              <w:t>裁量标准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8" w:hRule="atLeast"/>
          <w:jc w:val="center"/>
        </w:trPr>
        <w:tc>
          <w:tcPr>
            <w:tcW w:w="421" w:type="dxa"/>
            <w:vMerge w:val="restart"/>
            <w:tcBorders>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r>
              <w:rPr>
                <w:rFonts w:hint="eastAsia" w:ascii="仿宋_GB2312" w:hAnsi="仿宋_GB2312" w:eastAsia="仿宋_GB2312" w:cs="仿宋_GB2312"/>
                <w:color w:val="000000"/>
                <w:kern w:val="0"/>
                <w:sz w:val="21"/>
                <w:szCs w:val="21"/>
                <w:lang w:val="en-US" w:eastAsia="zh-CN"/>
              </w:rPr>
              <w:t>78</w:t>
            </w:r>
          </w:p>
        </w:tc>
        <w:tc>
          <w:tcPr>
            <w:tcW w:w="1506" w:type="dxa"/>
            <w:vMerge w:val="restart"/>
            <w:tcBorders>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擅自在渔业港口内维修渔业船舶的</w:t>
            </w:r>
          </w:p>
        </w:tc>
        <w:tc>
          <w:tcPr>
            <w:tcW w:w="4147" w:type="dxa"/>
            <w:vMerge w:val="restart"/>
            <w:tcBorders>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eastAsia"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山东省渔业船舶管理办法》在渔业港口内进行渔业船舶建造、船体改造和大修、中修等活动，从事其他维修活动的，应当在渔业主管部门划定的区域内进行。第三十四条第（七）项，违反本办法规定，有下列行为之一的，由县级以上人民政府渔业主管部门责令限期改正，逾期不改正的，对船舶所有人或者经营人处五百元以上五千元以下的罚款：</w:t>
            </w:r>
            <w:r>
              <w:rPr>
                <w:rFonts w:hint="default" w:ascii="仿宋_GB2312" w:hAnsi="仿宋_GB2312" w:eastAsia="仿宋_GB2312" w:cs="仿宋_GB2312"/>
                <w:color w:val="000000"/>
                <w:kern w:val="0"/>
                <w:sz w:val="21"/>
                <w:szCs w:val="21"/>
                <w:lang w:val="en-US" w:eastAsia="zh-CN"/>
              </w:rPr>
              <w:br w:type="textWrapping"/>
            </w:r>
            <w:r>
              <w:rPr>
                <w:rFonts w:hint="default" w:ascii="仿宋_GB2312" w:hAnsi="仿宋_GB2312" w:eastAsia="仿宋_GB2312" w:cs="仿宋_GB2312"/>
                <w:color w:val="000000"/>
                <w:kern w:val="0"/>
                <w:sz w:val="21"/>
                <w:szCs w:val="21"/>
                <w:lang w:val="en-US" w:eastAsia="zh-CN"/>
              </w:rPr>
              <w:t xml:space="preserve">    (七)违反本办法第十条规定，擅自在渔业港口内维修渔业船舶的。</w:t>
            </w:r>
          </w:p>
        </w:tc>
        <w:tc>
          <w:tcPr>
            <w:tcW w:w="643" w:type="dxa"/>
            <w:tcBorders>
              <w:bottom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eastAsia"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较轻</w:t>
            </w:r>
          </w:p>
        </w:tc>
        <w:tc>
          <w:tcPr>
            <w:tcW w:w="2757" w:type="dxa"/>
            <w:tcBorders>
              <w:bottom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eastAsia"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违反规定，擅自在渔业港口内进行船舶简单维修的</w:t>
            </w:r>
          </w:p>
        </w:tc>
        <w:tc>
          <w:tcPr>
            <w:tcW w:w="4526" w:type="dxa"/>
            <w:tcBorders>
              <w:bottom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eastAsia"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责令限期改正</w:t>
            </w:r>
            <w:r>
              <w:rPr>
                <w:rFonts w:hint="eastAsia" w:ascii="仿宋_GB2312" w:hAnsi="仿宋_GB2312" w:eastAsia="仿宋_GB2312" w:cs="仿宋_GB2312"/>
                <w:color w:val="000000"/>
                <w:kern w:val="0"/>
                <w:sz w:val="21"/>
                <w:szCs w:val="21"/>
                <w:lang w:val="en-US" w:eastAsia="zh-CN"/>
              </w:rPr>
              <w:t>，</w:t>
            </w:r>
            <w:r>
              <w:rPr>
                <w:rFonts w:hint="default" w:ascii="仿宋_GB2312" w:hAnsi="仿宋_GB2312" w:eastAsia="仿宋_GB2312" w:cs="仿宋_GB2312"/>
                <w:color w:val="000000"/>
                <w:kern w:val="0"/>
                <w:sz w:val="21"/>
                <w:szCs w:val="21"/>
                <w:lang w:val="en-US" w:eastAsia="zh-CN"/>
              </w:rPr>
              <w:t>逾期不改正的，对船舶所有人或者经营人处五百元以上一千五百元以下罚款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6" w:hRule="atLeast"/>
          <w:jc w:val="center"/>
        </w:trPr>
        <w:tc>
          <w:tcPr>
            <w:tcW w:w="421" w:type="dxa"/>
            <w:vMerge w:val="continue"/>
            <w:tcBorders>
              <w:bottom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eastAsia" w:ascii="仿宋_GB2312" w:hAnsi="仿宋_GB2312" w:eastAsia="仿宋_GB2312" w:cs="仿宋_GB2312"/>
                <w:color w:val="000000"/>
                <w:kern w:val="0"/>
                <w:sz w:val="21"/>
                <w:szCs w:val="21"/>
                <w:lang w:val="en-US" w:eastAsia="zh-CN"/>
              </w:rPr>
            </w:pPr>
          </w:p>
        </w:tc>
        <w:tc>
          <w:tcPr>
            <w:tcW w:w="1506" w:type="dxa"/>
            <w:vMerge w:val="continue"/>
            <w:tcBorders>
              <w:bottom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p>
        </w:tc>
        <w:tc>
          <w:tcPr>
            <w:tcW w:w="4147" w:type="dxa"/>
            <w:vMerge w:val="continue"/>
            <w:tcBorders>
              <w:bottom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p>
        </w:tc>
        <w:tc>
          <w:tcPr>
            <w:tcW w:w="643" w:type="dxa"/>
            <w:tcBorders>
              <w:top w:val="single" w:color="auto" w:sz="4" w:space="0"/>
              <w:bottom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eastAsia"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一般　</w:t>
            </w:r>
          </w:p>
        </w:tc>
        <w:tc>
          <w:tcPr>
            <w:tcW w:w="2757" w:type="dxa"/>
            <w:tcBorders>
              <w:top w:val="single" w:color="auto" w:sz="4" w:space="0"/>
              <w:bottom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eastAsia"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违反规定，擅自在渔业港口内进行更换零部件等一般性维修</w:t>
            </w:r>
          </w:p>
        </w:tc>
        <w:tc>
          <w:tcPr>
            <w:tcW w:w="4526" w:type="dxa"/>
            <w:tcBorders>
              <w:top w:val="single" w:color="auto" w:sz="4" w:space="0"/>
              <w:bottom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eastAsia"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责令限期改正</w:t>
            </w:r>
            <w:r>
              <w:rPr>
                <w:rFonts w:hint="eastAsia" w:ascii="仿宋_GB2312" w:hAnsi="仿宋_GB2312" w:eastAsia="仿宋_GB2312" w:cs="仿宋_GB2312"/>
                <w:color w:val="000000"/>
                <w:kern w:val="0"/>
                <w:sz w:val="21"/>
                <w:szCs w:val="21"/>
                <w:lang w:val="en-US" w:eastAsia="zh-CN"/>
              </w:rPr>
              <w:t>，</w:t>
            </w:r>
            <w:r>
              <w:rPr>
                <w:rFonts w:hint="default" w:ascii="仿宋_GB2312" w:hAnsi="仿宋_GB2312" w:eastAsia="仿宋_GB2312" w:cs="仿宋_GB2312"/>
                <w:color w:val="000000"/>
                <w:kern w:val="0"/>
                <w:sz w:val="21"/>
                <w:szCs w:val="21"/>
                <w:lang w:val="en-US" w:eastAsia="zh-CN"/>
              </w:rPr>
              <w:t>逾期不改正的，对船舶所有人或者经营人处一千五百元以上三千五百元以下罚款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7" w:hRule="atLeast"/>
          <w:jc w:val="center"/>
        </w:trPr>
        <w:tc>
          <w:tcPr>
            <w:tcW w:w="421" w:type="dxa"/>
            <w:vMerge w:val="continue"/>
            <w:tcBorders>
              <w:bottom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eastAsia" w:ascii="仿宋_GB2312" w:hAnsi="仿宋_GB2312" w:eastAsia="仿宋_GB2312" w:cs="仿宋_GB2312"/>
                <w:color w:val="000000"/>
                <w:kern w:val="0"/>
                <w:sz w:val="21"/>
                <w:szCs w:val="21"/>
                <w:lang w:val="en-US" w:eastAsia="zh-CN"/>
              </w:rPr>
            </w:pPr>
          </w:p>
        </w:tc>
        <w:tc>
          <w:tcPr>
            <w:tcW w:w="1506" w:type="dxa"/>
            <w:vMerge w:val="continue"/>
            <w:tcBorders>
              <w:bottom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p>
        </w:tc>
        <w:tc>
          <w:tcPr>
            <w:tcW w:w="4147" w:type="dxa"/>
            <w:vMerge w:val="continue"/>
            <w:tcBorders>
              <w:bottom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p>
        </w:tc>
        <w:tc>
          <w:tcPr>
            <w:tcW w:w="643" w:type="dxa"/>
            <w:tcBorders>
              <w:top w:val="single" w:color="auto" w:sz="4" w:space="0"/>
              <w:bottom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eastAsia"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严重</w:t>
            </w:r>
          </w:p>
        </w:tc>
        <w:tc>
          <w:tcPr>
            <w:tcW w:w="2757" w:type="dxa"/>
            <w:tcBorders>
              <w:top w:val="single" w:color="auto" w:sz="4" w:space="0"/>
              <w:bottom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eastAsia"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违反规定，擅自在渔业港口内进行重要设备更换等大型维修的</w:t>
            </w:r>
          </w:p>
        </w:tc>
        <w:tc>
          <w:tcPr>
            <w:tcW w:w="4526" w:type="dxa"/>
            <w:tcBorders>
              <w:top w:val="single" w:color="auto" w:sz="4" w:space="0"/>
              <w:bottom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eastAsia"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责令限期改正</w:t>
            </w:r>
            <w:r>
              <w:rPr>
                <w:rFonts w:hint="eastAsia" w:ascii="仿宋_GB2312" w:hAnsi="仿宋_GB2312" w:eastAsia="仿宋_GB2312" w:cs="仿宋_GB2312"/>
                <w:color w:val="000000"/>
                <w:kern w:val="0"/>
                <w:sz w:val="21"/>
                <w:szCs w:val="21"/>
                <w:lang w:val="en-US" w:eastAsia="zh-CN"/>
              </w:rPr>
              <w:t>，</w:t>
            </w:r>
            <w:r>
              <w:rPr>
                <w:rFonts w:hint="default" w:ascii="仿宋_GB2312" w:hAnsi="仿宋_GB2312" w:eastAsia="仿宋_GB2312" w:cs="仿宋_GB2312"/>
                <w:color w:val="000000"/>
                <w:kern w:val="0"/>
                <w:sz w:val="21"/>
                <w:szCs w:val="21"/>
                <w:lang w:val="en-US" w:eastAsia="zh-CN"/>
              </w:rPr>
              <w:t>逾期不改正的，对船舶所有人或者经营人处三千五百元以上不超过五千元罚款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jc w:val="center"/>
        </w:trPr>
        <w:tc>
          <w:tcPr>
            <w:tcW w:w="421" w:type="dxa"/>
            <w:vMerge w:val="restart"/>
            <w:tcBorders>
              <w:top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r>
              <w:rPr>
                <w:rFonts w:hint="eastAsia" w:ascii="仿宋_GB2312" w:hAnsi="仿宋_GB2312" w:eastAsia="仿宋_GB2312" w:cs="仿宋_GB2312"/>
                <w:color w:val="000000"/>
                <w:kern w:val="0"/>
                <w:sz w:val="21"/>
                <w:szCs w:val="21"/>
                <w:lang w:val="en-US" w:eastAsia="zh-CN"/>
              </w:rPr>
              <w:t>79</w:t>
            </w:r>
          </w:p>
        </w:tc>
        <w:tc>
          <w:tcPr>
            <w:tcW w:w="1506" w:type="dxa"/>
            <w:vMerge w:val="restart"/>
            <w:tcBorders>
              <w:top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擅自在渔业港口内维修渔业船舶的</w:t>
            </w:r>
          </w:p>
        </w:tc>
        <w:tc>
          <w:tcPr>
            <w:tcW w:w="4147" w:type="dxa"/>
            <w:vMerge w:val="restart"/>
            <w:tcBorders>
              <w:top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山东省渔业船舶管理办法》在渔业港口内进行渔业船舶建造、船体改造和大修、中修等活动，从事其他维修活动的，应当在渔业主管部门划定的区域内进行。第三十四条第（七）项，违反本办法规定，有下列行为之一的，由县级以上人民政府渔业主管部门责令限期改正，逾期不改正的，对船舶所有人或者经营人处五百元以上五千元以下的罚款：</w:t>
            </w:r>
            <w:r>
              <w:rPr>
                <w:rFonts w:hint="default" w:ascii="仿宋_GB2312" w:hAnsi="仿宋_GB2312" w:eastAsia="仿宋_GB2312" w:cs="仿宋_GB2312"/>
                <w:color w:val="000000"/>
                <w:kern w:val="0"/>
                <w:sz w:val="21"/>
                <w:szCs w:val="21"/>
                <w:lang w:val="en-US" w:eastAsia="zh-CN"/>
              </w:rPr>
              <w:br w:type="textWrapping"/>
            </w:r>
            <w:r>
              <w:rPr>
                <w:rFonts w:hint="default" w:ascii="仿宋_GB2312" w:hAnsi="仿宋_GB2312" w:eastAsia="仿宋_GB2312" w:cs="仿宋_GB2312"/>
                <w:color w:val="000000"/>
                <w:kern w:val="0"/>
                <w:sz w:val="21"/>
                <w:szCs w:val="21"/>
                <w:lang w:val="en-US" w:eastAsia="zh-CN"/>
              </w:rPr>
              <w:t xml:space="preserve">    (七)违反本办法第十条规定，擅自在渔业港口内维修渔业船舶的。</w:t>
            </w:r>
          </w:p>
        </w:tc>
        <w:tc>
          <w:tcPr>
            <w:tcW w:w="643" w:type="dxa"/>
            <w:tcBorders>
              <w:top w:val="single" w:color="auto" w:sz="4" w:space="0"/>
              <w:bottom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eastAsia"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较轻</w:t>
            </w:r>
          </w:p>
        </w:tc>
        <w:tc>
          <w:tcPr>
            <w:tcW w:w="2757" w:type="dxa"/>
            <w:tcBorders>
              <w:top w:val="single" w:color="auto" w:sz="4" w:space="0"/>
              <w:bottom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eastAsia"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违反规定，擅自在渔业港口内进行船舶简单维修的</w:t>
            </w:r>
          </w:p>
        </w:tc>
        <w:tc>
          <w:tcPr>
            <w:tcW w:w="4526" w:type="dxa"/>
            <w:tcBorders>
              <w:top w:val="single" w:color="auto" w:sz="4" w:space="0"/>
              <w:bottom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eastAsia"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责令限期改正</w:t>
            </w:r>
            <w:r>
              <w:rPr>
                <w:rFonts w:hint="eastAsia" w:ascii="仿宋_GB2312" w:hAnsi="仿宋_GB2312" w:eastAsia="仿宋_GB2312" w:cs="仿宋_GB2312"/>
                <w:color w:val="000000"/>
                <w:kern w:val="0"/>
                <w:sz w:val="21"/>
                <w:szCs w:val="21"/>
                <w:lang w:val="en-US" w:eastAsia="zh-CN"/>
              </w:rPr>
              <w:t>，</w:t>
            </w:r>
            <w:r>
              <w:rPr>
                <w:rFonts w:hint="default" w:ascii="仿宋_GB2312" w:hAnsi="仿宋_GB2312" w:eastAsia="仿宋_GB2312" w:cs="仿宋_GB2312"/>
                <w:color w:val="000000"/>
                <w:kern w:val="0"/>
                <w:sz w:val="21"/>
                <w:szCs w:val="21"/>
                <w:lang w:val="en-US" w:eastAsia="zh-CN"/>
              </w:rPr>
              <w:t>逾期不改正的，对船舶所有人或者经营人处五百元以上一千五百元以下罚款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3" w:hRule="atLeast"/>
          <w:jc w:val="center"/>
        </w:trPr>
        <w:tc>
          <w:tcPr>
            <w:tcW w:w="421" w:type="dxa"/>
            <w:vMerge w:val="continue"/>
            <w:tcBorders>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p>
        </w:tc>
        <w:tc>
          <w:tcPr>
            <w:tcW w:w="1506" w:type="dxa"/>
            <w:vMerge w:val="continue"/>
            <w:tcBorders>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p>
        </w:tc>
        <w:tc>
          <w:tcPr>
            <w:tcW w:w="4147" w:type="dxa"/>
            <w:vMerge w:val="continue"/>
            <w:tcBorders>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p>
        </w:tc>
        <w:tc>
          <w:tcPr>
            <w:tcW w:w="643" w:type="dxa"/>
            <w:tcBorders>
              <w:top w:val="single" w:color="auto" w:sz="4" w:space="0"/>
              <w:bottom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eastAsia"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一般　</w:t>
            </w:r>
          </w:p>
        </w:tc>
        <w:tc>
          <w:tcPr>
            <w:tcW w:w="2757" w:type="dxa"/>
            <w:tcBorders>
              <w:top w:val="single" w:color="auto" w:sz="4" w:space="0"/>
              <w:bottom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eastAsia"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违反规定，擅自在渔业港口内进行更换零部件等一般性维修</w:t>
            </w:r>
          </w:p>
        </w:tc>
        <w:tc>
          <w:tcPr>
            <w:tcW w:w="4526" w:type="dxa"/>
            <w:tcBorders>
              <w:top w:val="single" w:color="auto" w:sz="4" w:space="0"/>
              <w:bottom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eastAsia"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责令限期改正</w:t>
            </w:r>
            <w:r>
              <w:rPr>
                <w:rFonts w:hint="eastAsia" w:ascii="仿宋_GB2312" w:hAnsi="仿宋_GB2312" w:eastAsia="仿宋_GB2312" w:cs="仿宋_GB2312"/>
                <w:color w:val="000000"/>
                <w:kern w:val="0"/>
                <w:sz w:val="21"/>
                <w:szCs w:val="21"/>
                <w:lang w:val="en-US" w:eastAsia="zh-CN"/>
              </w:rPr>
              <w:t>，</w:t>
            </w:r>
            <w:r>
              <w:rPr>
                <w:rFonts w:hint="default" w:ascii="仿宋_GB2312" w:hAnsi="仿宋_GB2312" w:eastAsia="仿宋_GB2312" w:cs="仿宋_GB2312"/>
                <w:color w:val="000000"/>
                <w:kern w:val="0"/>
                <w:sz w:val="21"/>
                <w:szCs w:val="21"/>
                <w:lang w:val="en-US" w:eastAsia="zh-CN"/>
              </w:rPr>
              <w:t>逾期不改正的，对船舶所有人或者经营人处一千五百元以上三千五百元以下罚款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9" w:hRule="atLeast"/>
          <w:jc w:val="center"/>
        </w:trPr>
        <w:tc>
          <w:tcPr>
            <w:tcW w:w="421" w:type="dxa"/>
            <w:vMerge w:val="continue"/>
            <w:tcBorders>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p>
        </w:tc>
        <w:tc>
          <w:tcPr>
            <w:tcW w:w="1506" w:type="dxa"/>
            <w:vMerge w:val="continue"/>
            <w:tcBorders>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p>
        </w:tc>
        <w:tc>
          <w:tcPr>
            <w:tcW w:w="4147" w:type="dxa"/>
            <w:vMerge w:val="continue"/>
            <w:tcBorders>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p>
        </w:tc>
        <w:tc>
          <w:tcPr>
            <w:tcW w:w="643" w:type="dxa"/>
            <w:tcBorders>
              <w:top w:val="single" w:color="auto" w:sz="4" w:space="0"/>
              <w:bottom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eastAsia"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严重</w:t>
            </w:r>
          </w:p>
        </w:tc>
        <w:tc>
          <w:tcPr>
            <w:tcW w:w="2757" w:type="dxa"/>
            <w:tcBorders>
              <w:top w:val="single" w:color="auto" w:sz="4" w:space="0"/>
              <w:bottom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eastAsia"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违反规定，擅自在渔业港口内进行重要设备更换等大型维修的</w:t>
            </w:r>
          </w:p>
        </w:tc>
        <w:tc>
          <w:tcPr>
            <w:tcW w:w="4526" w:type="dxa"/>
            <w:tcBorders>
              <w:top w:val="single" w:color="auto" w:sz="4" w:space="0"/>
              <w:bottom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eastAsia"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责令限期改正</w:t>
            </w:r>
            <w:r>
              <w:rPr>
                <w:rFonts w:hint="eastAsia" w:ascii="仿宋_GB2312" w:hAnsi="仿宋_GB2312" w:eastAsia="仿宋_GB2312" w:cs="仿宋_GB2312"/>
                <w:color w:val="000000"/>
                <w:kern w:val="0"/>
                <w:sz w:val="21"/>
                <w:szCs w:val="21"/>
                <w:lang w:val="en-US" w:eastAsia="zh-CN"/>
              </w:rPr>
              <w:t>，</w:t>
            </w:r>
            <w:r>
              <w:rPr>
                <w:rFonts w:hint="default" w:ascii="仿宋_GB2312" w:hAnsi="仿宋_GB2312" w:eastAsia="仿宋_GB2312" w:cs="仿宋_GB2312"/>
                <w:color w:val="000000"/>
                <w:kern w:val="0"/>
                <w:sz w:val="21"/>
                <w:szCs w:val="21"/>
                <w:lang w:val="en-US" w:eastAsia="zh-CN"/>
              </w:rPr>
              <w:t>逾期不改正的，对船舶所有人或者经营人处三千五百元以上不超过五千元罚款</w:t>
            </w:r>
          </w:p>
        </w:tc>
      </w:tr>
    </w:tbl>
    <w:p>
      <w:pPr>
        <w:pStyle w:val="2"/>
        <w:rPr>
          <w:rFonts w:hint="default" w:eastAsia="宋体"/>
          <w:lang w:val="en-US" w:eastAsia="zh-CN"/>
        </w:rPr>
      </w:pPr>
    </w:p>
    <w:p>
      <w:pPr>
        <w:pStyle w:val="2"/>
        <w:rPr>
          <w:rFonts w:hint="default" w:eastAsia="宋体"/>
          <w:lang w:val="en-US" w:eastAsia="zh-CN"/>
        </w:rPr>
      </w:pPr>
    </w:p>
    <w:p>
      <w:pPr>
        <w:pStyle w:val="2"/>
        <w:rPr>
          <w:rFonts w:hint="default" w:eastAsia="宋体"/>
          <w:lang w:val="en-US" w:eastAsia="zh-CN"/>
        </w:rPr>
      </w:pPr>
    </w:p>
    <w:p>
      <w:pPr>
        <w:pStyle w:val="2"/>
        <w:rPr>
          <w:rFonts w:hint="default" w:eastAsia="宋体"/>
          <w:lang w:val="en-US" w:eastAsia="zh-CN"/>
        </w:rPr>
      </w:pPr>
    </w:p>
    <w:tbl>
      <w:tblPr>
        <w:tblStyle w:val="7"/>
        <w:tblW w:w="140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21"/>
        <w:gridCol w:w="1506"/>
        <w:gridCol w:w="4147"/>
        <w:gridCol w:w="643"/>
        <w:gridCol w:w="2924"/>
        <w:gridCol w:w="435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20" w:hRule="atLeast"/>
          <w:tblHeader/>
          <w:jc w:val="center"/>
        </w:trPr>
        <w:tc>
          <w:tcPr>
            <w:tcW w:w="421" w:type="dxa"/>
            <w:tcBorders>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center"/>
              <w:rPr>
                <w:rFonts w:ascii="黑体" w:hAnsi="黑体" w:eastAsia="黑体" w:cs="黑体"/>
                <w:color w:val="000000"/>
                <w:sz w:val="24"/>
                <w:szCs w:val="24"/>
              </w:rPr>
            </w:pPr>
            <w:r>
              <w:rPr>
                <w:rFonts w:hint="eastAsia" w:ascii="黑体" w:hAnsi="黑体" w:eastAsia="黑体" w:cs="黑体"/>
                <w:color w:val="000000"/>
                <w:kern w:val="0"/>
                <w:sz w:val="24"/>
                <w:szCs w:val="24"/>
              </w:rPr>
              <w:t>序号</w:t>
            </w:r>
          </w:p>
        </w:tc>
        <w:tc>
          <w:tcPr>
            <w:tcW w:w="1506" w:type="dxa"/>
            <w:tcBorders>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center"/>
              <w:rPr>
                <w:rFonts w:ascii="黑体" w:hAnsi="黑体" w:eastAsia="黑体" w:cs="黑体"/>
                <w:color w:val="000000"/>
                <w:sz w:val="24"/>
                <w:szCs w:val="24"/>
              </w:rPr>
            </w:pPr>
            <w:r>
              <w:rPr>
                <w:rFonts w:hint="eastAsia" w:ascii="黑体" w:hAnsi="黑体" w:eastAsia="黑体" w:cs="黑体"/>
                <w:color w:val="000000"/>
                <w:kern w:val="0"/>
                <w:sz w:val="24"/>
                <w:szCs w:val="24"/>
              </w:rPr>
              <w:t>违法行为</w:t>
            </w:r>
          </w:p>
        </w:tc>
        <w:tc>
          <w:tcPr>
            <w:tcW w:w="4147" w:type="dxa"/>
            <w:tcBorders>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center"/>
              <w:rPr>
                <w:rFonts w:ascii="黑体" w:hAnsi="黑体" w:eastAsia="黑体" w:cs="黑体"/>
                <w:color w:val="000000"/>
                <w:sz w:val="24"/>
                <w:szCs w:val="24"/>
              </w:rPr>
            </w:pPr>
            <w:r>
              <w:rPr>
                <w:rFonts w:hint="eastAsia" w:ascii="黑体" w:hAnsi="黑体" w:eastAsia="黑体" w:cs="黑体"/>
                <w:color w:val="000000"/>
                <w:kern w:val="0"/>
                <w:sz w:val="24"/>
                <w:szCs w:val="24"/>
              </w:rPr>
              <w:t>处罚依据</w:t>
            </w:r>
          </w:p>
        </w:tc>
        <w:tc>
          <w:tcPr>
            <w:tcW w:w="643" w:type="dxa"/>
            <w:tcBorders>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center"/>
              <w:rPr>
                <w:rFonts w:ascii="黑体" w:hAnsi="黑体" w:eastAsia="黑体" w:cs="黑体"/>
                <w:color w:val="000000"/>
                <w:sz w:val="24"/>
                <w:szCs w:val="24"/>
              </w:rPr>
            </w:pPr>
            <w:r>
              <w:rPr>
                <w:rFonts w:hint="eastAsia" w:ascii="黑体" w:hAnsi="黑体" w:eastAsia="黑体" w:cs="黑体"/>
                <w:color w:val="000000"/>
                <w:kern w:val="0"/>
                <w:sz w:val="24"/>
                <w:szCs w:val="24"/>
              </w:rPr>
              <w:t>违法程度</w:t>
            </w:r>
          </w:p>
        </w:tc>
        <w:tc>
          <w:tcPr>
            <w:tcW w:w="2924" w:type="dxa"/>
            <w:tcBorders>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center"/>
              <w:rPr>
                <w:rFonts w:ascii="黑体" w:hAnsi="黑体" w:eastAsia="黑体" w:cs="黑体"/>
                <w:color w:val="000000"/>
                <w:sz w:val="24"/>
                <w:szCs w:val="24"/>
              </w:rPr>
            </w:pPr>
            <w:r>
              <w:rPr>
                <w:rFonts w:hint="eastAsia" w:ascii="黑体" w:hAnsi="黑体" w:eastAsia="黑体" w:cs="黑体"/>
                <w:color w:val="000000"/>
                <w:kern w:val="0"/>
                <w:sz w:val="24"/>
                <w:szCs w:val="24"/>
              </w:rPr>
              <w:t>违法情节</w:t>
            </w:r>
          </w:p>
        </w:tc>
        <w:tc>
          <w:tcPr>
            <w:tcW w:w="4359" w:type="dxa"/>
            <w:tcBorders>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center"/>
              <w:rPr>
                <w:rFonts w:ascii="黑体" w:hAnsi="黑体" w:eastAsia="黑体" w:cs="黑体"/>
                <w:color w:val="000000"/>
                <w:sz w:val="24"/>
                <w:szCs w:val="24"/>
              </w:rPr>
            </w:pPr>
            <w:r>
              <w:rPr>
                <w:rFonts w:hint="eastAsia" w:ascii="黑体" w:hAnsi="黑体" w:eastAsia="黑体" w:cs="黑体"/>
                <w:color w:val="000000"/>
                <w:kern w:val="0"/>
                <w:sz w:val="24"/>
                <w:szCs w:val="24"/>
              </w:rPr>
              <w:t>裁量标准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0" w:hRule="atLeast"/>
          <w:jc w:val="center"/>
        </w:trPr>
        <w:tc>
          <w:tcPr>
            <w:tcW w:w="421" w:type="dxa"/>
            <w:vMerge w:val="restart"/>
            <w:tcBorders>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r>
              <w:rPr>
                <w:rFonts w:hint="eastAsia" w:ascii="仿宋_GB2312" w:hAnsi="仿宋_GB2312" w:eastAsia="仿宋_GB2312" w:cs="仿宋_GB2312"/>
                <w:color w:val="000000"/>
                <w:kern w:val="0"/>
                <w:sz w:val="21"/>
                <w:szCs w:val="21"/>
                <w:lang w:val="en-US" w:eastAsia="zh-CN"/>
              </w:rPr>
              <w:t>80</w:t>
            </w:r>
          </w:p>
        </w:tc>
        <w:tc>
          <w:tcPr>
            <w:tcW w:w="1506" w:type="dxa"/>
            <w:vMerge w:val="restart"/>
            <w:tcBorders>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 xml:space="preserve">临水作业未穿着救生衣、吊装作业未佩戴安全帽、酒后驾驶渔业船舶或者停泊时未留足值班人员的 </w:t>
            </w:r>
          </w:p>
        </w:tc>
        <w:tc>
          <w:tcPr>
            <w:tcW w:w="4147" w:type="dxa"/>
            <w:vMerge w:val="restart"/>
            <w:tcBorders>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eastAsia"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山东省渔业船舶管理办法》第三十四条第（九）项，违反本办法规定，有下列行为之一的，由县级以上人民政府渔业主管部门责令限期改正，逾期不改正的，对船舶所有人或者经营人处五百元以上五千元以下的罚款：</w:t>
            </w:r>
            <w:r>
              <w:rPr>
                <w:rFonts w:hint="default" w:ascii="仿宋_GB2312" w:hAnsi="仿宋_GB2312" w:eastAsia="仿宋_GB2312" w:cs="仿宋_GB2312"/>
                <w:color w:val="000000"/>
                <w:kern w:val="0"/>
                <w:sz w:val="21"/>
                <w:szCs w:val="21"/>
                <w:lang w:val="en-US" w:eastAsia="zh-CN"/>
              </w:rPr>
              <w:br w:type="textWrapping"/>
            </w:r>
            <w:r>
              <w:rPr>
                <w:rFonts w:hint="default" w:ascii="仿宋_GB2312" w:hAnsi="仿宋_GB2312" w:eastAsia="仿宋_GB2312" w:cs="仿宋_GB2312"/>
                <w:color w:val="000000"/>
                <w:kern w:val="0"/>
                <w:sz w:val="21"/>
                <w:szCs w:val="21"/>
                <w:lang w:val="en-US" w:eastAsia="zh-CN"/>
              </w:rPr>
              <w:t xml:space="preserve">    (九)临水作业未穿着救生衣、吊装作业未佩戴安全帽、酒后驾驶渔业船舶或者停泊时未留足值班人员的。</w:t>
            </w:r>
          </w:p>
        </w:tc>
        <w:tc>
          <w:tcPr>
            <w:tcW w:w="643" w:type="dxa"/>
            <w:tcBorders>
              <w:bottom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eastAsia"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较轻</w:t>
            </w:r>
          </w:p>
        </w:tc>
        <w:tc>
          <w:tcPr>
            <w:tcW w:w="2924" w:type="dxa"/>
            <w:tcBorders>
              <w:bottom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eastAsia" w:ascii="仿宋_GB2312" w:hAnsi="仿宋_GB2312" w:eastAsia="仿宋_GB2312" w:cs="仿宋_GB2312"/>
                <w:color w:val="000000"/>
                <w:spacing w:val="-11"/>
                <w:kern w:val="21"/>
                <w:sz w:val="21"/>
                <w:szCs w:val="21"/>
                <w:lang w:val="en-US" w:eastAsia="zh-CN"/>
              </w:rPr>
            </w:pPr>
            <w:r>
              <w:rPr>
                <w:rFonts w:hint="default" w:ascii="仿宋_GB2312" w:hAnsi="仿宋_GB2312" w:eastAsia="仿宋_GB2312" w:cs="仿宋_GB2312"/>
                <w:color w:val="000000"/>
                <w:spacing w:val="-11"/>
                <w:kern w:val="21"/>
                <w:sz w:val="21"/>
                <w:szCs w:val="21"/>
                <w:lang w:val="en-US" w:eastAsia="zh-CN"/>
              </w:rPr>
              <w:t xml:space="preserve">临水作业未穿着救生衣、吊装作业未佩戴安全帽或者停泊时未留足值班人员的 </w:t>
            </w:r>
          </w:p>
        </w:tc>
        <w:tc>
          <w:tcPr>
            <w:tcW w:w="4359" w:type="dxa"/>
            <w:tcBorders>
              <w:bottom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eastAsia" w:ascii="仿宋_GB2312" w:hAnsi="仿宋_GB2312" w:eastAsia="仿宋_GB2312" w:cs="仿宋_GB2312"/>
                <w:color w:val="000000"/>
                <w:spacing w:val="-11"/>
                <w:kern w:val="21"/>
                <w:sz w:val="21"/>
                <w:szCs w:val="21"/>
                <w:lang w:val="en-US" w:eastAsia="zh-CN"/>
              </w:rPr>
            </w:pPr>
            <w:r>
              <w:rPr>
                <w:rFonts w:hint="default" w:ascii="仿宋_GB2312" w:hAnsi="仿宋_GB2312" w:eastAsia="仿宋_GB2312" w:cs="仿宋_GB2312"/>
                <w:color w:val="000000"/>
                <w:spacing w:val="-11"/>
                <w:kern w:val="21"/>
                <w:sz w:val="21"/>
                <w:szCs w:val="21"/>
                <w:lang w:val="en-US" w:eastAsia="zh-CN"/>
              </w:rPr>
              <w:t>责令限期改正</w:t>
            </w:r>
            <w:r>
              <w:rPr>
                <w:rFonts w:hint="eastAsia" w:ascii="仿宋_GB2312" w:hAnsi="仿宋_GB2312" w:eastAsia="仿宋_GB2312" w:cs="仿宋_GB2312"/>
                <w:color w:val="000000"/>
                <w:spacing w:val="-11"/>
                <w:kern w:val="21"/>
                <w:sz w:val="21"/>
                <w:szCs w:val="21"/>
                <w:lang w:val="en-US" w:eastAsia="zh-CN"/>
              </w:rPr>
              <w:t>，</w:t>
            </w:r>
            <w:r>
              <w:rPr>
                <w:rFonts w:hint="default" w:ascii="仿宋_GB2312" w:hAnsi="仿宋_GB2312" w:eastAsia="仿宋_GB2312" w:cs="仿宋_GB2312"/>
                <w:color w:val="000000"/>
                <w:spacing w:val="-11"/>
                <w:kern w:val="21"/>
                <w:sz w:val="21"/>
                <w:szCs w:val="21"/>
                <w:lang w:val="en-US" w:eastAsia="zh-CN"/>
              </w:rPr>
              <w:t>逾期不改正的，对船舶所有人或者经营人处五百元以上一千五百元以下罚款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421" w:type="dxa"/>
            <w:vMerge w:val="continue"/>
            <w:tcBorders>
              <w:bottom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eastAsia" w:ascii="仿宋_GB2312" w:hAnsi="仿宋_GB2312" w:eastAsia="仿宋_GB2312" w:cs="仿宋_GB2312"/>
                <w:color w:val="000000"/>
                <w:kern w:val="0"/>
                <w:sz w:val="21"/>
                <w:szCs w:val="21"/>
                <w:lang w:val="en-US" w:eastAsia="zh-CN"/>
              </w:rPr>
            </w:pPr>
          </w:p>
        </w:tc>
        <w:tc>
          <w:tcPr>
            <w:tcW w:w="1506" w:type="dxa"/>
            <w:vMerge w:val="continue"/>
            <w:tcBorders>
              <w:bottom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p>
        </w:tc>
        <w:tc>
          <w:tcPr>
            <w:tcW w:w="4147" w:type="dxa"/>
            <w:vMerge w:val="continue"/>
            <w:tcBorders>
              <w:bottom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p>
        </w:tc>
        <w:tc>
          <w:tcPr>
            <w:tcW w:w="643" w:type="dxa"/>
            <w:tcBorders>
              <w:top w:val="single" w:color="auto" w:sz="4" w:space="0"/>
              <w:bottom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eastAsia"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一般　</w:t>
            </w:r>
          </w:p>
        </w:tc>
        <w:tc>
          <w:tcPr>
            <w:tcW w:w="2924" w:type="dxa"/>
            <w:tcBorders>
              <w:top w:val="single" w:color="auto" w:sz="4" w:space="0"/>
              <w:bottom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eastAsia" w:ascii="仿宋_GB2312" w:hAnsi="仿宋_GB2312" w:eastAsia="仿宋_GB2312" w:cs="仿宋_GB2312"/>
                <w:color w:val="000000"/>
                <w:spacing w:val="-11"/>
                <w:kern w:val="21"/>
                <w:sz w:val="21"/>
                <w:szCs w:val="21"/>
                <w:lang w:val="en-US" w:eastAsia="zh-CN"/>
              </w:rPr>
            </w:pPr>
            <w:r>
              <w:rPr>
                <w:rFonts w:hint="default" w:ascii="仿宋_GB2312" w:hAnsi="仿宋_GB2312" w:eastAsia="仿宋_GB2312" w:cs="仿宋_GB2312"/>
                <w:color w:val="000000"/>
                <w:spacing w:val="-11"/>
                <w:kern w:val="21"/>
                <w:sz w:val="21"/>
                <w:szCs w:val="21"/>
                <w:lang w:val="en-US" w:eastAsia="zh-CN"/>
              </w:rPr>
              <w:t xml:space="preserve">酒后驾驶渔业船舶的 </w:t>
            </w:r>
          </w:p>
        </w:tc>
        <w:tc>
          <w:tcPr>
            <w:tcW w:w="4359" w:type="dxa"/>
            <w:tcBorders>
              <w:top w:val="single" w:color="auto" w:sz="4" w:space="0"/>
              <w:bottom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eastAsia" w:ascii="仿宋_GB2312" w:hAnsi="仿宋_GB2312" w:eastAsia="仿宋_GB2312" w:cs="仿宋_GB2312"/>
                <w:color w:val="000000"/>
                <w:spacing w:val="-11"/>
                <w:kern w:val="21"/>
                <w:sz w:val="21"/>
                <w:szCs w:val="21"/>
                <w:lang w:val="en-US" w:eastAsia="zh-CN"/>
              </w:rPr>
            </w:pPr>
            <w:r>
              <w:rPr>
                <w:rFonts w:hint="default" w:ascii="仿宋_GB2312" w:hAnsi="仿宋_GB2312" w:eastAsia="仿宋_GB2312" w:cs="仿宋_GB2312"/>
                <w:color w:val="000000"/>
                <w:spacing w:val="-11"/>
                <w:kern w:val="21"/>
                <w:sz w:val="21"/>
                <w:szCs w:val="21"/>
                <w:lang w:val="en-US" w:eastAsia="zh-CN"/>
              </w:rPr>
              <w:t>责令限期改正</w:t>
            </w:r>
            <w:r>
              <w:rPr>
                <w:rFonts w:hint="eastAsia" w:ascii="仿宋_GB2312" w:hAnsi="仿宋_GB2312" w:eastAsia="仿宋_GB2312" w:cs="仿宋_GB2312"/>
                <w:color w:val="000000"/>
                <w:spacing w:val="-11"/>
                <w:kern w:val="21"/>
                <w:sz w:val="21"/>
                <w:szCs w:val="21"/>
                <w:lang w:val="en-US" w:eastAsia="zh-CN"/>
              </w:rPr>
              <w:t>，</w:t>
            </w:r>
            <w:r>
              <w:rPr>
                <w:rFonts w:hint="default" w:ascii="仿宋_GB2312" w:hAnsi="仿宋_GB2312" w:eastAsia="仿宋_GB2312" w:cs="仿宋_GB2312"/>
                <w:color w:val="000000"/>
                <w:spacing w:val="-11"/>
                <w:kern w:val="21"/>
                <w:sz w:val="21"/>
                <w:szCs w:val="21"/>
                <w:lang w:val="en-US" w:eastAsia="zh-CN"/>
              </w:rPr>
              <w:t>逾期不改正的，对船舶所有人或者经营人处一千五百元以上三千五百元以下罚款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5" w:hRule="atLeast"/>
          <w:jc w:val="center"/>
        </w:trPr>
        <w:tc>
          <w:tcPr>
            <w:tcW w:w="421" w:type="dxa"/>
            <w:vMerge w:val="continue"/>
            <w:tcBorders>
              <w:bottom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eastAsia" w:ascii="仿宋_GB2312" w:hAnsi="仿宋_GB2312" w:eastAsia="仿宋_GB2312" w:cs="仿宋_GB2312"/>
                <w:color w:val="000000"/>
                <w:kern w:val="0"/>
                <w:sz w:val="21"/>
                <w:szCs w:val="21"/>
                <w:lang w:val="en-US" w:eastAsia="zh-CN"/>
              </w:rPr>
            </w:pPr>
          </w:p>
        </w:tc>
        <w:tc>
          <w:tcPr>
            <w:tcW w:w="1506" w:type="dxa"/>
            <w:vMerge w:val="continue"/>
            <w:tcBorders>
              <w:bottom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p>
        </w:tc>
        <w:tc>
          <w:tcPr>
            <w:tcW w:w="4147" w:type="dxa"/>
            <w:vMerge w:val="continue"/>
            <w:tcBorders>
              <w:bottom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p>
        </w:tc>
        <w:tc>
          <w:tcPr>
            <w:tcW w:w="643" w:type="dxa"/>
            <w:tcBorders>
              <w:top w:val="single" w:color="auto" w:sz="4" w:space="0"/>
              <w:bottom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eastAsia"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严重</w:t>
            </w:r>
          </w:p>
        </w:tc>
        <w:tc>
          <w:tcPr>
            <w:tcW w:w="2924" w:type="dxa"/>
            <w:tcBorders>
              <w:top w:val="single" w:color="auto" w:sz="4" w:space="0"/>
              <w:bottom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eastAsia" w:ascii="仿宋_GB2312" w:hAnsi="仿宋_GB2312" w:eastAsia="仿宋_GB2312" w:cs="仿宋_GB2312"/>
                <w:color w:val="000000"/>
                <w:spacing w:val="-11"/>
                <w:kern w:val="21"/>
                <w:sz w:val="21"/>
                <w:szCs w:val="21"/>
                <w:lang w:val="en-US" w:eastAsia="zh-CN"/>
              </w:rPr>
            </w:pPr>
            <w:r>
              <w:rPr>
                <w:rFonts w:hint="default" w:ascii="仿宋_GB2312" w:hAnsi="仿宋_GB2312" w:eastAsia="仿宋_GB2312" w:cs="仿宋_GB2312"/>
                <w:color w:val="000000"/>
                <w:spacing w:val="-11"/>
                <w:kern w:val="21"/>
                <w:sz w:val="21"/>
                <w:szCs w:val="21"/>
                <w:lang w:val="en-US" w:eastAsia="zh-CN"/>
              </w:rPr>
              <w:t xml:space="preserve">临水作业未穿着救生衣、吊装作业未佩戴安全帽、酒后驾驶渔业船舶或者停泊时未留足值班人员，造成渔业安全事故的 </w:t>
            </w:r>
          </w:p>
        </w:tc>
        <w:tc>
          <w:tcPr>
            <w:tcW w:w="4359" w:type="dxa"/>
            <w:tcBorders>
              <w:top w:val="single" w:color="auto" w:sz="4" w:space="0"/>
              <w:bottom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eastAsia" w:ascii="仿宋_GB2312" w:hAnsi="仿宋_GB2312" w:eastAsia="仿宋_GB2312" w:cs="仿宋_GB2312"/>
                <w:color w:val="000000"/>
                <w:spacing w:val="-11"/>
                <w:kern w:val="21"/>
                <w:sz w:val="21"/>
                <w:szCs w:val="21"/>
                <w:lang w:val="en-US" w:eastAsia="zh-CN"/>
              </w:rPr>
            </w:pPr>
            <w:r>
              <w:rPr>
                <w:rFonts w:hint="default" w:ascii="仿宋_GB2312" w:hAnsi="仿宋_GB2312" w:eastAsia="仿宋_GB2312" w:cs="仿宋_GB2312"/>
                <w:color w:val="000000"/>
                <w:spacing w:val="-11"/>
                <w:kern w:val="21"/>
                <w:sz w:val="21"/>
                <w:szCs w:val="21"/>
                <w:lang w:val="en-US" w:eastAsia="zh-CN"/>
              </w:rPr>
              <w:t>责令限期改正</w:t>
            </w:r>
            <w:r>
              <w:rPr>
                <w:rFonts w:hint="eastAsia" w:ascii="仿宋_GB2312" w:hAnsi="仿宋_GB2312" w:eastAsia="仿宋_GB2312" w:cs="仿宋_GB2312"/>
                <w:color w:val="000000"/>
                <w:spacing w:val="-11"/>
                <w:kern w:val="21"/>
                <w:sz w:val="21"/>
                <w:szCs w:val="21"/>
                <w:lang w:val="en-US" w:eastAsia="zh-CN"/>
              </w:rPr>
              <w:t>，</w:t>
            </w:r>
            <w:r>
              <w:rPr>
                <w:rFonts w:hint="default" w:ascii="仿宋_GB2312" w:hAnsi="仿宋_GB2312" w:eastAsia="仿宋_GB2312" w:cs="仿宋_GB2312"/>
                <w:color w:val="000000"/>
                <w:spacing w:val="-11"/>
                <w:kern w:val="21"/>
                <w:sz w:val="21"/>
                <w:szCs w:val="21"/>
                <w:lang w:val="en-US" w:eastAsia="zh-CN"/>
              </w:rPr>
              <w:t>逾期不改正的，对船舶所有人或者经营人处三千五百元以上不超过五千元罚款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3" w:hRule="atLeast"/>
          <w:jc w:val="center"/>
        </w:trPr>
        <w:tc>
          <w:tcPr>
            <w:tcW w:w="421" w:type="dxa"/>
            <w:vMerge w:val="restart"/>
            <w:tcBorders>
              <w:top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r>
              <w:rPr>
                <w:rFonts w:hint="eastAsia" w:ascii="仿宋_GB2312" w:hAnsi="仿宋_GB2312" w:eastAsia="仿宋_GB2312" w:cs="仿宋_GB2312"/>
                <w:color w:val="000000"/>
                <w:kern w:val="0"/>
                <w:sz w:val="21"/>
                <w:szCs w:val="21"/>
                <w:lang w:val="en-US" w:eastAsia="zh-CN"/>
              </w:rPr>
              <w:t>81</w:t>
            </w:r>
          </w:p>
        </w:tc>
        <w:tc>
          <w:tcPr>
            <w:tcW w:w="1506" w:type="dxa"/>
            <w:vMerge w:val="restart"/>
            <w:tcBorders>
              <w:top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未按规定提交渔捞日志或者渔捞日志填写不真实、不规范的</w:t>
            </w:r>
          </w:p>
        </w:tc>
        <w:tc>
          <w:tcPr>
            <w:tcW w:w="4147" w:type="dxa"/>
            <w:vMerge w:val="restart"/>
            <w:tcBorders>
              <w:top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渔业捕捞许可管理规定》第五十三条，未按规定提交渔捞日志或者渔捞日志填写不真实、不规范的，由县级以上人民政府渔业主管部门或其所属的渔政监督管理机构给予警告，责令改正；逾期不改正的，可以处1000元以上1万元以下罚款。</w:t>
            </w:r>
          </w:p>
        </w:tc>
        <w:tc>
          <w:tcPr>
            <w:tcW w:w="643" w:type="dxa"/>
            <w:tcBorders>
              <w:top w:val="single" w:color="auto" w:sz="4" w:space="0"/>
              <w:bottom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eastAsia"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较轻</w:t>
            </w:r>
          </w:p>
        </w:tc>
        <w:tc>
          <w:tcPr>
            <w:tcW w:w="2924" w:type="dxa"/>
            <w:tcBorders>
              <w:top w:val="single" w:color="auto" w:sz="4" w:space="0"/>
              <w:bottom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eastAsia"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渔捞日志填写不规范的</w:t>
            </w:r>
          </w:p>
        </w:tc>
        <w:tc>
          <w:tcPr>
            <w:tcW w:w="4359" w:type="dxa"/>
            <w:tcBorders>
              <w:top w:val="single" w:color="auto" w:sz="4" w:space="0"/>
              <w:bottom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eastAsia"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给予警告，责令改正</w:t>
            </w:r>
            <w:r>
              <w:rPr>
                <w:rFonts w:hint="eastAsia" w:ascii="仿宋_GB2312" w:hAnsi="仿宋_GB2312" w:eastAsia="仿宋_GB2312" w:cs="仿宋_GB2312"/>
                <w:color w:val="000000"/>
                <w:kern w:val="0"/>
                <w:sz w:val="21"/>
                <w:szCs w:val="21"/>
                <w:lang w:val="en-US" w:eastAsia="zh-CN"/>
              </w:rPr>
              <w:t>，</w:t>
            </w:r>
            <w:r>
              <w:rPr>
                <w:rFonts w:hint="default" w:ascii="仿宋_GB2312" w:hAnsi="仿宋_GB2312" w:eastAsia="仿宋_GB2312" w:cs="仿宋_GB2312"/>
                <w:color w:val="000000"/>
                <w:kern w:val="0"/>
                <w:sz w:val="21"/>
                <w:szCs w:val="21"/>
                <w:lang w:val="en-US" w:eastAsia="zh-CN"/>
              </w:rPr>
              <w:t>逾期不改正的，可以处一千元以上三千元以下罚款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3" w:hRule="atLeast"/>
          <w:jc w:val="center"/>
        </w:trPr>
        <w:tc>
          <w:tcPr>
            <w:tcW w:w="421" w:type="dxa"/>
            <w:vMerge w:val="continue"/>
            <w:tcBorders>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p>
        </w:tc>
        <w:tc>
          <w:tcPr>
            <w:tcW w:w="1506" w:type="dxa"/>
            <w:vMerge w:val="continue"/>
            <w:tcBorders>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p>
        </w:tc>
        <w:tc>
          <w:tcPr>
            <w:tcW w:w="4147" w:type="dxa"/>
            <w:vMerge w:val="continue"/>
            <w:tcBorders>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p>
        </w:tc>
        <w:tc>
          <w:tcPr>
            <w:tcW w:w="643" w:type="dxa"/>
            <w:tcBorders>
              <w:top w:val="single" w:color="auto" w:sz="4" w:space="0"/>
              <w:bottom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eastAsia"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一般　</w:t>
            </w:r>
          </w:p>
        </w:tc>
        <w:tc>
          <w:tcPr>
            <w:tcW w:w="2924" w:type="dxa"/>
            <w:tcBorders>
              <w:top w:val="single" w:color="auto" w:sz="4" w:space="0"/>
              <w:bottom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eastAsia"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渔捞日志填写不真实的</w:t>
            </w:r>
          </w:p>
        </w:tc>
        <w:tc>
          <w:tcPr>
            <w:tcW w:w="4359" w:type="dxa"/>
            <w:tcBorders>
              <w:top w:val="single" w:color="auto" w:sz="4" w:space="0"/>
              <w:bottom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eastAsia"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给予警告，责令改正</w:t>
            </w:r>
            <w:r>
              <w:rPr>
                <w:rFonts w:hint="eastAsia" w:ascii="仿宋_GB2312" w:hAnsi="仿宋_GB2312" w:eastAsia="仿宋_GB2312" w:cs="仿宋_GB2312"/>
                <w:color w:val="000000"/>
                <w:kern w:val="0"/>
                <w:sz w:val="21"/>
                <w:szCs w:val="21"/>
                <w:lang w:val="en-US" w:eastAsia="zh-CN"/>
              </w:rPr>
              <w:t>，</w:t>
            </w:r>
            <w:r>
              <w:rPr>
                <w:rFonts w:hint="default" w:ascii="仿宋_GB2312" w:hAnsi="仿宋_GB2312" w:eastAsia="仿宋_GB2312" w:cs="仿宋_GB2312"/>
                <w:color w:val="000000"/>
                <w:kern w:val="0"/>
                <w:sz w:val="21"/>
                <w:szCs w:val="21"/>
                <w:lang w:val="en-US" w:eastAsia="zh-CN"/>
              </w:rPr>
              <w:t>逾期不改正的，可以处三千元以上六千元以下罚款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421" w:type="dxa"/>
            <w:vMerge w:val="continue"/>
            <w:tcBorders>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p>
        </w:tc>
        <w:tc>
          <w:tcPr>
            <w:tcW w:w="1506" w:type="dxa"/>
            <w:vMerge w:val="continue"/>
            <w:tcBorders>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p>
        </w:tc>
        <w:tc>
          <w:tcPr>
            <w:tcW w:w="4147" w:type="dxa"/>
            <w:vMerge w:val="continue"/>
            <w:tcBorders>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p>
        </w:tc>
        <w:tc>
          <w:tcPr>
            <w:tcW w:w="643" w:type="dxa"/>
            <w:tcBorders>
              <w:top w:val="single" w:color="auto" w:sz="4" w:space="0"/>
              <w:bottom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eastAsia"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严重</w:t>
            </w:r>
          </w:p>
        </w:tc>
        <w:tc>
          <w:tcPr>
            <w:tcW w:w="2924" w:type="dxa"/>
            <w:tcBorders>
              <w:top w:val="single" w:color="auto" w:sz="4" w:space="0"/>
              <w:bottom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eastAsia"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未按规定提交渔捞日志的</w:t>
            </w:r>
          </w:p>
        </w:tc>
        <w:tc>
          <w:tcPr>
            <w:tcW w:w="4359" w:type="dxa"/>
            <w:tcBorders>
              <w:top w:val="single" w:color="auto" w:sz="4" w:space="0"/>
              <w:bottom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eastAsia"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给予警告，责令改正</w:t>
            </w:r>
            <w:r>
              <w:rPr>
                <w:rFonts w:hint="eastAsia" w:ascii="仿宋_GB2312" w:hAnsi="仿宋_GB2312" w:eastAsia="仿宋_GB2312" w:cs="仿宋_GB2312"/>
                <w:color w:val="000000"/>
                <w:kern w:val="0"/>
                <w:sz w:val="21"/>
                <w:szCs w:val="21"/>
                <w:lang w:val="en-US" w:eastAsia="zh-CN"/>
              </w:rPr>
              <w:t>，</w:t>
            </w:r>
            <w:r>
              <w:rPr>
                <w:rFonts w:hint="default" w:ascii="仿宋_GB2312" w:hAnsi="仿宋_GB2312" w:eastAsia="仿宋_GB2312" w:cs="仿宋_GB2312"/>
                <w:color w:val="000000"/>
                <w:kern w:val="0"/>
                <w:sz w:val="21"/>
                <w:szCs w:val="21"/>
                <w:lang w:val="en-US" w:eastAsia="zh-CN"/>
              </w:rPr>
              <w:t>逾期不改正的，可以处六千元以上不超过一万元罚款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9" w:hRule="atLeast"/>
          <w:jc w:val="center"/>
        </w:trPr>
        <w:tc>
          <w:tcPr>
            <w:tcW w:w="421" w:type="dxa"/>
            <w:vMerge w:val="restart"/>
            <w:tcBorders>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r>
              <w:rPr>
                <w:rFonts w:hint="eastAsia" w:ascii="仿宋_GB2312" w:hAnsi="仿宋_GB2312" w:eastAsia="仿宋_GB2312" w:cs="仿宋_GB2312"/>
                <w:color w:val="000000"/>
                <w:kern w:val="0"/>
                <w:sz w:val="21"/>
                <w:szCs w:val="21"/>
                <w:lang w:val="en-US" w:eastAsia="zh-CN"/>
              </w:rPr>
              <w:t>82</w:t>
            </w:r>
          </w:p>
        </w:tc>
        <w:tc>
          <w:tcPr>
            <w:tcW w:w="1506" w:type="dxa"/>
            <w:vMerge w:val="restart"/>
            <w:tcBorders>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未建立渔业船舶进出港登记制度，核验进港渔业船舶身份，检查出港渔业船舶安全设备以及船员配备等情况的</w:t>
            </w:r>
          </w:p>
        </w:tc>
        <w:tc>
          <w:tcPr>
            <w:tcW w:w="4147" w:type="dxa"/>
            <w:vMerge w:val="restart"/>
            <w:tcBorders>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山东省规范海洋渔业船舶捕捞规定》第三条第一款“渔业港口应当建立海洋渔业船舶进出港登记制度，核验进港渔业船舶身份，检查出港渔业船舶安全设备以及船员配备等情况……。”第四款“渔业港口违反本条第一款规定的，由县级以上人民政府渔业行政主管部门责令改正，处十万元以上五十万元以下的罚款……。”</w:t>
            </w:r>
          </w:p>
        </w:tc>
        <w:tc>
          <w:tcPr>
            <w:tcW w:w="643" w:type="dxa"/>
            <w:tcBorders>
              <w:top w:val="single" w:color="auto" w:sz="4" w:space="0"/>
              <w:bottom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从轻</w:t>
            </w:r>
          </w:p>
        </w:tc>
        <w:tc>
          <w:tcPr>
            <w:tcW w:w="2924" w:type="dxa"/>
            <w:tcBorders>
              <w:top w:val="single" w:color="auto" w:sz="4" w:space="0"/>
              <w:bottom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渔业船舶身份、安全设备、船员配备有一项未核查的</w:t>
            </w:r>
          </w:p>
        </w:tc>
        <w:tc>
          <w:tcPr>
            <w:tcW w:w="4359" w:type="dxa"/>
            <w:tcBorders>
              <w:top w:val="single" w:color="auto" w:sz="4" w:space="0"/>
              <w:bottom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责令改正</w:t>
            </w:r>
            <w:r>
              <w:rPr>
                <w:rFonts w:hint="eastAsia" w:ascii="仿宋_GB2312" w:hAnsi="仿宋_GB2312" w:eastAsia="仿宋_GB2312" w:cs="仿宋_GB2312"/>
                <w:color w:val="000000"/>
                <w:kern w:val="0"/>
                <w:sz w:val="21"/>
                <w:szCs w:val="21"/>
                <w:lang w:val="en-US" w:eastAsia="zh-CN"/>
              </w:rPr>
              <w:t>，</w:t>
            </w:r>
            <w:r>
              <w:rPr>
                <w:rFonts w:hint="default" w:ascii="仿宋_GB2312" w:hAnsi="仿宋_GB2312" w:eastAsia="仿宋_GB2312" w:cs="仿宋_GB2312"/>
                <w:color w:val="000000"/>
                <w:kern w:val="0"/>
                <w:sz w:val="21"/>
                <w:szCs w:val="21"/>
                <w:lang w:val="en-US" w:eastAsia="zh-CN"/>
              </w:rPr>
              <w:t>处十万元以上二十万元以下罚款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9" w:hRule="atLeast"/>
          <w:jc w:val="center"/>
        </w:trPr>
        <w:tc>
          <w:tcPr>
            <w:tcW w:w="421" w:type="dxa"/>
            <w:vMerge w:val="continue"/>
            <w:tcBorders>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p>
        </w:tc>
        <w:tc>
          <w:tcPr>
            <w:tcW w:w="1506" w:type="dxa"/>
            <w:vMerge w:val="continue"/>
            <w:tcBorders>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p>
        </w:tc>
        <w:tc>
          <w:tcPr>
            <w:tcW w:w="4147" w:type="dxa"/>
            <w:vMerge w:val="continue"/>
            <w:tcBorders>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p>
        </w:tc>
        <w:tc>
          <w:tcPr>
            <w:tcW w:w="643" w:type="dxa"/>
            <w:tcBorders>
              <w:top w:val="single" w:color="auto" w:sz="4" w:space="0"/>
              <w:bottom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一般</w:t>
            </w:r>
          </w:p>
        </w:tc>
        <w:tc>
          <w:tcPr>
            <w:tcW w:w="2924" w:type="dxa"/>
            <w:tcBorders>
              <w:top w:val="single" w:color="auto" w:sz="4" w:space="0"/>
              <w:bottom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渔业船舶身份、安全设备、船员配备有两项未核查的</w:t>
            </w:r>
          </w:p>
        </w:tc>
        <w:tc>
          <w:tcPr>
            <w:tcW w:w="4359" w:type="dxa"/>
            <w:tcBorders>
              <w:top w:val="single" w:color="auto" w:sz="4" w:space="0"/>
              <w:bottom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责令改正</w:t>
            </w:r>
            <w:r>
              <w:rPr>
                <w:rFonts w:hint="eastAsia" w:ascii="仿宋_GB2312" w:hAnsi="仿宋_GB2312" w:eastAsia="仿宋_GB2312" w:cs="仿宋_GB2312"/>
                <w:color w:val="000000"/>
                <w:kern w:val="0"/>
                <w:sz w:val="21"/>
                <w:szCs w:val="21"/>
                <w:lang w:val="en-US" w:eastAsia="zh-CN"/>
              </w:rPr>
              <w:t>，</w:t>
            </w:r>
            <w:r>
              <w:rPr>
                <w:rFonts w:hint="default" w:ascii="仿宋_GB2312" w:hAnsi="仿宋_GB2312" w:eastAsia="仿宋_GB2312" w:cs="仿宋_GB2312"/>
                <w:color w:val="000000"/>
                <w:kern w:val="0"/>
                <w:sz w:val="21"/>
                <w:szCs w:val="21"/>
                <w:lang w:val="en-US" w:eastAsia="zh-CN"/>
              </w:rPr>
              <w:t>处二十万元以上四十万元以下罚款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jc w:val="center"/>
        </w:trPr>
        <w:tc>
          <w:tcPr>
            <w:tcW w:w="421" w:type="dxa"/>
            <w:vMerge w:val="continue"/>
            <w:tcBorders>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p>
        </w:tc>
        <w:tc>
          <w:tcPr>
            <w:tcW w:w="1506" w:type="dxa"/>
            <w:vMerge w:val="continue"/>
            <w:tcBorders>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p>
        </w:tc>
        <w:tc>
          <w:tcPr>
            <w:tcW w:w="4147" w:type="dxa"/>
            <w:vMerge w:val="continue"/>
            <w:tcBorders>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p>
        </w:tc>
        <w:tc>
          <w:tcPr>
            <w:tcW w:w="643" w:type="dxa"/>
            <w:tcBorders>
              <w:top w:val="single" w:color="auto" w:sz="4" w:space="0"/>
              <w:bottom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从重</w:t>
            </w:r>
          </w:p>
        </w:tc>
        <w:tc>
          <w:tcPr>
            <w:tcW w:w="2924" w:type="dxa"/>
            <w:tcBorders>
              <w:top w:val="single" w:color="auto" w:sz="4" w:space="0"/>
              <w:bottom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未建立登记制度或者渔业船舶身份、安全设备、船员配备有三项未核查的</w:t>
            </w:r>
          </w:p>
        </w:tc>
        <w:tc>
          <w:tcPr>
            <w:tcW w:w="4359" w:type="dxa"/>
            <w:tcBorders>
              <w:top w:val="single" w:color="auto" w:sz="4" w:space="0"/>
              <w:bottom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责令改正</w:t>
            </w:r>
            <w:r>
              <w:rPr>
                <w:rFonts w:hint="eastAsia" w:ascii="仿宋_GB2312" w:hAnsi="仿宋_GB2312" w:eastAsia="仿宋_GB2312" w:cs="仿宋_GB2312"/>
                <w:color w:val="000000"/>
                <w:kern w:val="0"/>
                <w:sz w:val="21"/>
                <w:szCs w:val="21"/>
                <w:lang w:val="en-US" w:eastAsia="zh-CN"/>
              </w:rPr>
              <w:t>，</w:t>
            </w:r>
            <w:r>
              <w:rPr>
                <w:rFonts w:hint="default" w:ascii="仿宋_GB2312" w:hAnsi="仿宋_GB2312" w:eastAsia="仿宋_GB2312" w:cs="仿宋_GB2312"/>
                <w:color w:val="000000"/>
                <w:kern w:val="0"/>
                <w:sz w:val="21"/>
                <w:szCs w:val="21"/>
                <w:lang w:val="en-US" w:eastAsia="zh-CN"/>
              </w:rPr>
              <w:t>处四十万元以上不超过五十万元罚款</w:t>
            </w:r>
          </w:p>
        </w:tc>
      </w:tr>
    </w:tbl>
    <w:p>
      <w:pPr>
        <w:pStyle w:val="2"/>
        <w:rPr>
          <w:rFonts w:hint="default" w:eastAsia="宋体"/>
          <w:lang w:val="en-US" w:eastAsia="zh-CN"/>
        </w:rPr>
      </w:pPr>
    </w:p>
    <w:tbl>
      <w:tblPr>
        <w:tblStyle w:val="7"/>
        <w:tblW w:w="140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21"/>
        <w:gridCol w:w="1506"/>
        <w:gridCol w:w="4147"/>
        <w:gridCol w:w="643"/>
        <w:gridCol w:w="2924"/>
        <w:gridCol w:w="435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tblHeader/>
          <w:jc w:val="center"/>
        </w:trPr>
        <w:tc>
          <w:tcPr>
            <w:tcW w:w="421" w:type="dxa"/>
            <w:tcBorders>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center"/>
              <w:rPr>
                <w:rFonts w:ascii="黑体" w:hAnsi="黑体" w:eastAsia="黑体" w:cs="黑体"/>
                <w:color w:val="000000"/>
                <w:sz w:val="24"/>
                <w:szCs w:val="24"/>
              </w:rPr>
            </w:pPr>
            <w:r>
              <w:rPr>
                <w:rFonts w:hint="eastAsia" w:ascii="黑体" w:hAnsi="黑体" w:eastAsia="黑体" w:cs="黑体"/>
                <w:color w:val="000000"/>
                <w:kern w:val="0"/>
                <w:sz w:val="24"/>
                <w:szCs w:val="24"/>
              </w:rPr>
              <w:t>序号</w:t>
            </w:r>
          </w:p>
        </w:tc>
        <w:tc>
          <w:tcPr>
            <w:tcW w:w="1506" w:type="dxa"/>
            <w:tcBorders>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center"/>
              <w:rPr>
                <w:rFonts w:ascii="黑体" w:hAnsi="黑体" w:eastAsia="黑体" w:cs="黑体"/>
                <w:color w:val="000000"/>
                <w:sz w:val="24"/>
                <w:szCs w:val="24"/>
              </w:rPr>
            </w:pPr>
            <w:r>
              <w:rPr>
                <w:rFonts w:hint="eastAsia" w:ascii="黑体" w:hAnsi="黑体" w:eastAsia="黑体" w:cs="黑体"/>
                <w:color w:val="000000"/>
                <w:kern w:val="0"/>
                <w:sz w:val="24"/>
                <w:szCs w:val="24"/>
              </w:rPr>
              <w:t>违法行为</w:t>
            </w:r>
          </w:p>
        </w:tc>
        <w:tc>
          <w:tcPr>
            <w:tcW w:w="4147" w:type="dxa"/>
            <w:tcBorders>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center"/>
              <w:rPr>
                <w:rFonts w:ascii="黑体" w:hAnsi="黑体" w:eastAsia="黑体" w:cs="黑体"/>
                <w:color w:val="000000"/>
                <w:sz w:val="24"/>
                <w:szCs w:val="24"/>
              </w:rPr>
            </w:pPr>
            <w:r>
              <w:rPr>
                <w:rFonts w:hint="eastAsia" w:ascii="黑体" w:hAnsi="黑体" w:eastAsia="黑体" w:cs="黑体"/>
                <w:color w:val="000000"/>
                <w:kern w:val="0"/>
                <w:sz w:val="24"/>
                <w:szCs w:val="24"/>
              </w:rPr>
              <w:t>处罚依据</w:t>
            </w:r>
          </w:p>
        </w:tc>
        <w:tc>
          <w:tcPr>
            <w:tcW w:w="643" w:type="dxa"/>
            <w:tcBorders>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center"/>
              <w:rPr>
                <w:rFonts w:ascii="黑体" w:hAnsi="黑体" w:eastAsia="黑体" w:cs="黑体"/>
                <w:color w:val="000000"/>
                <w:sz w:val="24"/>
                <w:szCs w:val="24"/>
              </w:rPr>
            </w:pPr>
            <w:r>
              <w:rPr>
                <w:rFonts w:hint="eastAsia" w:ascii="黑体" w:hAnsi="黑体" w:eastAsia="黑体" w:cs="黑体"/>
                <w:color w:val="000000"/>
                <w:kern w:val="0"/>
                <w:sz w:val="24"/>
                <w:szCs w:val="24"/>
              </w:rPr>
              <w:t>违法程度</w:t>
            </w:r>
          </w:p>
        </w:tc>
        <w:tc>
          <w:tcPr>
            <w:tcW w:w="2924" w:type="dxa"/>
            <w:tcBorders>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center"/>
              <w:rPr>
                <w:rFonts w:ascii="黑体" w:hAnsi="黑体" w:eastAsia="黑体" w:cs="黑体"/>
                <w:color w:val="000000"/>
                <w:sz w:val="24"/>
                <w:szCs w:val="24"/>
              </w:rPr>
            </w:pPr>
            <w:r>
              <w:rPr>
                <w:rFonts w:hint="eastAsia" w:ascii="黑体" w:hAnsi="黑体" w:eastAsia="黑体" w:cs="黑体"/>
                <w:color w:val="000000"/>
                <w:kern w:val="0"/>
                <w:sz w:val="24"/>
                <w:szCs w:val="24"/>
              </w:rPr>
              <w:t>违法情节</w:t>
            </w:r>
          </w:p>
        </w:tc>
        <w:tc>
          <w:tcPr>
            <w:tcW w:w="4359" w:type="dxa"/>
            <w:tcBorders>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center"/>
              <w:rPr>
                <w:rFonts w:ascii="黑体" w:hAnsi="黑体" w:eastAsia="黑体" w:cs="黑体"/>
                <w:color w:val="000000"/>
                <w:sz w:val="24"/>
                <w:szCs w:val="24"/>
              </w:rPr>
            </w:pPr>
            <w:r>
              <w:rPr>
                <w:rFonts w:hint="eastAsia" w:ascii="黑体" w:hAnsi="黑体" w:eastAsia="黑体" w:cs="黑体"/>
                <w:color w:val="000000"/>
                <w:kern w:val="0"/>
                <w:sz w:val="24"/>
                <w:szCs w:val="24"/>
              </w:rPr>
              <w:t>裁量标准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0" w:hRule="atLeast"/>
          <w:jc w:val="center"/>
        </w:trPr>
        <w:tc>
          <w:tcPr>
            <w:tcW w:w="421" w:type="dxa"/>
            <w:vMerge w:val="restart"/>
            <w:tcBorders>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r>
              <w:rPr>
                <w:rFonts w:hint="eastAsia" w:ascii="仿宋_GB2312" w:hAnsi="仿宋_GB2312" w:eastAsia="仿宋_GB2312" w:cs="仿宋_GB2312"/>
                <w:color w:val="000000"/>
                <w:kern w:val="0"/>
                <w:sz w:val="21"/>
                <w:szCs w:val="21"/>
                <w:lang w:val="en-US" w:eastAsia="zh-CN"/>
              </w:rPr>
              <w:t>83</w:t>
            </w:r>
          </w:p>
        </w:tc>
        <w:tc>
          <w:tcPr>
            <w:tcW w:w="1506" w:type="dxa"/>
            <w:vMerge w:val="restart"/>
            <w:tcBorders>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为违法渔业船舶提供港口服务的</w:t>
            </w:r>
          </w:p>
        </w:tc>
        <w:tc>
          <w:tcPr>
            <w:tcW w:w="4147" w:type="dxa"/>
            <w:vMerge w:val="restart"/>
            <w:tcBorders>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eastAsia" w:ascii="仿宋_GB2312" w:hAnsi="仿宋_GB2312" w:eastAsia="仿宋_GB2312" w:cs="仿宋_GB2312"/>
                <w:color w:val="000000"/>
                <w:spacing w:val="-11"/>
                <w:kern w:val="0"/>
                <w:sz w:val="21"/>
                <w:szCs w:val="21"/>
                <w:lang w:val="en-US" w:eastAsia="zh-CN"/>
              </w:rPr>
            </w:pPr>
            <w:r>
              <w:rPr>
                <w:rFonts w:hint="default" w:ascii="仿宋_GB2312" w:hAnsi="仿宋_GB2312" w:eastAsia="仿宋_GB2312" w:cs="仿宋_GB2312"/>
                <w:color w:val="000000"/>
                <w:spacing w:val="-11"/>
                <w:kern w:val="0"/>
                <w:sz w:val="21"/>
                <w:szCs w:val="21"/>
                <w:lang w:val="en-US" w:eastAsia="zh-CN"/>
              </w:rPr>
              <w:t>《山东省规范海洋渔业船舶捕捞规定》第三条第一款“渔业港口应当……，不得为违法渔业船舶提供港口服务。”第四款“渔业港口违反本条第一款规定的，由县级以上人民政府渔业行政主管部门责令改正，处十万元以上五十万元以下的罚款……。”</w:t>
            </w:r>
          </w:p>
        </w:tc>
        <w:tc>
          <w:tcPr>
            <w:tcW w:w="643" w:type="dxa"/>
            <w:tcBorders>
              <w:bottom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eastAsia"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一般</w:t>
            </w:r>
          </w:p>
        </w:tc>
        <w:tc>
          <w:tcPr>
            <w:tcW w:w="2924" w:type="dxa"/>
            <w:tcBorders>
              <w:bottom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eastAsia"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除从重情节以外的违法行为</w:t>
            </w:r>
          </w:p>
        </w:tc>
        <w:tc>
          <w:tcPr>
            <w:tcW w:w="4359" w:type="dxa"/>
            <w:tcBorders>
              <w:bottom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eastAsia"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责令改正</w:t>
            </w:r>
            <w:r>
              <w:rPr>
                <w:rFonts w:hint="eastAsia" w:ascii="仿宋_GB2312" w:hAnsi="仿宋_GB2312" w:eastAsia="仿宋_GB2312" w:cs="仿宋_GB2312"/>
                <w:color w:val="000000"/>
                <w:kern w:val="0"/>
                <w:sz w:val="21"/>
                <w:szCs w:val="21"/>
                <w:lang w:val="en-US" w:eastAsia="zh-CN"/>
              </w:rPr>
              <w:t>，</w:t>
            </w:r>
            <w:r>
              <w:rPr>
                <w:rFonts w:hint="default" w:ascii="仿宋_GB2312" w:hAnsi="仿宋_GB2312" w:eastAsia="仿宋_GB2312" w:cs="仿宋_GB2312"/>
                <w:color w:val="000000"/>
                <w:kern w:val="0"/>
                <w:sz w:val="21"/>
                <w:szCs w:val="21"/>
                <w:lang w:val="en-US" w:eastAsia="zh-CN"/>
              </w:rPr>
              <w:t>处十万元以上三十万元以下罚款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2" w:hRule="atLeast"/>
          <w:jc w:val="center"/>
        </w:trPr>
        <w:tc>
          <w:tcPr>
            <w:tcW w:w="421" w:type="dxa"/>
            <w:vMerge w:val="continue"/>
            <w:tcBorders>
              <w:bottom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eastAsia" w:ascii="仿宋_GB2312" w:hAnsi="仿宋_GB2312" w:eastAsia="仿宋_GB2312" w:cs="仿宋_GB2312"/>
                <w:color w:val="000000"/>
                <w:kern w:val="0"/>
                <w:sz w:val="21"/>
                <w:szCs w:val="21"/>
                <w:lang w:val="en-US" w:eastAsia="zh-CN"/>
              </w:rPr>
            </w:pPr>
          </w:p>
        </w:tc>
        <w:tc>
          <w:tcPr>
            <w:tcW w:w="1506" w:type="dxa"/>
            <w:vMerge w:val="continue"/>
            <w:tcBorders>
              <w:bottom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p>
        </w:tc>
        <w:tc>
          <w:tcPr>
            <w:tcW w:w="4147" w:type="dxa"/>
            <w:vMerge w:val="continue"/>
            <w:tcBorders>
              <w:bottom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spacing w:val="-11"/>
                <w:kern w:val="0"/>
                <w:sz w:val="21"/>
                <w:szCs w:val="21"/>
                <w:lang w:val="en-US" w:eastAsia="zh-CN"/>
              </w:rPr>
            </w:pPr>
          </w:p>
        </w:tc>
        <w:tc>
          <w:tcPr>
            <w:tcW w:w="643" w:type="dxa"/>
            <w:tcBorders>
              <w:top w:val="single" w:color="auto" w:sz="4" w:space="0"/>
              <w:bottom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eastAsia"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从重</w:t>
            </w:r>
          </w:p>
        </w:tc>
        <w:tc>
          <w:tcPr>
            <w:tcW w:w="2924" w:type="dxa"/>
            <w:tcBorders>
              <w:top w:val="single" w:color="auto" w:sz="4" w:space="0"/>
              <w:bottom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eastAsia" w:ascii="仿宋_GB2312" w:hAnsi="仿宋_GB2312" w:eastAsia="仿宋_GB2312" w:cs="仿宋_GB2312"/>
                <w:color w:val="000000"/>
                <w:spacing w:val="-11"/>
                <w:kern w:val="0"/>
                <w:sz w:val="21"/>
                <w:szCs w:val="21"/>
                <w:lang w:val="en-US" w:eastAsia="zh-CN"/>
              </w:rPr>
            </w:pPr>
            <w:r>
              <w:rPr>
                <w:rFonts w:hint="default" w:ascii="仿宋_GB2312" w:hAnsi="仿宋_GB2312" w:eastAsia="仿宋_GB2312" w:cs="仿宋_GB2312"/>
                <w:color w:val="000000"/>
                <w:spacing w:val="-11"/>
                <w:kern w:val="0"/>
                <w:sz w:val="21"/>
                <w:szCs w:val="21"/>
                <w:lang w:val="en-US" w:eastAsia="zh-CN"/>
              </w:rPr>
              <w:t>为涉渔“三无”船舶提供港口服务；在禁渔期为从事非法捕捞的渔业船舶或者运输非法捕捞渔获物的渔业船舶提供港口服务</w:t>
            </w:r>
          </w:p>
        </w:tc>
        <w:tc>
          <w:tcPr>
            <w:tcW w:w="4359" w:type="dxa"/>
            <w:tcBorders>
              <w:top w:val="single" w:color="auto" w:sz="4" w:space="0"/>
              <w:bottom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eastAsia"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责令改正</w:t>
            </w:r>
            <w:r>
              <w:rPr>
                <w:rFonts w:hint="eastAsia" w:ascii="仿宋_GB2312" w:hAnsi="仿宋_GB2312" w:eastAsia="仿宋_GB2312" w:cs="仿宋_GB2312"/>
                <w:color w:val="000000"/>
                <w:kern w:val="0"/>
                <w:sz w:val="21"/>
                <w:szCs w:val="21"/>
                <w:lang w:val="en-US" w:eastAsia="zh-CN"/>
              </w:rPr>
              <w:t>，</w:t>
            </w:r>
            <w:r>
              <w:rPr>
                <w:rFonts w:hint="default" w:ascii="仿宋_GB2312" w:hAnsi="仿宋_GB2312" w:eastAsia="仿宋_GB2312" w:cs="仿宋_GB2312"/>
                <w:color w:val="000000"/>
                <w:kern w:val="0"/>
                <w:sz w:val="21"/>
                <w:szCs w:val="21"/>
                <w:lang w:val="en-US" w:eastAsia="zh-CN"/>
              </w:rPr>
              <w:t>处三十万元以上不超过五十万元罚款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3" w:hRule="atLeast"/>
          <w:jc w:val="center"/>
        </w:trPr>
        <w:tc>
          <w:tcPr>
            <w:tcW w:w="421" w:type="dxa"/>
            <w:vMerge w:val="restart"/>
            <w:tcBorders>
              <w:top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r>
              <w:rPr>
                <w:rFonts w:hint="eastAsia" w:ascii="仿宋_GB2312" w:hAnsi="仿宋_GB2312" w:eastAsia="仿宋_GB2312" w:cs="仿宋_GB2312"/>
                <w:color w:val="000000"/>
                <w:kern w:val="0"/>
                <w:sz w:val="21"/>
                <w:szCs w:val="21"/>
                <w:lang w:val="en-US" w:eastAsia="zh-CN"/>
              </w:rPr>
              <w:t>84</w:t>
            </w:r>
          </w:p>
        </w:tc>
        <w:tc>
          <w:tcPr>
            <w:tcW w:w="1506" w:type="dxa"/>
            <w:vMerge w:val="restart"/>
            <w:tcBorders>
              <w:top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进出渔港未报告的</w:t>
            </w:r>
          </w:p>
        </w:tc>
        <w:tc>
          <w:tcPr>
            <w:tcW w:w="4147" w:type="dxa"/>
            <w:vMerge w:val="restart"/>
            <w:tcBorders>
              <w:top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spacing w:val="-11"/>
                <w:kern w:val="0"/>
                <w:sz w:val="21"/>
                <w:szCs w:val="21"/>
                <w:lang w:val="en-US" w:eastAsia="zh-CN"/>
              </w:rPr>
            </w:pPr>
            <w:r>
              <w:rPr>
                <w:rFonts w:hint="default" w:ascii="仿宋_GB2312" w:hAnsi="仿宋_GB2312" w:eastAsia="仿宋_GB2312" w:cs="仿宋_GB2312"/>
                <w:color w:val="000000"/>
                <w:spacing w:val="-11"/>
                <w:kern w:val="0"/>
                <w:sz w:val="21"/>
                <w:szCs w:val="21"/>
                <w:lang w:val="en-US" w:eastAsia="zh-CN"/>
              </w:rPr>
              <w:t>《山东省规范海洋渔业船舶捕捞规定》第三条第二款“海洋渔业船舶进出渔业港口应当向县级以上人民政府渔业行政主管部门报告进出港时间、作业场所、航次计划、适航状态、船员配备、渔具以及渔获物等情况，并服从调度和监督管理……。”第四款“渔业船舶违反本条第二款和第三款规定的，由县级以上人民政府渔业行政主管部门责令改正，处二万元以上十万元以下的罚款；情节严重的，并处暂扣或者吊销船长职务船员证书。”</w:t>
            </w:r>
          </w:p>
        </w:tc>
        <w:tc>
          <w:tcPr>
            <w:tcW w:w="643" w:type="dxa"/>
            <w:tcBorders>
              <w:top w:val="single" w:color="auto" w:sz="4" w:space="0"/>
              <w:bottom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eastAsia"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从轻</w:t>
            </w:r>
          </w:p>
        </w:tc>
        <w:tc>
          <w:tcPr>
            <w:tcW w:w="2924" w:type="dxa"/>
            <w:tcBorders>
              <w:top w:val="single" w:color="auto" w:sz="4" w:space="0"/>
              <w:bottom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eastAsia"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进出港报告内容不完整、不真实</w:t>
            </w:r>
          </w:p>
        </w:tc>
        <w:tc>
          <w:tcPr>
            <w:tcW w:w="4359" w:type="dxa"/>
            <w:tcBorders>
              <w:top w:val="single" w:color="auto" w:sz="4" w:space="0"/>
              <w:bottom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eastAsia"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责令改正</w:t>
            </w:r>
            <w:r>
              <w:rPr>
                <w:rFonts w:hint="eastAsia" w:ascii="仿宋_GB2312" w:hAnsi="仿宋_GB2312" w:eastAsia="仿宋_GB2312" w:cs="仿宋_GB2312"/>
                <w:color w:val="000000"/>
                <w:kern w:val="0"/>
                <w:sz w:val="21"/>
                <w:szCs w:val="21"/>
                <w:lang w:val="en-US" w:eastAsia="zh-CN"/>
              </w:rPr>
              <w:t>，</w:t>
            </w:r>
            <w:r>
              <w:rPr>
                <w:rFonts w:hint="default" w:ascii="仿宋_GB2312" w:hAnsi="仿宋_GB2312" w:eastAsia="仿宋_GB2312" w:cs="仿宋_GB2312"/>
                <w:color w:val="000000"/>
                <w:kern w:val="0"/>
                <w:sz w:val="21"/>
                <w:szCs w:val="21"/>
                <w:lang w:val="en-US" w:eastAsia="zh-CN"/>
              </w:rPr>
              <w:t>处二万元以上三万元以下的罚款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3" w:hRule="atLeast"/>
          <w:jc w:val="center"/>
        </w:trPr>
        <w:tc>
          <w:tcPr>
            <w:tcW w:w="421" w:type="dxa"/>
            <w:vMerge w:val="continue"/>
            <w:tcBorders>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p>
        </w:tc>
        <w:tc>
          <w:tcPr>
            <w:tcW w:w="1506" w:type="dxa"/>
            <w:vMerge w:val="continue"/>
            <w:tcBorders>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p>
        </w:tc>
        <w:tc>
          <w:tcPr>
            <w:tcW w:w="4147" w:type="dxa"/>
            <w:vMerge w:val="continue"/>
            <w:tcBorders>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p>
        </w:tc>
        <w:tc>
          <w:tcPr>
            <w:tcW w:w="643" w:type="dxa"/>
            <w:tcBorders>
              <w:top w:val="single" w:color="auto" w:sz="4" w:space="0"/>
              <w:bottom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eastAsia"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一般</w:t>
            </w:r>
          </w:p>
        </w:tc>
        <w:tc>
          <w:tcPr>
            <w:tcW w:w="2924" w:type="dxa"/>
            <w:tcBorders>
              <w:top w:val="single" w:color="auto" w:sz="4" w:space="0"/>
              <w:bottom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eastAsia"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进出港不报告的</w:t>
            </w:r>
          </w:p>
        </w:tc>
        <w:tc>
          <w:tcPr>
            <w:tcW w:w="4359" w:type="dxa"/>
            <w:tcBorders>
              <w:top w:val="single" w:color="auto" w:sz="4" w:space="0"/>
              <w:bottom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eastAsia"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责令改正</w:t>
            </w:r>
            <w:r>
              <w:rPr>
                <w:rFonts w:hint="eastAsia" w:ascii="仿宋_GB2312" w:hAnsi="仿宋_GB2312" w:eastAsia="仿宋_GB2312" w:cs="仿宋_GB2312"/>
                <w:color w:val="000000"/>
                <w:kern w:val="0"/>
                <w:sz w:val="21"/>
                <w:szCs w:val="21"/>
                <w:lang w:val="en-US" w:eastAsia="zh-CN"/>
              </w:rPr>
              <w:t>，</w:t>
            </w:r>
            <w:r>
              <w:rPr>
                <w:rFonts w:hint="default" w:ascii="仿宋_GB2312" w:hAnsi="仿宋_GB2312" w:eastAsia="仿宋_GB2312" w:cs="仿宋_GB2312"/>
                <w:color w:val="000000"/>
                <w:kern w:val="0"/>
                <w:sz w:val="21"/>
                <w:szCs w:val="21"/>
                <w:lang w:val="en-US" w:eastAsia="zh-CN"/>
              </w:rPr>
              <w:t>处三万元以上六万元以下的罚款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96" w:hRule="atLeast"/>
          <w:jc w:val="center"/>
        </w:trPr>
        <w:tc>
          <w:tcPr>
            <w:tcW w:w="421" w:type="dxa"/>
            <w:vMerge w:val="continue"/>
            <w:tcBorders>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p>
        </w:tc>
        <w:tc>
          <w:tcPr>
            <w:tcW w:w="1506" w:type="dxa"/>
            <w:vMerge w:val="continue"/>
            <w:tcBorders>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p>
        </w:tc>
        <w:tc>
          <w:tcPr>
            <w:tcW w:w="4147" w:type="dxa"/>
            <w:vMerge w:val="continue"/>
            <w:tcBorders>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p>
        </w:tc>
        <w:tc>
          <w:tcPr>
            <w:tcW w:w="643" w:type="dxa"/>
            <w:tcBorders>
              <w:top w:val="single" w:color="auto" w:sz="4" w:space="0"/>
              <w:bottom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eastAsia"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从重</w:t>
            </w:r>
          </w:p>
        </w:tc>
        <w:tc>
          <w:tcPr>
            <w:tcW w:w="2924" w:type="dxa"/>
            <w:tcBorders>
              <w:top w:val="single" w:color="auto" w:sz="4" w:space="0"/>
              <w:bottom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eastAsia"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进出港未报告且不服从调度和监督管理的；出港未报告且发生海上安全事故的</w:t>
            </w:r>
          </w:p>
        </w:tc>
        <w:tc>
          <w:tcPr>
            <w:tcW w:w="4359" w:type="dxa"/>
            <w:tcBorders>
              <w:top w:val="single" w:color="auto" w:sz="4" w:space="0"/>
              <w:bottom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eastAsia"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责令改正</w:t>
            </w:r>
            <w:r>
              <w:rPr>
                <w:rFonts w:hint="eastAsia" w:ascii="仿宋_GB2312" w:hAnsi="仿宋_GB2312" w:eastAsia="仿宋_GB2312" w:cs="仿宋_GB2312"/>
                <w:color w:val="000000"/>
                <w:kern w:val="0"/>
                <w:sz w:val="21"/>
                <w:szCs w:val="21"/>
                <w:lang w:val="en-US" w:eastAsia="zh-CN"/>
              </w:rPr>
              <w:t>，</w:t>
            </w:r>
            <w:r>
              <w:rPr>
                <w:rFonts w:hint="default" w:ascii="仿宋_GB2312" w:hAnsi="仿宋_GB2312" w:eastAsia="仿宋_GB2312" w:cs="仿宋_GB2312"/>
                <w:color w:val="000000"/>
                <w:kern w:val="0"/>
                <w:sz w:val="21"/>
                <w:szCs w:val="21"/>
                <w:lang w:val="en-US" w:eastAsia="zh-CN"/>
              </w:rPr>
              <w:t>处六万元以上不超过十万元的罚款，暂扣船长职务证书3个月或者吊销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9" w:hRule="atLeast"/>
          <w:jc w:val="center"/>
        </w:trPr>
        <w:tc>
          <w:tcPr>
            <w:tcW w:w="421" w:type="dxa"/>
            <w:vMerge w:val="restart"/>
            <w:tcBorders>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r>
              <w:rPr>
                <w:rFonts w:hint="eastAsia" w:ascii="仿宋_GB2312" w:hAnsi="仿宋_GB2312" w:eastAsia="仿宋_GB2312" w:cs="仿宋_GB2312"/>
                <w:color w:val="000000"/>
                <w:kern w:val="0"/>
                <w:sz w:val="21"/>
                <w:szCs w:val="21"/>
                <w:lang w:val="en-US" w:eastAsia="zh-CN"/>
              </w:rPr>
              <w:t>85</w:t>
            </w:r>
          </w:p>
        </w:tc>
        <w:tc>
          <w:tcPr>
            <w:tcW w:w="1506" w:type="dxa"/>
            <w:vMerge w:val="restart"/>
            <w:tcBorders>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spacing w:val="-23"/>
                <w:kern w:val="0"/>
                <w:sz w:val="21"/>
                <w:szCs w:val="21"/>
                <w:lang w:val="en-US" w:eastAsia="zh-CN"/>
              </w:rPr>
            </w:pPr>
            <w:r>
              <w:rPr>
                <w:rFonts w:hint="default" w:ascii="仿宋_GB2312" w:hAnsi="仿宋_GB2312" w:eastAsia="仿宋_GB2312" w:cs="仿宋_GB2312"/>
                <w:color w:val="000000"/>
                <w:spacing w:val="-23"/>
                <w:kern w:val="0"/>
                <w:sz w:val="21"/>
                <w:szCs w:val="21"/>
                <w:lang w:val="en-US" w:eastAsia="zh-CN"/>
              </w:rPr>
              <w:t>未选择固定停靠港口或者未在固定停靠港口停泊、装卸渔获物和补充渔需物资的</w:t>
            </w:r>
          </w:p>
        </w:tc>
        <w:tc>
          <w:tcPr>
            <w:tcW w:w="4147" w:type="dxa"/>
            <w:vMerge w:val="restart"/>
            <w:tcBorders>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spacing w:val="-23"/>
                <w:kern w:val="0"/>
                <w:sz w:val="21"/>
                <w:szCs w:val="21"/>
                <w:lang w:val="en-US" w:eastAsia="zh-CN"/>
              </w:rPr>
            </w:pPr>
            <w:r>
              <w:rPr>
                <w:rFonts w:hint="default" w:ascii="仿宋_GB2312" w:hAnsi="仿宋_GB2312" w:eastAsia="仿宋_GB2312" w:cs="仿宋_GB2312"/>
                <w:color w:val="000000"/>
                <w:spacing w:val="-23"/>
                <w:kern w:val="0"/>
                <w:sz w:val="21"/>
                <w:szCs w:val="21"/>
                <w:lang w:val="en-US" w:eastAsia="zh-CN"/>
              </w:rPr>
              <w:t>《山东省规范海洋渔业船舶捕捞规定》第三条第三款“海洋渔业船舶进应当选择经常作业地的一个渔业港口作为固定停靠港口，接受固定停靠港口所在地县级以上人民政府渔业行政主管部门的监督管理；除紧急避险情形外，应当在固定停靠港口停泊、装卸渔获物和补充渔需物资……。”第四款“渔业船舶违反本条第二款和第三款规定的，由县级以上人民政府渔业行政主管部门责令改正，处二万元以上十万元以下的罚款；情节严重的，并处暂扣或者吊销船长职务船员证书。”</w:t>
            </w:r>
          </w:p>
        </w:tc>
        <w:tc>
          <w:tcPr>
            <w:tcW w:w="643" w:type="dxa"/>
            <w:tcBorders>
              <w:top w:val="single" w:color="auto" w:sz="4" w:space="0"/>
              <w:bottom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从轻</w:t>
            </w:r>
          </w:p>
        </w:tc>
        <w:tc>
          <w:tcPr>
            <w:tcW w:w="2924" w:type="dxa"/>
            <w:tcBorders>
              <w:top w:val="single" w:color="auto" w:sz="4" w:space="0"/>
              <w:bottom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spacing w:val="-23"/>
                <w:kern w:val="0"/>
                <w:sz w:val="21"/>
                <w:szCs w:val="21"/>
                <w:lang w:val="en-US" w:eastAsia="zh-CN"/>
              </w:rPr>
            </w:pPr>
            <w:r>
              <w:rPr>
                <w:rFonts w:hint="default" w:ascii="仿宋_GB2312" w:hAnsi="仿宋_GB2312" w:eastAsia="仿宋_GB2312" w:cs="仿宋_GB2312"/>
                <w:color w:val="000000"/>
                <w:spacing w:val="-23"/>
                <w:kern w:val="0"/>
                <w:sz w:val="21"/>
                <w:szCs w:val="21"/>
                <w:lang w:val="en-US" w:eastAsia="zh-CN"/>
              </w:rPr>
              <w:t>一年内未在固定停靠港口停泊、装卸渔获物和补充渔需物资不超过3次</w:t>
            </w:r>
          </w:p>
        </w:tc>
        <w:tc>
          <w:tcPr>
            <w:tcW w:w="4359" w:type="dxa"/>
            <w:tcBorders>
              <w:top w:val="single" w:color="auto" w:sz="4" w:space="0"/>
              <w:bottom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责令改正</w:t>
            </w:r>
            <w:r>
              <w:rPr>
                <w:rFonts w:hint="eastAsia" w:ascii="仿宋_GB2312" w:hAnsi="仿宋_GB2312" w:eastAsia="仿宋_GB2312" w:cs="仿宋_GB2312"/>
                <w:color w:val="000000"/>
                <w:kern w:val="0"/>
                <w:sz w:val="21"/>
                <w:szCs w:val="21"/>
                <w:lang w:val="en-US" w:eastAsia="zh-CN"/>
              </w:rPr>
              <w:t>，</w:t>
            </w:r>
            <w:r>
              <w:rPr>
                <w:rFonts w:hint="default" w:ascii="仿宋_GB2312" w:hAnsi="仿宋_GB2312" w:eastAsia="仿宋_GB2312" w:cs="仿宋_GB2312"/>
                <w:color w:val="000000"/>
                <w:kern w:val="0"/>
                <w:sz w:val="21"/>
                <w:szCs w:val="21"/>
                <w:lang w:val="en-US" w:eastAsia="zh-CN"/>
              </w:rPr>
              <w:t>处二万元以上三万元以下的罚款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9" w:hRule="atLeast"/>
          <w:jc w:val="center"/>
        </w:trPr>
        <w:tc>
          <w:tcPr>
            <w:tcW w:w="421" w:type="dxa"/>
            <w:vMerge w:val="continue"/>
            <w:tcBorders>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p>
        </w:tc>
        <w:tc>
          <w:tcPr>
            <w:tcW w:w="1506" w:type="dxa"/>
            <w:vMerge w:val="continue"/>
            <w:tcBorders>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spacing w:val="-23"/>
                <w:kern w:val="0"/>
                <w:sz w:val="21"/>
                <w:szCs w:val="21"/>
                <w:lang w:val="en-US" w:eastAsia="zh-CN"/>
              </w:rPr>
            </w:pPr>
          </w:p>
        </w:tc>
        <w:tc>
          <w:tcPr>
            <w:tcW w:w="4147" w:type="dxa"/>
            <w:vMerge w:val="continue"/>
            <w:tcBorders>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spacing w:val="-23"/>
                <w:kern w:val="0"/>
                <w:sz w:val="21"/>
                <w:szCs w:val="21"/>
                <w:lang w:val="en-US" w:eastAsia="zh-CN"/>
              </w:rPr>
            </w:pPr>
          </w:p>
        </w:tc>
        <w:tc>
          <w:tcPr>
            <w:tcW w:w="643" w:type="dxa"/>
            <w:tcBorders>
              <w:top w:val="single" w:color="auto" w:sz="4" w:space="0"/>
              <w:bottom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一般</w:t>
            </w:r>
          </w:p>
        </w:tc>
        <w:tc>
          <w:tcPr>
            <w:tcW w:w="2924" w:type="dxa"/>
            <w:tcBorders>
              <w:top w:val="single" w:color="auto" w:sz="4" w:space="0"/>
              <w:bottom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spacing w:val="-23"/>
                <w:kern w:val="0"/>
                <w:sz w:val="21"/>
                <w:szCs w:val="21"/>
                <w:lang w:val="en-US" w:eastAsia="zh-CN"/>
              </w:rPr>
            </w:pPr>
            <w:r>
              <w:rPr>
                <w:rFonts w:hint="default" w:ascii="仿宋_GB2312" w:hAnsi="仿宋_GB2312" w:eastAsia="仿宋_GB2312" w:cs="仿宋_GB2312"/>
                <w:color w:val="000000"/>
                <w:spacing w:val="-23"/>
                <w:kern w:val="0"/>
                <w:sz w:val="21"/>
                <w:szCs w:val="21"/>
                <w:lang w:val="en-US" w:eastAsia="zh-CN"/>
              </w:rPr>
              <w:t>一年内未在固定停靠港口停泊、装卸渔获物和补充渔需物资4次以上6次以下</w:t>
            </w:r>
          </w:p>
        </w:tc>
        <w:tc>
          <w:tcPr>
            <w:tcW w:w="4359" w:type="dxa"/>
            <w:tcBorders>
              <w:top w:val="single" w:color="auto" w:sz="4" w:space="0"/>
              <w:bottom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责令改正</w:t>
            </w:r>
            <w:r>
              <w:rPr>
                <w:rFonts w:hint="eastAsia" w:ascii="仿宋_GB2312" w:hAnsi="仿宋_GB2312" w:eastAsia="仿宋_GB2312" w:cs="仿宋_GB2312"/>
                <w:color w:val="000000"/>
                <w:kern w:val="0"/>
                <w:sz w:val="21"/>
                <w:szCs w:val="21"/>
                <w:lang w:val="en-US" w:eastAsia="zh-CN"/>
              </w:rPr>
              <w:t>，</w:t>
            </w:r>
            <w:r>
              <w:rPr>
                <w:rFonts w:hint="default" w:ascii="仿宋_GB2312" w:hAnsi="仿宋_GB2312" w:eastAsia="仿宋_GB2312" w:cs="仿宋_GB2312"/>
                <w:color w:val="000000"/>
                <w:kern w:val="0"/>
                <w:sz w:val="21"/>
                <w:szCs w:val="21"/>
                <w:lang w:val="en-US" w:eastAsia="zh-CN"/>
              </w:rPr>
              <w:t>处三万元以上六万元以下的罚款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jc w:val="center"/>
        </w:trPr>
        <w:tc>
          <w:tcPr>
            <w:tcW w:w="421" w:type="dxa"/>
            <w:vMerge w:val="continue"/>
            <w:tcBorders>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p>
        </w:tc>
        <w:tc>
          <w:tcPr>
            <w:tcW w:w="1506" w:type="dxa"/>
            <w:vMerge w:val="continue"/>
            <w:tcBorders>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spacing w:val="-23"/>
                <w:kern w:val="0"/>
                <w:sz w:val="21"/>
                <w:szCs w:val="21"/>
                <w:lang w:val="en-US" w:eastAsia="zh-CN"/>
              </w:rPr>
            </w:pPr>
          </w:p>
        </w:tc>
        <w:tc>
          <w:tcPr>
            <w:tcW w:w="4147" w:type="dxa"/>
            <w:vMerge w:val="continue"/>
            <w:tcBorders>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spacing w:val="-23"/>
                <w:kern w:val="0"/>
                <w:sz w:val="21"/>
                <w:szCs w:val="21"/>
                <w:lang w:val="en-US" w:eastAsia="zh-CN"/>
              </w:rPr>
            </w:pPr>
          </w:p>
        </w:tc>
        <w:tc>
          <w:tcPr>
            <w:tcW w:w="643" w:type="dxa"/>
            <w:tcBorders>
              <w:top w:val="single" w:color="auto" w:sz="4" w:space="0"/>
              <w:bottom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从重</w:t>
            </w:r>
          </w:p>
        </w:tc>
        <w:tc>
          <w:tcPr>
            <w:tcW w:w="2924" w:type="dxa"/>
            <w:tcBorders>
              <w:top w:val="single" w:color="auto" w:sz="4" w:space="0"/>
              <w:bottom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spacing w:val="-23"/>
                <w:kern w:val="0"/>
                <w:sz w:val="21"/>
                <w:szCs w:val="21"/>
                <w:lang w:val="en-US" w:eastAsia="zh-CN"/>
              </w:rPr>
            </w:pPr>
            <w:r>
              <w:rPr>
                <w:rFonts w:hint="default" w:ascii="仿宋_GB2312" w:hAnsi="仿宋_GB2312" w:eastAsia="仿宋_GB2312" w:cs="仿宋_GB2312"/>
                <w:color w:val="000000"/>
                <w:spacing w:val="-23"/>
                <w:kern w:val="0"/>
                <w:sz w:val="21"/>
                <w:szCs w:val="21"/>
                <w:lang w:val="en-US" w:eastAsia="zh-CN"/>
              </w:rPr>
              <w:t>未在规定期限内选择固定停靠港口或者一年内未在固定停靠港口停泊、装卸渔获物和补充渔需物资超过6次</w:t>
            </w:r>
          </w:p>
        </w:tc>
        <w:tc>
          <w:tcPr>
            <w:tcW w:w="4359" w:type="dxa"/>
            <w:tcBorders>
              <w:top w:val="single" w:color="auto" w:sz="4" w:space="0"/>
              <w:bottom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责令改正</w:t>
            </w:r>
            <w:r>
              <w:rPr>
                <w:rFonts w:hint="eastAsia" w:ascii="仿宋_GB2312" w:hAnsi="仿宋_GB2312" w:eastAsia="仿宋_GB2312" w:cs="仿宋_GB2312"/>
                <w:color w:val="000000"/>
                <w:kern w:val="0"/>
                <w:sz w:val="21"/>
                <w:szCs w:val="21"/>
                <w:lang w:val="en-US" w:eastAsia="zh-CN"/>
              </w:rPr>
              <w:t>，</w:t>
            </w:r>
            <w:r>
              <w:rPr>
                <w:rFonts w:hint="default" w:ascii="仿宋_GB2312" w:hAnsi="仿宋_GB2312" w:eastAsia="仿宋_GB2312" w:cs="仿宋_GB2312"/>
                <w:color w:val="000000"/>
                <w:kern w:val="0"/>
                <w:sz w:val="21"/>
                <w:szCs w:val="21"/>
                <w:lang w:val="en-US" w:eastAsia="zh-CN"/>
              </w:rPr>
              <w:t>处六万元以上不超过十万元的罚款，暂扣船长职务证书或者吊销</w:t>
            </w:r>
          </w:p>
        </w:tc>
      </w:tr>
    </w:tbl>
    <w:p>
      <w:pPr>
        <w:pStyle w:val="2"/>
        <w:rPr>
          <w:rFonts w:hint="default" w:eastAsia="宋体"/>
          <w:lang w:val="en-US" w:eastAsia="zh-CN"/>
        </w:rPr>
      </w:pPr>
    </w:p>
    <w:tbl>
      <w:tblPr>
        <w:tblStyle w:val="7"/>
        <w:tblW w:w="140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21"/>
        <w:gridCol w:w="1506"/>
        <w:gridCol w:w="4147"/>
        <w:gridCol w:w="643"/>
        <w:gridCol w:w="2924"/>
        <w:gridCol w:w="435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tblHeader/>
          <w:jc w:val="center"/>
        </w:trPr>
        <w:tc>
          <w:tcPr>
            <w:tcW w:w="421" w:type="dxa"/>
            <w:tcBorders>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center"/>
              <w:rPr>
                <w:rFonts w:ascii="黑体" w:hAnsi="黑体" w:eastAsia="黑体" w:cs="黑体"/>
                <w:color w:val="000000"/>
                <w:sz w:val="24"/>
                <w:szCs w:val="24"/>
              </w:rPr>
            </w:pPr>
            <w:r>
              <w:rPr>
                <w:rFonts w:hint="eastAsia" w:ascii="黑体" w:hAnsi="黑体" w:eastAsia="黑体" w:cs="黑体"/>
                <w:color w:val="000000"/>
                <w:kern w:val="0"/>
                <w:sz w:val="24"/>
                <w:szCs w:val="24"/>
              </w:rPr>
              <w:t>序号</w:t>
            </w:r>
          </w:p>
        </w:tc>
        <w:tc>
          <w:tcPr>
            <w:tcW w:w="1506" w:type="dxa"/>
            <w:tcBorders>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center"/>
              <w:rPr>
                <w:rFonts w:ascii="黑体" w:hAnsi="黑体" w:eastAsia="黑体" w:cs="黑体"/>
                <w:color w:val="000000"/>
                <w:sz w:val="24"/>
                <w:szCs w:val="24"/>
              </w:rPr>
            </w:pPr>
            <w:r>
              <w:rPr>
                <w:rFonts w:hint="eastAsia" w:ascii="黑体" w:hAnsi="黑体" w:eastAsia="黑体" w:cs="黑体"/>
                <w:color w:val="000000"/>
                <w:kern w:val="0"/>
                <w:sz w:val="24"/>
                <w:szCs w:val="24"/>
              </w:rPr>
              <w:t>违法行为</w:t>
            </w:r>
          </w:p>
        </w:tc>
        <w:tc>
          <w:tcPr>
            <w:tcW w:w="4147" w:type="dxa"/>
            <w:tcBorders>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center"/>
              <w:rPr>
                <w:rFonts w:ascii="黑体" w:hAnsi="黑体" w:eastAsia="黑体" w:cs="黑体"/>
                <w:color w:val="000000"/>
                <w:sz w:val="24"/>
                <w:szCs w:val="24"/>
              </w:rPr>
            </w:pPr>
            <w:r>
              <w:rPr>
                <w:rFonts w:hint="eastAsia" w:ascii="黑体" w:hAnsi="黑体" w:eastAsia="黑体" w:cs="黑体"/>
                <w:color w:val="000000"/>
                <w:kern w:val="0"/>
                <w:sz w:val="24"/>
                <w:szCs w:val="24"/>
              </w:rPr>
              <w:t>处罚依据</w:t>
            </w:r>
          </w:p>
        </w:tc>
        <w:tc>
          <w:tcPr>
            <w:tcW w:w="643" w:type="dxa"/>
            <w:tcBorders>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center"/>
              <w:rPr>
                <w:rFonts w:ascii="黑体" w:hAnsi="黑体" w:eastAsia="黑体" w:cs="黑体"/>
                <w:color w:val="000000"/>
                <w:sz w:val="24"/>
                <w:szCs w:val="24"/>
              </w:rPr>
            </w:pPr>
            <w:r>
              <w:rPr>
                <w:rFonts w:hint="eastAsia" w:ascii="黑体" w:hAnsi="黑体" w:eastAsia="黑体" w:cs="黑体"/>
                <w:color w:val="000000"/>
                <w:kern w:val="0"/>
                <w:sz w:val="24"/>
                <w:szCs w:val="24"/>
              </w:rPr>
              <w:t>违法程度</w:t>
            </w:r>
          </w:p>
        </w:tc>
        <w:tc>
          <w:tcPr>
            <w:tcW w:w="2924" w:type="dxa"/>
            <w:tcBorders>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center"/>
              <w:rPr>
                <w:rFonts w:ascii="黑体" w:hAnsi="黑体" w:eastAsia="黑体" w:cs="黑体"/>
                <w:color w:val="000000"/>
                <w:sz w:val="24"/>
                <w:szCs w:val="24"/>
              </w:rPr>
            </w:pPr>
            <w:r>
              <w:rPr>
                <w:rFonts w:hint="eastAsia" w:ascii="黑体" w:hAnsi="黑体" w:eastAsia="黑体" w:cs="黑体"/>
                <w:color w:val="000000"/>
                <w:kern w:val="0"/>
                <w:sz w:val="24"/>
                <w:szCs w:val="24"/>
              </w:rPr>
              <w:t>违法情节</w:t>
            </w:r>
          </w:p>
        </w:tc>
        <w:tc>
          <w:tcPr>
            <w:tcW w:w="4359" w:type="dxa"/>
            <w:tcBorders>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center"/>
              <w:rPr>
                <w:rFonts w:ascii="黑体" w:hAnsi="黑体" w:eastAsia="黑体" w:cs="黑体"/>
                <w:color w:val="000000"/>
                <w:sz w:val="24"/>
                <w:szCs w:val="24"/>
              </w:rPr>
            </w:pPr>
            <w:r>
              <w:rPr>
                <w:rFonts w:hint="eastAsia" w:ascii="黑体" w:hAnsi="黑体" w:eastAsia="黑体" w:cs="黑体"/>
                <w:color w:val="000000"/>
                <w:kern w:val="0"/>
                <w:sz w:val="24"/>
                <w:szCs w:val="24"/>
              </w:rPr>
              <w:t>裁量标准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0" w:hRule="atLeast"/>
          <w:jc w:val="center"/>
        </w:trPr>
        <w:tc>
          <w:tcPr>
            <w:tcW w:w="421" w:type="dxa"/>
            <w:vMerge w:val="restart"/>
            <w:tcBorders>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r>
              <w:rPr>
                <w:rFonts w:hint="eastAsia" w:ascii="仿宋_GB2312" w:hAnsi="仿宋_GB2312" w:eastAsia="仿宋_GB2312" w:cs="仿宋_GB2312"/>
                <w:color w:val="000000"/>
                <w:kern w:val="0"/>
                <w:sz w:val="21"/>
                <w:szCs w:val="21"/>
                <w:lang w:val="en-US" w:eastAsia="zh-CN"/>
              </w:rPr>
              <w:t>86</w:t>
            </w:r>
          </w:p>
        </w:tc>
        <w:tc>
          <w:tcPr>
            <w:tcW w:w="1506" w:type="dxa"/>
            <w:vMerge w:val="restart"/>
            <w:tcBorders>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未取得渔业船网工具指标批准书或者未按渔业船网工具指标批准书核定的内容委托制造海洋捕捞渔业船舶的</w:t>
            </w:r>
          </w:p>
        </w:tc>
        <w:tc>
          <w:tcPr>
            <w:tcW w:w="4147" w:type="dxa"/>
            <w:vMerge w:val="restart"/>
            <w:tcBorders>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eastAsia"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山东省规范海洋渔业船舶捕捞规定》第四条第一款“制造、更新改造海洋捕捞渔业船舶，应当取得渔业船网工具指标批准书。未取得渔业船网工具指标批准书，或者未按照渔业船网工具指标批准书核定的内容，委托制造海洋捕捞渔业船舶的，由县级以上人民政府渔业行政主管部门对委托人处十万元以上五十万元以下的罚款，并处没收相关设备和部件……”</w:t>
            </w:r>
          </w:p>
        </w:tc>
        <w:tc>
          <w:tcPr>
            <w:tcW w:w="643" w:type="dxa"/>
            <w:tcBorders>
              <w:bottom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eastAsia"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从轻</w:t>
            </w:r>
          </w:p>
        </w:tc>
        <w:tc>
          <w:tcPr>
            <w:tcW w:w="2924" w:type="dxa"/>
            <w:tcBorders>
              <w:bottom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eastAsia"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船长小于12米</w:t>
            </w:r>
          </w:p>
        </w:tc>
        <w:tc>
          <w:tcPr>
            <w:tcW w:w="4359" w:type="dxa"/>
            <w:tcBorders>
              <w:bottom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eastAsia"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没收相关设施和部件</w:t>
            </w:r>
            <w:r>
              <w:rPr>
                <w:rFonts w:hint="eastAsia" w:ascii="仿宋_GB2312" w:hAnsi="仿宋_GB2312" w:eastAsia="仿宋_GB2312" w:cs="仿宋_GB2312"/>
                <w:color w:val="000000"/>
                <w:kern w:val="0"/>
                <w:sz w:val="21"/>
                <w:szCs w:val="21"/>
                <w:lang w:val="en-US" w:eastAsia="zh-CN"/>
              </w:rPr>
              <w:t>，</w:t>
            </w:r>
            <w:r>
              <w:rPr>
                <w:rFonts w:hint="default" w:ascii="仿宋_GB2312" w:hAnsi="仿宋_GB2312" w:eastAsia="仿宋_GB2312" w:cs="仿宋_GB2312"/>
                <w:color w:val="000000"/>
                <w:kern w:val="0"/>
                <w:sz w:val="21"/>
                <w:szCs w:val="21"/>
                <w:lang w:val="en-US" w:eastAsia="zh-CN"/>
              </w:rPr>
              <w:t>处十万元以上二十万元以下的罚款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2" w:hRule="atLeast"/>
          <w:jc w:val="center"/>
        </w:trPr>
        <w:tc>
          <w:tcPr>
            <w:tcW w:w="421" w:type="dxa"/>
            <w:vMerge w:val="continue"/>
            <w:tcBorders>
              <w:bottom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eastAsia" w:ascii="仿宋_GB2312" w:hAnsi="仿宋_GB2312" w:eastAsia="仿宋_GB2312" w:cs="仿宋_GB2312"/>
                <w:color w:val="000000"/>
                <w:kern w:val="0"/>
                <w:sz w:val="21"/>
                <w:szCs w:val="21"/>
                <w:lang w:val="en-US" w:eastAsia="zh-CN"/>
              </w:rPr>
            </w:pPr>
          </w:p>
        </w:tc>
        <w:tc>
          <w:tcPr>
            <w:tcW w:w="1506" w:type="dxa"/>
            <w:vMerge w:val="continue"/>
            <w:tcBorders>
              <w:bottom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p>
        </w:tc>
        <w:tc>
          <w:tcPr>
            <w:tcW w:w="4147" w:type="dxa"/>
            <w:vMerge w:val="continue"/>
            <w:tcBorders>
              <w:bottom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p>
        </w:tc>
        <w:tc>
          <w:tcPr>
            <w:tcW w:w="643" w:type="dxa"/>
            <w:tcBorders>
              <w:top w:val="single" w:color="auto" w:sz="4" w:space="0"/>
              <w:bottom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eastAsia"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一般</w:t>
            </w:r>
          </w:p>
        </w:tc>
        <w:tc>
          <w:tcPr>
            <w:tcW w:w="2924" w:type="dxa"/>
            <w:tcBorders>
              <w:top w:val="single" w:color="auto" w:sz="4" w:space="0"/>
              <w:bottom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eastAsia"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船长大于或者等于12米且小于24米</w:t>
            </w:r>
          </w:p>
        </w:tc>
        <w:tc>
          <w:tcPr>
            <w:tcW w:w="4359" w:type="dxa"/>
            <w:tcBorders>
              <w:top w:val="single" w:color="auto" w:sz="4" w:space="0"/>
              <w:bottom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eastAsia"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没收相关设施和部件</w:t>
            </w:r>
            <w:r>
              <w:rPr>
                <w:rFonts w:hint="eastAsia" w:ascii="仿宋_GB2312" w:hAnsi="仿宋_GB2312" w:eastAsia="仿宋_GB2312" w:cs="仿宋_GB2312"/>
                <w:color w:val="000000"/>
                <w:kern w:val="0"/>
                <w:sz w:val="21"/>
                <w:szCs w:val="21"/>
                <w:lang w:val="en-US" w:eastAsia="zh-CN"/>
              </w:rPr>
              <w:t>，</w:t>
            </w:r>
            <w:r>
              <w:rPr>
                <w:rFonts w:hint="default" w:ascii="仿宋_GB2312" w:hAnsi="仿宋_GB2312" w:eastAsia="仿宋_GB2312" w:cs="仿宋_GB2312"/>
                <w:color w:val="000000"/>
                <w:kern w:val="0"/>
                <w:sz w:val="21"/>
                <w:szCs w:val="21"/>
                <w:lang w:val="en-US" w:eastAsia="zh-CN"/>
              </w:rPr>
              <w:t>处二十万元以上四十万元以下的罚款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4" w:hRule="atLeast"/>
          <w:jc w:val="center"/>
        </w:trPr>
        <w:tc>
          <w:tcPr>
            <w:tcW w:w="421" w:type="dxa"/>
            <w:vMerge w:val="continue"/>
            <w:tcBorders>
              <w:bottom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eastAsia" w:ascii="仿宋_GB2312" w:hAnsi="仿宋_GB2312" w:eastAsia="仿宋_GB2312" w:cs="仿宋_GB2312"/>
                <w:color w:val="000000"/>
                <w:kern w:val="0"/>
                <w:sz w:val="21"/>
                <w:szCs w:val="21"/>
                <w:lang w:val="en-US" w:eastAsia="zh-CN"/>
              </w:rPr>
            </w:pPr>
          </w:p>
        </w:tc>
        <w:tc>
          <w:tcPr>
            <w:tcW w:w="1506" w:type="dxa"/>
            <w:vMerge w:val="continue"/>
            <w:tcBorders>
              <w:bottom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p>
        </w:tc>
        <w:tc>
          <w:tcPr>
            <w:tcW w:w="4147" w:type="dxa"/>
            <w:vMerge w:val="continue"/>
            <w:tcBorders>
              <w:bottom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p>
        </w:tc>
        <w:tc>
          <w:tcPr>
            <w:tcW w:w="643" w:type="dxa"/>
            <w:tcBorders>
              <w:top w:val="single" w:color="auto" w:sz="4" w:space="0"/>
              <w:bottom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eastAsia"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从重</w:t>
            </w:r>
          </w:p>
        </w:tc>
        <w:tc>
          <w:tcPr>
            <w:tcW w:w="2924" w:type="dxa"/>
            <w:tcBorders>
              <w:top w:val="single" w:color="auto" w:sz="4" w:space="0"/>
              <w:bottom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eastAsia"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船长大于或者等于24米</w:t>
            </w:r>
          </w:p>
        </w:tc>
        <w:tc>
          <w:tcPr>
            <w:tcW w:w="4359" w:type="dxa"/>
            <w:tcBorders>
              <w:top w:val="single" w:color="auto" w:sz="4" w:space="0"/>
              <w:bottom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eastAsia"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没收相关设施和部件</w:t>
            </w:r>
            <w:r>
              <w:rPr>
                <w:rFonts w:hint="eastAsia" w:ascii="仿宋_GB2312" w:hAnsi="仿宋_GB2312" w:eastAsia="仿宋_GB2312" w:cs="仿宋_GB2312"/>
                <w:color w:val="000000"/>
                <w:kern w:val="0"/>
                <w:sz w:val="21"/>
                <w:szCs w:val="21"/>
                <w:lang w:val="en-US" w:eastAsia="zh-CN"/>
              </w:rPr>
              <w:t>，</w:t>
            </w:r>
            <w:r>
              <w:rPr>
                <w:rFonts w:hint="default" w:ascii="仿宋_GB2312" w:hAnsi="仿宋_GB2312" w:eastAsia="仿宋_GB2312" w:cs="仿宋_GB2312"/>
                <w:color w:val="000000"/>
                <w:kern w:val="0"/>
                <w:sz w:val="21"/>
                <w:szCs w:val="21"/>
                <w:lang w:val="en-US" w:eastAsia="zh-CN"/>
              </w:rPr>
              <w:t>处四十万元以上不超过五十万元的罚款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3" w:hRule="atLeast"/>
          <w:jc w:val="center"/>
        </w:trPr>
        <w:tc>
          <w:tcPr>
            <w:tcW w:w="421" w:type="dxa"/>
            <w:vMerge w:val="restart"/>
            <w:tcBorders>
              <w:top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r>
              <w:rPr>
                <w:rFonts w:hint="eastAsia" w:ascii="仿宋_GB2312" w:hAnsi="仿宋_GB2312" w:eastAsia="仿宋_GB2312" w:cs="仿宋_GB2312"/>
                <w:color w:val="000000"/>
                <w:kern w:val="0"/>
                <w:sz w:val="21"/>
                <w:szCs w:val="21"/>
                <w:lang w:val="en-US" w:eastAsia="zh-CN"/>
              </w:rPr>
              <w:t>87</w:t>
            </w:r>
          </w:p>
        </w:tc>
        <w:tc>
          <w:tcPr>
            <w:tcW w:w="1506" w:type="dxa"/>
            <w:vMerge w:val="restart"/>
            <w:tcBorders>
              <w:top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未取得渔业船网工具指标批准书或者未按渔业船网工具指标批准书核定的内容委托更新改造海洋捕捞渔业船舶的</w:t>
            </w:r>
          </w:p>
        </w:tc>
        <w:tc>
          <w:tcPr>
            <w:tcW w:w="4147" w:type="dxa"/>
            <w:vMerge w:val="restart"/>
            <w:tcBorders>
              <w:top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山东省规范海洋渔业船舶捕捞规定》第四条第一款“制造、更新改造海洋捕捞渔业船舶，应当取得渔业船网工具指标批准书。……违法更新改造海洋捕捞渔业船舶的，责令改正，对船舶所有人处五万元以上三十万元以下的罚款，情节严重的，并处没收船舶。……”</w:t>
            </w:r>
          </w:p>
        </w:tc>
        <w:tc>
          <w:tcPr>
            <w:tcW w:w="643" w:type="dxa"/>
            <w:tcBorders>
              <w:top w:val="single" w:color="auto" w:sz="4" w:space="0"/>
              <w:bottom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eastAsia"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从轻</w:t>
            </w:r>
          </w:p>
        </w:tc>
        <w:tc>
          <w:tcPr>
            <w:tcW w:w="2924" w:type="dxa"/>
            <w:tcBorders>
              <w:top w:val="single" w:color="auto" w:sz="4" w:space="0"/>
              <w:bottom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eastAsia"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船长小于12米</w:t>
            </w:r>
          </w:p>
        </w:tc>
        <w:tc>
          <w:tcPr>
            <w:tcW w:w="4359" w:type="dxa"/>
            <w:tcBorders>
              <w:top w:val="single" w:color="auto" w:sz="4" w:space="0"/>
              <w:bottom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eastAsia"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责令改正</w:t>
            </w:r>
            <w:r>
              <w:rPr>
                <w:rFonts w:hint="eastAsia" w:ascii="仿宋_GB2312" w:hAnsi="仿宋_GB2312" w:eastAsia="仿宋_GB2312" w:cs="仿宋_GB2312"/>
                <w:color w:val="000000"/>
                <w:kern w:val="0"/>
                <w:sz w:val="21"/>
                <w:szCs w:val="21"/>
                <w:lang w:val="en-US" w:eastAsia="zh-CN"/>
              </w:rPr>
              <w:t>，</w:t>
            </w:r>
            <w:r>
              <w:rPr>
                <w:rFonts w:hint="default" w:ascii="仿宋_GB2312" w:hAnsi="仿宋_GB2312" w:eastAsia="仿宋_GB2312" w:cs="仿宋_GB2312"/>
                <w:color w:val="000000"/>
                <w:kern w:val="0"/>
                <w:sz w:val="21"/>
                <w:szCs w:val="21"/>
                <w:lang w:val="en-US" w:eastAsia="zh-CN"/>
              </w:rPr>
              <w:t>处五万元以上十万元以下的罚款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3" w:hRule="atLeast"/>
          <w:jc w:val="center"/>
        </w:trPr>
        <w:tc>
          <w:tcPr>
            <w:tcW w:w="421" w:type="dxa"/>
            <w:vMerge w:val="continue"/>
            <w:tcBorders>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p>
        </w:tc>
        <w:tc>
          <w:tcPr>
            <w:tcW w:w="1506" w:type="dxa"/>
            <w:vMerge w:val="continue"/>
            <w:tcBorders>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p>
        </w:tc>
        <w:tc>
          <w:tcPr>
            <w:tcW w:w="4147" w:type="dxa"/>
            <w:vMerge w:val="continue"/>
            <w:tcBorders>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p>
        </w:tc>
        <w:tc>
          <w:tcPr>
            <w:tcW w:w="643" w:type="dxa"/>
            <w:tcBorders>
              <w:top w:val="single" w:color="auto" w:sz="4" w:space="0"/>
              <w:bottom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eastAsia"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一般</w:t>
            </w:r>
          </w:p>
        </w:tc>
        <w:tc>
          <w:tcPr>
            <w:tcW w:w="2924" w:type="dxa"/>
            <w:tcBorders>
              <w:top w:val="single" w:color="auto" w:sz="4" w:space="0"/>
              <w:bottom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eastAsia"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船长大于或者等于12米且小于24米</w:t>
            </w:r>
          </w:p>
        </w:tc>
        <w:tc>
          <w:tcPr>
            <w:tcW w:w="4359" w:type="dxa"/>
            <w:tcBorders>
              <w:top w:val="single" w:color="auto" w:sz="4" w:space="0"/>
              <w:bottom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eastAsia"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责令改正</w:t>
            </w:r>
            <w:r>
              <w:rPr>
                <w:rFonts w:hint="eastAsia" w:ascii="仿宋_GB2312" w:hAnsi="仿宋_GB2312" w:eastAsia="仿宋_GB2312" w:cs="仿宋_GB2312"/>
                <w:color w:val="000000"/>
                <w:kern w:val="0"/>
                <w:sz w:val="21"/>
                <w:szCs w:val="21"/>
                <w:lang w:val="en-US" w:eastAsia="zh-CN"/>
              </w:rPr>
              <w:t>，</w:t>
            </w:r>
            <w:r>
              <w:rPr>
                <w:rFonts w:hint="default" w:ascii="仿宋_GB2312" w:hAnsi="仿宋_GB2312" w:eastAsia="仿宋_GB2312" w:cs="仿宋_GB2312"/>
                <w:color w:val="000000"/>
                <w:kern w:val="0"/>
                <w:sz w:val="21"/>
                <w:szCs w:val="21"/>
                <w:lang w:val="en-US" w:eastAsia="zh-CN"/>
              </w:rPr>
              <w:t>处十万元以上二十万元以下的罚款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6" w:hRule="atLeast"/>
          <w:jc w:val="center"/>
        </w:trPr>
        <w:tc>
          <w:tcPr>
            <w:tcW w:w="421" w:type="dxa"/>
            <w:vMerge w:val="continue"/>
            <w:tcBorders>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p>
        </w:tc>
        <w:tc>
          <w:tcPr>
            <w:tcW w:w="1506" w:type="dxa"/>
            <w:vMerge w:val="continue"/>
            <w:tcBorders>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p>
        </w:tc>
        <w:tc>
          <w:tcPr>
            <w:tcW w:w="4147" w:type="dxa"/>
            <w:vMerge w:val="continue"/>
            <w:tcBorders>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p>
        </w:tc>
        <w:tc>
          <w:tcPr>
            <w:tcW w:w="643" w:type="dxa"/>
            <w:tcBorders>
              <w:top w:val="single" w:color="auto" w:sz="4" w:space="0"/>
              <w:bottom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eastAsia"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从重</w:t>
            </w:r>
          </w:p>
        </w:tc>
        <w:tc>
          <w:tcPr>
            <w:tcW w:w="2924" w:type="dxa"/>
            <w:tcBorders>
              <w:top w:val="single" w:color="auto" w:sz="4" w:space="0"/>
              <w:bottom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eastAsia"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船长大于或者等于24米；改变渔船主尺度等重大改建的</w:t>
            </w:r>
          </w:p>
        </w:tc>
        <w:tc>
          <w:tcPr>
            <w:tcW w:w="4359" w:type="dxa"/>
            <w:tcBorders>
              <w:top w:val="single" w:color="auto" w:sz="4" w:space="0"/>
              <w:bottom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eastAsia"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责令改正</w:t>
            </w:r>
            <w:r>
              <w:rPr>
                <w:rFonts w:hint="eastAsia" w:ascii="仿宋_GB2312" w:hAnsi="仿宋_GB2312" w:eastAsia="仿宋_GB2312" w:cs="仿宋_GB2312"/>
                <w:color w:val="000000"/>
                <w:kern w:val="0"/>
                <w:sz w:val="21"/>
                <w:szCs w:val="21"/>
                <w:lang w:val="en-US" w:eastAsia="zh-CN"/>
              </w:rPr>
              <w:t>，</w:t>
            </w:r>
            <w:r>
              <w:rPr>
                <w:rFonts w:hint="default" w:ascii="仿宋_GB2312" w:hAnsi="仿宋_GB2312" w:eastAsia="仿宋_GB2312" w:cs="仿宋_GB2312"/>
                <w:color w:val="000000"/>
                <w:kern w:val="0"/>
                <w:sz w:val="21"/>
                <w:szCs w:val="21"/>
                <w:lang w:val="en-US" w:eastAsia="zh-CN"/>
              </w:rPr>
              <w:t>处二十万元以上不超过三十万元的罚款；改变渔船主尺度等重大改建的没收船舶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9" w:hRule="atLeast"/>
          <w:jc w:val="center"/>
        </w:trPr>
        <w:tc>
          <w:tcPr>
            <w:tcW w:w="421" w:type="dxa"/>
            <w:vMerge w:val="restart"/>
            <w:tcBorders>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r>
              <w:rPr>
                <w:rFonts w:hint="eastAsia" w:ascii="仿宋_GB2312" w:hAnsi="仿宋_GB2312" w:eastAsia="仿宋_GB2312" w:cs="仿宋_GB2312"/>
                <w:color w:val="000000"/>
                <w:kern w:val="0"/>
                <w:sz w:val="21"/>
                <w:szCs w:val="21"/>
                <w:lang w:val="en-US" w:eastAsia="zh-CN"/>
              </w:rPr>
              <w:t>88</w:t>
            </w:r>
          </w:p>
        </w:tc>
        <w:tc>
          <w:tcPr>
            <w:tcW w:w="1506" w:type="dxa"/>
            <w:vMerge w:val="restart"/>
            <w:tcBorders>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为违法制造、更新改造海洋捕捞渔业船舶提供场地、设施或者实施制造、更新改造行为的</w:t>
            </w:r>
          </w:p>
        </w:tc>
        <w:tc>
          <w:tcPr>
            <w:tcW w:w="4147" w:type="dxa"/>
            <w:vMerge w:val="restart"/>
            <w:tcBorders>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《山东省规范海洋渔业船舶捕捞规定》第四条第一款“……对提供场地、设施或者实施制造、更新改造行为的单位或者个人，责令停止违法行为，没收违法所得，并处二十万元以上一百万元以下的罚款。……”</w:t>
            </w:r>
          </w:p>
        </w:tc>
        <w:tc>
          <w:tcPr>
            <w:tcW w:w="643" w:type="dxa"/>
            <w:tcBorders>
              <w:top w:val="single" w:color="auto" w:sz="4" w:space="0"/>
              <w:bottom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从轻</w:t>
            </w:r>
          </w:p>
        </w:tc>
        <w:tc>
          <w:tcPr>
            <w:tcW w:w="2924" w:type="dxa"/>
            <w:tcBorders>
              <w:top w:val="single" w:color="auto" w:sz="4" w:space="0"/>
              <w:bottom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船长小于12米</w:t>
            </w:r>
          </w:p>
        </w:tc>
        <w:tc>
          <w:tcPr>
            <w:tcW w:w="4359" w:type="dxa"/>
            <w:tcBorders>
              <w:top w:val="single" w:color="auto" w:sz="4" w:space="0"/>
              <w:bottom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责令停止违法行为，没收违法所得</w:t>
            </w:r>
            <w:r>
              <w:rPr>
                <w:rFonts w:hint="eastAsia" w:ascii="仿宋_GB2312" w:hAnsi="仿宋_GB2312" w:eastAsia="仿宋_GB2312" w:cs="仿宋_GB2312"/>
                <w:color w:val="000000"/>
                <w:kern w:val="0"/>
                <w:sz w:val="21"/>
                <w:szCs w:val="21"/>
                <w:lang w:val="en-US" w:eastAsia="zh-CN"/>
              </w:rPr>
              <w:t>，</w:t>
            </w:r>
            <w:r>
              <w:rPr>
                <w:rFonts w:hint="default" w:ascii="仿宋_GB2312" w:hAnsi="仿宋_GB2312" w:eastAsia="仿宋_GB2312" w:cs="仿宋_GB2312"/>
                <w:color w:val="000000"/>
                <w:kern w:val="0"/>
                <w:sz w:val="21"/>
                <w:szCs w:val="21"/>
                <w:lang w:val="en-US" w:eastAsia="zh-CN"/>
              </w:rPr>
              <w:t>处二十万元以上五十万元以下的罚款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9" w:hRule="atLeast"/>
          <w:jc w:val="center"/>
        </w:trPr>
        <w:tc>
          <w:tcPr>
            <w:tcW w:w="421" w:type="dxa"/>
            <w:vMerge w:val="continue"/>
            <w:tcBorders>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p>
        </w:tc>
        <w:tc>
          <w:tcPr>
            <w:tcW w:w="1506" w:type="dxa"/>
            <w:vMerge w:val="continue"/>
            <w:tcBorders>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p>
        </w:tc>
        <w:tc>
          <w:tcPr>
            <w:tcW w:w="4147" w:type="dxa"/>
            <w:vMerge w:val="continue"/>
            <w:tcBorders>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p>
        </w:tc>
        <w:tc>
          <w:tcPr>
            <w:tcW w:w="643" w:type="dxa"/>
            <w:tcBorders>
              <w:top w:val="single" w:color="auto" w:sz="4" w:space="0"/>
              <w:bottom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一般</w:t>
            </w:r>
          </w:p>
        </w:tc>
        <w:tc>
          <w:tcPr>
            <w:tcW w:w="2924" w:type="dxa"/>
            <w:tcBorders>
              <w:top w:val="single" w:color="auto" w:sz="4" w:space="0"/>
              <w:bottom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船长大于或者等于12米且小于24米</w:t>
            </w:r>
          </w:p>
        </w:tc>
        <w:tc>
          <w:tcPr>
            <w:tcW w:w="4359" w:type="dxa"/>
            <w:tcBorders>
              <w:top w:val="single" w:color="auto" w:sz="4" w:space="0"/>
              <w:bottom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责令停止违法行为，没收违法所得</w:t>
            </w:r>
            <w:r>
              <w:rPr>
                <w:rFonts w:hint="eastAsia" w:ascii="仿宋_GB2312" w:hAnsi="仿宋_GB2312" w:eastAsia="仿宋_GB2312" w:cs="仿宋_GB2312"/>
                <w:color w:val="000000"/>
                <w:kern w:val="0"/>
                <w:sz w:val="21"/>
                <w:szCs w:val="21"/>
                <w:lang w:val="en-US" w:eastAsia="zh-CN"/>
              </w:rPr>
              <w:t>，</w:t>
            </w:r>
            <w:r>
              <w:rPr>
                <w:rFonts w:hint="default" w:ascii="仿宋_GB2312" w:hAnsi="仿宋_GB2312" w:eastAsia="仿宋_GB2312" w:cs="仿宋_GB2312"/>
                <w:color w:val="000000"/>
                <w:kern w:val="0"/>
                <w:sz w:val="21"/>
                <w:szCs w:val="21"/>
                <w:lang w:val="en-US" w:eastAsia="zh-CN"/>
              </w:rPr>
              <w:t>处五十万元以上八十万元以下的罚款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jc w:val="center"/>
        </w:trPr>
        <w:tc>
          <w:tcPr>
            <w:tcW w:w="421" w:type="dxa"/>
            <w:vMerge w:val="continue"/>
            <w:tcBorders>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p>
        </w:tc>
        <w:tc>
          <w:tcPr>
            <w:tcW w:w="1506" w:type="dxa"/>
            <w:vMerge w:val="continue"/>
            <w:tcBorders>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p>
        </w:tc>
        <w:tc>
          <w:tcPr>
            <w:tcW w:w="4147" w:type="dxa"/>
            <w:vMerge w:val="continue"/>
            <w:tcBorders>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p>
        </w:tc>
        <w:tc>
          <w:tcPr>
            <w:tcW w:w="643" w:type="dxa"/>
            <w:tcBorders>
              <w:top w:val="single" w:color="auto" w:sz="4" w:space="0"/>
              <w:bottom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从重</w:t>
            </w:r>
          </w:p>
        </w:tc>
        <w:tc>
          <w:tcPr>
            <w:tcW w:w="2924" w:type="dxa"/>
            <w:tcBorders>
              <w:top w:val="single" w:color="auto" w:sz="4" w:space="0"/>
              <w:bottom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船长大于或者等于24米</w:t>
            </w:r>
          </w:p>
        </w:tc>
        <w:tc>
          <w:tcPr>
            <w:tcW w:w="4359" w:type="dxa"/>
            <w:tcBorders>
              <w:top w:val="single" w:color="auto" w:sz="4" w:space="0"/>
              <w:bottom w:val="single" w:color="auto" w:sz="4" w:space="0"/>
              <w:tl2br w:val="nil"/>
              <w:tr2bl w:val="nil"/>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default"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责令停止违法行为，没收违法所得</w:t>
            </w:r>
            <w:r>
              <w:rPr>
                <w:rFonts w:hint="eastAsia" w:ascii="仿宋_GB2312" w:hAnsi="仿宋_GB2312" w:eastAsia="仿宋_GB2312" w:cs="仿宋_GB2312"/>
                <w:color w:val="000000"/>
                <w:kern w:val="0"/>
                <w:sz w:val="21"/>
                <w:szCs w:val="21"/>
                <w:lang w:val="en-US" w:eastAsia="zh-CN"/>
              </w:rPr>
              <w:t>，</w:t>
            </w:r>
            <w:r>
              <w:rPr>
                <w:rFonts w:hint="default" w:ascii="仿宋_GB2312" w:hAnsi="仿宋_GB2312" w:eastAsia="仿宋_GB2312" w:cs="仿宋_GB2312"/>
                <w:color w:val="000000"/>
                <w:kern w:val="0"/>
                <w:sz w:val="21"/>
                <w:szCs w:val="21"/>
                <w:lang w:val="en-US" w:eastAsia="zh-CN"/>
              </w:rPr>
              <w:t>处八十万元以上不超过一百万元的罚款</w:t>
            </w:r>
          </w:p>
        </w:tc>
      </w:tr>
    </w:tbl>
    <w:p>
      <w:pPr>
        <w:pStyle w:val="2"/>
        <w:rPr>
          <w:rFonts w:hint="default" w:eastAsia="宋体"/>
          <w:lang w:val="en-US" w:eastAsia="zh-CN"/>
        </w:rPr>
      </w:pPr>
      <w:r>
        <w:rPr>
          <w:rFonts w:hint="eastAsia"/>
          <w:lang w:val="en-US" w:eastAsia="zh-CN"/>
        </w:rPr>
        <w:t>备注：</w:t>
      </w:r>
      <w:r>
        <w:rPr>
          <w:rFonts w:hint="default" w:eastAsia="宋体"/>
          <w:lang w:val="en-US" w:eastAsia="zh-CN"/>
        </w:rPr>
        <w:t>本表中“以上”包含本数，“以下”不包含本数。</w:t>
      </w:r>
    </w:p>
    <w:sectPr>
      <w:footerReference r:id="rId3" w:type="default"/>
      <w:pgSz w:w="16838" w:h="11906" w:orient="landscape"/>
      <w:pgMar w:top="1418" w:right="1418" w:bottom="1247" w:left="1418" w:header="851" w:footer="850" w:gutter="0"/>
      <w:pgNumType w:start="1"/>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Arial Unicode MS"/>
    <w:panose1 w:val="02000000000000000000"/>
    <w:charset w:val="86"/>
    <w:family w:val="auto"/>
    <w:pitch w:val="default"/>
    <w:sig w:usb0="00000000" w:usb1="00000000" w:usb2="00000012" w:usb3="00000000" w:csb0="00040001" w:csb1="00000000"/>
  </w:font>
  <w:font w:name="等线">
    <w:panose1 w:val="02010600030101010101"/>
    <w:charset w:val="86"/>
    <w:family w:val="auto"/>
    <w:pitch w:val="default"/>
    <w:sig w:usb0="A00002BF" w:usb1="38CF7CFA"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rPr>
        <w:rFonts w:asciiTheme="minorEastAsia" w:hAnsiTheme="minorEastAsia" w:eastAsiaTheme="minorEastAsia"/>
        <w:sz w:val="24"/>
        <w:szCs w:val="24"/>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dit="readOnly"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jUzMzVlMmVhZjM1NTE1OWNlMGU4ZTc0YjM1ZTFmYmUifQ=="/>
  </w:docVars>
  <w:rsids>
    <w:rsidRoot w:val="776FC85A"/>
    <w:rsid w:val="0009617A"/>
    <w:rsid w:val="0015170A"/>
    <w:rsid w:val="0017595F"/>
    <w:rsid w:val="001A4586"/>
    <w:rsid w:val="001C1B41"/>
    <w:rsid w:val="001E3C8C"/>
    <w:rsid w:val="00247399"/>
    <w:rsid w:val="00256A40"/>
    <w:rsid w:val="00276FBD"/>
    <w:rsid w:val="00286FD2"/>
    <w:rsid w:val="00297675"/>
    <w:rsid w:val="002A70EF"/>
    <w:rsid w:val="002B0D7D"/>
    <w:rsid w:val="002C1B11"/>
    <w:rsid w:val="003144AB"/>
    <w:rsid w:val="00346259"/>
    <w:rsid w:val="00406F47"/>
    <w:rsid w:val="00436F44"/>
    <w:rsid w:val="004624E0"/>
    <w:rsid w:val="004873B7"/>
    <w:rsid w:val="004B71A3"/>
    <w:rsid w:val="004F5056"/>
    <w:rsid w:val="00535D70"/>
    <w:rsid w:val="00552F41"/>
    <w:rsid w:val="005875BA"/>
    <w:rsid w:val="005B1ADA"/>
    <w:rsid w:val="00662AB6"/>
    <w:rsid w:val="006653DC"/>
    <w:rsid w:val="00666282"/>
    <w:rsid w:val="00685543"/>
    <w:rsid w:val="006E5DEC"/>
    <w:rsid w:val="00741D5A"/>
    <w:rsid w:val="007956A6"/>
    <w:rsid w:val="007A5C81"/>
    <w:rsid w:val="008160AB"/>
    <w:rsid w:val="0083472B"/>
    <w:rsid w:val="00941ED8"/>
    <w:rsid w:val="00A24316"/>
    <w:rsid w:val="00A84DE7"/>
    <w:rsid w:val="00A967E0"/>
    <w:rsid w:val="00AB0294"/>
    <w:rsid w:val="00AC609B"/>
    <w:rsid w:val="00AD0E66"/>
    <w:rsid w:val="00B040BF"/>
    <w:rsid w:val="00B22432"/>
    <w:rsid w:val="00B91D33"/>
    <w:rsid w:val="00B959E5"/>
    <w:rsid w:val="00B96269"/>
    <w:rsid w:val="00C133D9"/>
    <w:rsid w:val="00C37274"/>
    <w:rsid w:val="00CF7EC3"/>
    <w:rsid w:val="00D14EEC"/>
    <w:rsid w:val="00D44BCA"/>
    <w:rsid w:val="00D4729E"/>
    <w:rsid w:val="00D737D5"/>
    <w:rsid w:val="00DA637B"/>
    <w:rsid w:val="00DB0DBC"/>
    <w:rsid w:val="00DB44CA"/>
    <w:rsid w:val="00DC5D75"/>
    <w:rsid w:val="00DE74E4"/>
    <w:rsid w:val="00E27E25"/>
    <w:rsid w:val="00E414C6"/>
    <w:rsid w:val="00F709A7"/>
    <w:rsid w:val="00F87D49"/>
    <w:rsid w:val="00FF1DED"/>
    <w:rsid w:val="0BFE56F6"/>
    <w:rsid w:val="242719A8"/>
    <w:rsid w:val="2F7F12DD"/>
    <w:rsid w:val="3ADF5BC3"/>
    <w:rsid w:val="4F7AFD90"/>
    <w:rsid w:val="63EFFBD2"/>
    <w:rsid w:val="6FBFECE0"/>
    <w:rsid w:val="776FC85A"/>
    <w:rsid w:val="778F5597"/>
    <w:rsid w:val="7BBC8B4E"/>
    <w:rsid w:val="7DF3EE21"/>
    <w:rsid w:val="7F4E4136"/>
    <w:rsid w:val="7FFE078A"/>
    <w:rsid w:val="9CF7AAF4"/>
    <w:rsid w:val="BBF60BAA"/>
    <w:rsid w:val="BFEC8C04"/>
    <w:rsid w:val="CFDA4FB5"/>
    <w:rsid w:val="CFFFD7E7"/>
    <w:rsid w:val="D4FC3392"/>
    <w:rsid w:val="DBF51C5E"/>
    <w:rsid w:val="DBFFCC15"/>
    <w:rsid w:val="DD712175"/>
    <w:rsid w:val="DF748027"/>
    <w:rsid w:val="DF93CB89"/>
    <w:rsid w:val="EB836D8C"/>
    <w:rsid w:val="F8FE55ED"/>
    <w:rsid w:val="FC8F82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Plain Text"/>
    <w:basedOn w:val="1"/>
    <w:qFormat/>
    <w:uiPriority w:val="0"/>
    <w:rPr>
      <w:rFonts w:ascii="宋体" w:hAnsi="Courier New"/>
    </w:rPr>
  </w:style>
  <w:style w:type="paragraph" w:styleId="3">
    <w:name w:val="Balloon Text"/>
    <w:basedOn w:val="1"/>
    <w:link w:val="16"/>
    <w:qFormat/>
    <w:uiPriority w:val="0"/>
    <w:rPr>
      <w:sz w:val="18"/>
      <w:szCs w:val="18"/>
    </w:rPr>
  </w:style>
  <w:style w:type="paragraph" w:styleId="4">
    <w:name w:val="footer"/>
    <w:basedOn w:val="1"/>
    <w:link w:val="18"/>
    <w:qFormat/>
    <w:uiPriority w:val="99"/>
    <w:pPr>
      <w:tabs>
        <w:tab w:val="center" w:pos="4153"/>
        <w:tab w:val="right" w:pos="8306"/>
      </w:tabs>
      <w:snapToGrid w:val="0"/>
      <w:jc w:val="left"/>
    </w:pPr>
    <w:rPr>
      <w:sz w:val="18"/>
      <w:szCs w:val="18"/>
    </w:rPr>
  </w:style>
  <w:style w:type="paragraph" w:styleId="5">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100" w:beforeAutospacing="1" w:after="100" w:afterAutospacing="1"/>
      <w:jc w:val="left"/>
    </w:pPr>
    <w:rPr>
      <w:kern w:val="0"/>
      <w:sz w:val="24"/>
    </w:rPr>
  </w:style>
  <w:style w:type="character" w:customStyle="1" w:styleId="9">
    <w:name w:val="font81"/>
    <w:basedOn w:val="8"/>
    <w:qFormat/>
    <w:uiPriority w:val="0"/>
    <w:rPr>
      <w:rFonts w:hint="eastAsia" w:ascii="仿宋_GB2312" w:eastAsia="仿宋_GB2312" w:cs="仿宋_GB2312"/>
      <w:color w:val="000000"/>
      <w:sz w:val="24"/>
      <w:szCs w:val="24"/>
      <w:u w:val="none"/>
    </w:rPr>
  </w:style>
  <w:style w:type="character" w:customStyle="1" w:styleId="10">
    <w:name w:val="font101"/>
    <w:basedOn w:val="8"/>
    <w:qFormat/>
    <w:uiPriority w:val="0"/>
    <w:rPr>
      <w:rFonts w:hint="eastAsia" w:ascii="仿宋_GB2312" w:eastAsia="仿宋_GB2312" w:cs="仿宋_GB2312"/>
      <w:color w:val="000000"/>
      <w:sz w:val="24"/>
      <w:szCs w:val="24"/>
      <w:u w:val="none"/>
    </w:rPr>
  </w:style>
  <w:style w:type="character" w:customStyle="1" w:styleId="11">
    <w:name w:val="font11"/>
    <w:basedOn w:val="8"/>
    <w:qFormat/>
    <w:uiPriority w:val="0"/>
    <w:rPr>
      <w:rFonts w:hint="eastAsia" w:ascii="黑体" w:hAnsi="宋体" w:eastAsia="黑体" w:cs="黑体"/>
      <w:color w:val="000000"/>
      <w:sz w:val="24"/>
      <w:szCs w:val="24"/>
      <w:u w:val="none"/>
    </w:rPr>
  </w:style>
  <w:style w:type="character" w:customStyle="1" w:styleId="12">
    <w:name w:val="font151"/>
    <w:basedOn w:val="8"/>
    <w:qFormat/>
    <w:uiPriority w:val="0"/>
    <w:rPr>
      <w:rFonts w:hint="default" w:ascii="Times New Roman" w:hAnsi="Times New Roman" w:cs="Times New Roman"/>
      <w:color w:val="000000"/>
      <w:sz w:val="24"/>
      <w:szCs w:val="24"/>
      <w:u w:val="none"/>
    </w:rPr>
  </w:style>
  <w:style w:type="character" w:customStyle="1" w:styleId="13">
    <w:name w:val="font201"/>
    <w:basedOn w:val="8"/>
    <w:qFormat/>
    <w:uiPriority w:val="0"/>
    <w:rPr>
      <w:rFonts w:hint="eastAsia" w:ascii="仿宋_GB2312" w:eastAsia="仿宋_GB2312" w:cs="仿宋_GB2312"/>
      <w:color w:val="000000"/>
      <w:sz w:val="24"/>
      <w:szCs w:val="24"/>
      <w:u w:val="none"/>
    </w:rPr>
  </w:style>
  <w:style w:type="character" w:customStyle="1" w:styleId="14">
    <w:name w:val="font161"/>
    <w:basedOn w:val="8"/>
    <w:qFormat/>
    <w:uiPriority w:val="0"/>
    <w:rPr>
      <w:rFonts w:hint="default" w:ascii="Times New Roman" w:hAnsi="Times New Roman" w:cs="Times New Roman"/>
      <w:color w:val="000000"/>
      <w:sz w:val="24"/>
      <w:szCs w:val="24"/>
      <w:u w:val="none"/>
    </w:rPr>
  </w:style>
  <w:style w:type="character" w:customStyle="1" w:styleId="15">
    <w:name w:val="font191"/>
    <w:basedOn w:val="8"/>
    <w:qFormat/>
    <w:uiPriority w:val="0"/>
    <w:rPr>
      <w:rFonts w:hint="eastAsia" w:ascii="仿宋_GB2312" w:eastAsia="仿宋_GB2312" w:cs="仿宋_GB2312"/>
      <w:b/>
      <w:color w:val="000000"/>
      <w:sz w:val="24"/>
      <w:szCs w:val="24"/>
      <w:u w:val="none"/>
    </w:rPr>
  </w:style>
  <w:style w:type="character" w:customStyle="1" w:styleId="16">
    <w:name w:val="批注框文本 Char"/>
    <w:basedOn w:val="8"/>
    <w:link w:val="3"/>
    <w:qFormat/>
    <w:uiPriority w:val="0"/>
    <w:rPr>
      <w:kern w:val="2"/>
      <w:sz w:val="18"/>
      <w:szCs w:val="18"/>
    </w:rPr>
  </w:style>
  <w:style w:type="character" w:customStyle="1" w:styleId="17">
    <w:name w:val="页眉 Char"/>
    <w:basedOn w:val="8"/>
    <w:link w:val="5"/>
    <w:qFormat/>
    <w:uiPriority w:val="0"/>
    <w:rPr>
      <w:kern w:val="2"/>
      <w:sz w:val="18"/>
      <w:szCs w:val="18"/>
    </w:rPr>
  </w:style>
  <w:style w:type="character" w:customStyle="1" w:styleId="18">
    <w:name w:val="页脚 Char"/>
    <w:basedOn w:val="8"/>
    <w:link w:val="4"/>
    <w:qFormat/>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94</Pages>
  <Words>9260</Words>
  <Characters>52788</Characters>
  <Lines>439</Lines>
  <Paragraphs>123</Paragraphs>
  <TotalTime>29</TotalTime>
  <ScaleCrop>false</ScaleCrop>
  <LinksUpToDate>false</LinksUpToDate>
  <CharactersWithSpaces>61925</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2023-01-11T10:26:00Z</dcterms:created>
  <dc:creator>user</dc:creator>
  <cp:lastModifiedBy>大丰</cp:lastModifiedBy>
  <cp:lastPrinted>2023-02-21T09:29:00Z</cp:lastPrinted>
  <dcterms:modified xsi:type="dcterms:W3CDTF">2023-12-06T12:16:55Z</dcterms:modified>
  <dc:title>关于《山东省农业行政处罚裁量基准（2022）》审议稿的汇报</dc:title>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6A12793052C74ACF8CF7BE98CE2D8811_12</vt:lpwstr>
  </property>
</Properties>
</file>