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70" w:lineRule="atLeast"/>
        <w:ind w:firstLine="640" w:firstLineChars="200"/>
        <w:jc w:val="left"/>
        <w:textAlignment w:val="baseline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附件：泰安市城镇人口密集区危险化学品生产企业搬迁改造第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批验收合格名单</w:t>
      </w:r>
    </w:p>
    <w:bookmarkEnd w:id="0"/>
    <w:p>
      <w:pPr>
        <w:widowControl/>
        <w:spacing w:line="670" w:lineRule="atLeast"/>
        <w:ind w:firstLine="640" w:firstLineChars="200"/>
        <w:jc w:val="left"/>
        <w:textAlignment w:val="baseline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 新泰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浓润化工有限公司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344FA"/>
    <w:rsid w:val="7B53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2020-12-07T01:58:00Z</dcterms:created>
  <dc:creator>小张&amp;</dc:creator>
  <cp:lastModifiedBy>小张&amp;</cp:lastModifiedBy>
  <dcterms:modified xsi:type="dcterms:W3CDTF">2020-12-07T01:58:34Z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