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Times New Roman" w:hAnsi="Times New Roman" w:eastAsia="方正小标宋简体"/>
          <w:color w:val="000000"/>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泰安市人民政府</w:t>
      </w:r>
    </w:p>
    <w:p>
      <w:pPr>
        <w:spacing w:line="600" w:lineRule="exact"/>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sz w:val="44"/>
          <w:szCs w:val="44"/>
          <w:lang w:val="en-US" w:eastAsia="zh-CN"/>
        </w:rPr>
        <w:t>关于修改和废止部分市政府行政规范性文件的决定</w:t>
      </w:r>
    </w:p>
    <w:p>
      <w:pPr>
        <w:spacing w:line="600" w:lineRule="exact"/>
        <w:jc w:val="center"/>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草案征求意见稿</w:t>
      </w:r>
      <w:r>
        <w:rPr>
          <w:rFonts w:hint="eastAsia" w:ascii="楷体_GB2312" w:hAnsi="楷体_GB2312" w:eastAsia="楷体_GB2312" w:cs="楷体_GB2312"/>
          <w:color w:val="000000"/>
          <w:sz w:val="32"/>
          <w:szCs w:val="32"/>
          <w:lang w:eastAsia="zh-CN"/>
        </w:rPr>
        <w:t>）</w:t>
      </w:r>
    </w:p>
    <w:p>
      <w:pPr>
        <w:spacing w:line="600" w:lineRule="exact"/>
        <w:jc w:val="center"/>
        <w:rPr>
          <w:rFonts w:hint="eastAsia" w:ascii="Times New Roman" w:hAnsi="Times New Roman" w:eastAsia="方正小标宋简体"/>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000000"/>
          <w:szCs w:val="32"/>
          <w:lang w:val="en-US" w:eastAsia="zh-CN"/>
        </w:rPr>
      </w:pPr>
      <w:r>
        <w:rPr>
          <w:rFonts w:hint="default" w:ascii="Times New Roman" w:hAnsi="Times New Roman" w:cs="Times New Roman"/>
          <w:color w:val="000000"/>
          <w:szCs w:val="32"/>
        </w:rPr>
        <w:t>为</w:t>
      </w:r>
      <w:r>
        <w:rPr>
          <w:rFonts w:hint="default" w:ascii="Times New Roman" w:hAnsi="Times New Roman" w:cs="Times New Roman"/>
          <w:color w:val="000000"/>
          <w:szCs w:val="32"/>
          <w:lang w:val="en-US" w:eastAsia="zh-CN"/>
        </w:rPr>
        <w:t>贯彻落实新修订的《行政处罚法》《未成年人保护法》等法律法规，维护法制统一，促进依法行政，经对现行有效的市政府行政规范性文件进行清理</w:t>
      </w:r>
      <w:r>
        <w:rPr>
          <w:rFonts w:hint="default" w:ascii="Times New Roman" w:hAnsi="Times New Roman" w:cs="Times New Roman"/>
          <w:color w:val="000000"/>
          <w:szCs w:val="32"/>
        </w:rPr>
        <w:t>，</w:t>
      </w:r>
      <w:r>
        <w:rPr>
          <w:rFonts w:hint="default" w:ascii="Times New Roman" w:hAnsi="Times New Roman" w:cs="Times New Roman"/>
          <w:color w:val="000000"/>
          <w:szCs w:val="32"/>
          <w:lang w:val="en-US" w:eastAsia="zh-CN"/>
        </w:rPr>
        <w:t>市政府</w:t>
      </w:r>
      <w:r>
        <w:rPr>
          <w:rFonts w:hint="default" w:ascii="Times New Roman" w:hAnsi="Times New Roman" w:cs="Times New Roman"/>
          <w:color w:val="000000"/>
          <w:szCs w:val="32"/>
        </w:rPr>
        <w:t>决定</w:t>
      </w:r>
      <w:r>
        <w:rPr>
          <w:rFonts w:hint="default" w:ascii="Times New Roman" w:hAnsi="Times New Roman" w:cs="Times New Roman"/>
          <w:color w:val="000000"/>
          <w:szCs w:val="32"/>
          <w:lang w:eastAsia="zh-CN"/>
        </w:rPr>
        <w:t>，</w:t>
      </w:r>
      <w:r>
        <w:rPr>
          <w:rFonts w:hint="default" w:ascii="Times New Roman" w:hAnsi="Times New Roman" w:cs="Times New Roman"/>
          <w:color w:val="000000"/>
          <w:szCs w:val="32"/>
          <w:lang w:val="en-US" w:eastAsia="zh-CN"/>
        </w:rPr>
        <w:t>对下列市政府行政规范性文件予以修改和废止：</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b w:val="0"/>
          <w:bCs w:val="0"/>
          <w:color w:val="000000"/>
          <w:szCs w:val="32"/>
          <w:lang w:val="en-US" w:eastAsia="zh-CN"/>
        </w:rPr>
      </w:pPr>
      <w:r>
        <w:rPr>
          <w:rFonts w:hint="default" w:ascii="Times New Roman" w:hAnsi="Times New Roman" w:eastAsia="黑体" w:cs="Times New Roman"/>
          <w:b w:val="0"/>
          <w:bCs w:val="0"/>
          <w:color w:val="000000"/>
          <w:kern w:val="2"/>
          <w:sz w:val="32"/>
          <w:szCs w:val="32"/>
          <w:lang w:val="en-US" w:eastAsia="zh-CN" w:bidi="ar-SA"/>
        </w:rPr>
        <w:t>一、对《泰安市封山育林管理办法</w:t>
      </w:r>
      <w:r>
        <w:rPr>
          <w:rFonts w:hint="default" w:ascii="Times New Roman" w:hAnsi="Times New Roman" w:eastAsia="黑体" w:cs="Times New Roman"/>
          <w:b w:val="0"/>
          <w:bCs w:val="0"/>
          <w:color w:val="000000"/>
          <w:kern w:val="2"/>
          <w:sz w:val="32"/>
          <w:szCs w:val="32"/>
          <w:lang w:val="en-US" w:eastAsia="zh-CN" w:bidi="ar-SA"/>
        </w:rPr>
        <w:t>》</w:t>
      </w:r>
      <w:r>
        <w:rPr>
          <w:rFonts w:hint="default" w:ascii="Times New Roman" w:hAnsi="Times New Roman" w:eastAsia="黑体" w:cs="Times New Roman"/>
          <w:b w:val="0"/>
          <w:bCs w:val="0"/>
          <w:color w:val="000000"/>
          <w:kern w:val="2"/>
          <w:sz w:val="32"/>
          <w:szCs w:val="32"/>
          <w:lang w:val="en-US" w:eastAsia="zh-CN" w:bidi="ar-SA"/>
        </w:rPr>
        <w:t>（市政府令第122号）</w:t>
      </w:r>
      <w:r>
        <w:rPr>
          <w:rFonts w:hint="default" w:ascii="Times New Roman" w:hAnsi="Times New Roman" w:eastAsia="黑体" w:cs="Times New Roman"/>
          <w:b w:val="0"/>
          <w:bCs w:val="0"/>
          <w:color w:val="000000"/>
          <w:szCs w:val="32"/>
          <w:lang w:val="en-US" w:eastAsia="zh-CN"/>
        </w:rPr>
        <w:t>作出修改：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删去第二十三条、第二十四条、第二十五条。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b w:val="0"/>
          <w:bCs w:val="0"/>
          <w:color w:val="000000"/>
          <w:szCs w:val="32"/>
          <w:lang w:val="en-US" w:eastAsia="zh-CN"/>
        </w:rPr>
      </w:pPr>
      <w:r>
        <w:rPr>
          <w:rFonts w:hint="default" w:ascii="Times New Roman" w:hAnsi="Times New Roman" w:eastAsia="黑体" w:cs="Times New Roman"/>
          <w:b w:val="0"/>
          <w:bCs w:val="0"/>
          <w:color w:val="000000"/>
          <w:szCs w:val="32"/>
          <w:lang w:val="en-US" w:eastAsia="zh-CN"/>
        </w:rPr>
        <w:t>二、对《泰安市人民政府办公室关于印发泰安市烟草制品零售点合理布局管理办法的通知》（泰政办发〔2011〕6号）作出修改：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1.第八条修改为：“残疾人、下岗失业人员、城乡低保户、军烈属申请零售点的，不受合理布局规定的限制，但申请人仅享受一次照顾，且经营场所的安全要求和中小学、幼儿园周围的限制性规定等不得放宽。每户家庭只能申请经营1个零售点，并仅限本户人员经营，否则，烟草专卖行政主管部门将依法收回零售许可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2.第九条修改为：“烟草专卖零售许可证有效期内，因经营地址名称等登记事项发生改变或因道路规划、城市建设等客观原因造成经营地址变化，持证人提出变更申请的，不受合理布局规定的限制，但不得违反经营场所安全要求和中小学、幼儿园周围的限制性规定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3.第十条修改为：“属于下列情形之一的，禁止设置零售点：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（一）经营易燃、易爆、有毒、有害等物品，基于安全因素不适宜经营卷烟的；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（二）中小学、幼儿园院内及校门口可行距离50米以内；</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（三）自动售货机、柜；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（四）流动的摊、点、车等；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（五）通过信息、网络销售烟草制品的；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（六）外商投资的商业企业和个体工商户；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（七）取消从事烟草专卖业务资格不满三年的；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（八）因申请人隐瞒有关情况或者提供虚假材料，烟草专卖局作出不予受理或者不予发证决定后，申请人一年内再次提出申请的；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（九）因申请人以欺骗、贿赂等不正当手段取得的烟草专卖许可证被撤销后，申请人三年内再次提出申请的；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（十）未领取烟草专卖零售许可证经营烟草专卖品业务，并且一年内被执法机关处罚两次以上，在三年内申请领取烟草专卖零售许可证的；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（十一）未领取烟草专卖零售许可证经营烟草专卖品业务被追究刑事责任，在3年内申请领取烟草专卖零售许可证的；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（十二）法律、法规、规章规定的其他不予发证的情形。”</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4.第十三条修改为：“有下列情形之一的，烟草专卖零售许可证有效期届满后不予延续：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（一）经营场所基于安全因素不适宜经营卷烟的；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（二）中小学、幼儿园周围；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（三）经营主体发生变化的；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（四）不再具备固定经营场所的；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（五）经营场所不再与住所相独立的；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（六）经营场所条件发生变化导致其既不符合取得许可时也不符合申请延续时的烟草制品零售点合理布局规划要求的；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（七）非法生产经营烟草专卖品数额在5万元以上或者违法所得数额在2万元以上或者非法经营卷烟20万支以上，未被追究刑事责任的；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（八）因非法生产经营烟草专卖品被追究刑事责任的；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（九）买卖、出租、出借或者以其他形式非法转让烟草专卖许可证的；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（十）被市场监管部门吊销营业执照的；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（十一）其他严重违法行为的。”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b w:val="0"/>
          <w:bCs w:val="0"/>
          <w:color w:val="000000"/>
          <w:szCs w:val="32"/>
          <w:lang w:val="en-US" w:eastAsia="zh-CN"/>
        </w:rPr>
      </w:pPr>
      <w:r>
        <w:rPr>
          <w:rFonts w:hint="default" w:ascii="Times New Roman" w:hAnsi="Times New Roman" w:eastAsia="黑体" w:cs="Times New Roman"/>
          <w:b w:val="0"/>
          <w:bCs w:val="0"/>
          <w:color w:val="000000"/>
          <w:szCs w:val="32"/>
          <w:lang w:val="en-US" w:eastAsia="zh-CN"/>
        </w:rPr>
        <w:t>三、废止《泰安市人民政府关于印发&lt;泰安市安全生产监督管理办法（试行）&gt;的通知》（泰政发〔2007〕62号）。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此外对相关市政府行政规范性文件中的条款顺序作相应调整。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本决定自公布之日起施行。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楷体_GB2312" w:cs="Times New Roman"/>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楷体_GB2312" w:cs="Times New Roman"/>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5120" w:firstLineChars="16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泰安市人民政府</w:t>
      </w:r>
    </w:p>
    <w:p>
      <w:pPr>
        <w:keepNext w:val="0"/>
        <w:keepLines w:val="0"/>
        <w:pageBreakBefore w:val="0"/>
        <w:widowControl w:val="0"/>
        <w:kinsoku/>
        <w:wordWrap/>
        <w:overflowPunct/>
        <w:topLinePunct w:val="0"/>
        <w:autoSpaceDE/>
        <w:autoSpaceDN/>
        <w:bidi w:val="0"/>
        <w:adjustRightInd/>
        <w:snapToGrid/>
        <w:spacing w:line="640" w:lineRule="exact"/>
        <w:ind w:firstLine="5120" w:firstLineChars="1600"/>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en-US" w:eastAsia="zh-CN"/>
        </w:rPr>
        <w:t>2021年  月 日</w:t>
      </w:r>
    </w:p>
    <w:p>
      <w:pPr>
        <w:spacing w:line="600" w:lineRule="exact"/>
        <w:ind w:firstLine="640" w:firstLineChars="200"/>
        <w:rPr>
          <w:rFonts w:hint="default" w:ascii="楷体_GB2312" w:hAnsi="楷体_GB2312" w:eastAsia="楷体_GB2312" w:cs="楷体_GB2312"/>
          <w:color w:val="000000"/>
          <w:szCs w:val="32"/>
          <w:lang w:val="en-US" w:eastAsia="zh-CN"/>
        </w:rPr>
      </w:pPr>
      <w:r>
        <w:rPr>
          <w:rFonts w:hint="eastAsia" w:ascii="楷体_GB2312" w:hAnsi="楷体_GB2312" w:eastAsia="楷体_GB2312" w:cs="楷体_GB2312"/>
          <w:color w:val="000000"/>
          <w:szCs w:val="32"/>
          <w:lang w:val="en-US" w:eastAsia="zh-CN"/>
        </w:rPr>
        <w:t xml:space="preserve"> </w:t>
      </w:r>
    </w:p>
    <w:p>
      <w:pPr>
        <w:spacing w:line="600" w:lineRule="exact"/>
        <w:ind w:firstLine="640" w:firstLineChars="200"/>
        <w:rPr>
          <w:rFonts w:hint="eastAsia" w:ascii="楷体_GB2312" w:hAnsi="楷体_GB2312" w:eastAsia="楷体_GB2312" w:cs="楷体_GB2312"/>
          <w:color w:val="000000"/>
          <w:szCs w:val="32"/>
          <w:lang w:val="en-US" w:eastAsia="zh-CN"/>
        </w:rPr>
      </w:pPr>
    </w:p>
    <w:p>
      <w:pPr>
        <w:spacing w:line="600" w:lineRule="exact"/>
        <w:ind w:firstLine="640" w:firstLineChars="200"/>
        <w:rPr>
          <w:rFonts w:hint="eastAsia" w:ascii="楷体_GB2312" w:hAnsi="楷体_GB2312" w:eastAsia="楷体_GB2312" w:cs="楷体_GB2312"/>
          <w:color w:val="000000"/>
          <w:szCs w:val="32"/>
          <w:lang w:val="en-US" w:eastAsia="zh-CN"/>
        </w:rPr>
      </w:pPr>
    </w:p>
    <w:p>
      <w:pPr>
        <w:spacing w:line="600" w:lineRule="exact"/>
        <w:ind w:firstLine="640" w:firstLineChars="200"/>
        <w:rPr>
          <w:rFonts w:hint="eastAsia" w:ascii="楷体_GB2312" w:hAnsi="楷体_GB2312" w:eastAsia="楷体_GB2312" w:cs="楷体_GB2312"/>
          <w:color w:val="000000"/>
          <w:szCs w:val="32"/>
          <w:lang w:val="en-US" w:eastAsia="zh-CN"/>
        </w:rPr>
      </w:pPr>
    </w:p>
    <w:p>
      <w:pPr>
        <w:spacing w:line="600" w:lineRule="exact"/>
        <w:ind w:firstLine="640" w:firstLineChars="200"/>
        <w:rPr>
          <w:rFonts w:hint="eastAsia" w:ascii="楷体_GB2312" w:hAnsi="楷体_GB2312" w:eastAsia="楷体_GB2312" w:cs="楷体_GB2312"/>
          <w:color w:val="000000"/>
          <w:szCs w:val="32"/>
          <w:lang w:val="en-US" w:eastAsia="zh-CN"/>
        </w:rPr>
      </w:pPr>
    </w:p>
    <w:p>
      <w:pPr>
        <w:spacing w:line="600" w:lineRule="exact"/>
        <w:ind w:firstLine="640" w:firstLineChars="200"/>
        <w:rPr>
          <w:rFonts w:hint="eastAsia" w:ascii="楷体_GB2312" w:hAnsi="楷体_GB2312" w:eastAsia="楷体_GB2312" w:cs="楷体_GB2312"/>
          <w:color w:val="000000"/>
          <w:szCs w:val="32"/>
          <w:lang w:val="en-US" w:eastAsia="zh-CN"/>
        </w:rPr>
      </w:pPr>
    </w:p>
    <w:p>
      <w:pPr>
        <w:spacing w:line="600" w:lineRule="exact"/>
        <w:ind w:firstLine="640" w:firstLineChars="200"/>
        <w:rPr>
          <w:rFonts w:hint="eastAsia" w:ascii="楷体_GB2312" w:hAnsi="楷体_GB2312" w:eastAsia="楷体_GB2312" w:cs="楷体_GB2312"/>
          <w:color w:val="000000"/>
          <w:szCs w:val="32"/>
          <w:lang w:val="en-US" w:eastAsia="zh-CN"/>
        </w:rPr>
      </w:pPr>
    </w:p>
    <w:p>
      <w:pPr>
        <w:spacing w:line="600" w:lineRule="exact"/>
        <w:ind w:firstLine="640" w:firstLineChars="200"/>
        <w:rPr>
          <w:rFonts w:hint="eastAsia" w:ascii="楷体_GB2312" w:hAnsi="楷体_GB2312" w:eastAsia="楷体_GB2312" w:cs="楷体_GB2312"/>
          <w:color w:val="000000"/>
          <w:szCs w:val="32"/>
          <w:lang w:val="en-US" w:eastAsia="zh-CN"/>
        </w:rPr>
      </w:pPr>
    </w:p>
    <w:p>
      <w:pPr>
        <w:spacing w:line="600" w:lineRule="exact"/>
        <w:ind w:firstLine="640" w:firstLineChars="200"/>
        <w:rPr>
          <w:rFonts w:hint="eastAsia" w:ascii="楷体_GB2312" w:hAnsi="楷体_GB2312" w:eastAsia="楷体_GB2312" w:cs="楷体_GB2312"/>
          <w:color w:val="000000"/>
          <w:szCs w:val="32"/>
          <w:lang w:val="en-US" w:eastAsia="zh-CN"/>
        </w:rPr>
      </w:pPr>
    </w:p>
    <w:p>
      <w:pPr>
        <w:spacing w:line="600" w:lineRule="exact"/>
        <w:jc w:val="both"/>
        <w:rPr>
          <w:rFonts w:hint="eastAsia" w:ascii="楷体_GB2312" w:hAnsi="楷体_GB2312" w:eastAsia="楷体_GB2312" w:cs="楷体_GB2312"/>
          <w:color w:val="000000"/>
          <w:szCs w:val="32"/>
          <w:lang w:val="en-US" w:eastAsia="zh-CN"/>
        </w:rPr>
      </w:pPr>
    </w:p>
    <w:p>
      <w:pPr>
        <w:spacing w:line="600" w:lineRule="exact"/>
        <w:jc w:val="center"/>
        <w:rPr>
          <w:rFonts w:hint="eastAsia" w:ascii="方正小标宋简体" w:hAnsi="方正小标宋简体" w:eastAsia="方正小标宋简体" w:cs="方正小标宋简体"/>
          <w:b w:val="0"/>
          <w:bCs w:val="0"/>
          <w:color w:val="000000"/>
          <w:sz w:val="44"/>
          <w:szCs w:val="44"/>
          <w:lang w:val="en-US" w:eastAsia="zh-CN"/>
        </w:rPr>
      </w:pPr>
    </w:p>
    <w:p>
      <w:pPr>
        <w:spacing w:line="600" w:lineRule="exact"/>
        <w:jc w:val="center"/>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修改文件涉及条款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Cs w:val="32"/>
          <w:lang w:val="en-US" w:eastAsia="zh-CN"/>
        </w:rPr>
      </w:pPr>
      <w:r>
        <w:rPr>
          <w:rFonts w:hint="default" w:ascii="Times New Roman" w:hAnsi="Times New Roman" w:eastAsia="黑体" w:cs="Times New Roman"/>
          <w:b w:val="0"/>
          <w:bCs w:val="0"/>
          <w:color w:val="000000"/>
          <w:kern w:val="2"/>
          <w:sz w:val="32"/>
          <w:szCs w:val="32"/>
          <w:lang w:val="en-US" w:eastAsia="zh-CN" w:bidi="ar-SA"/>
        </w:rPr>
        <w:t>一、《泰安市封山育林管理办法》（市政府令第122号）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第二十三条　违反本办法规定，在封山育林区内，有下列行为之一的，由林业行政主管部门依据《山东省封山育林管理办法》第二十一条规定进行处罚：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（一）放牧、割草、砍柴、狩猎的，予以警告，责令停止违法行为；致使森林、林木受到毁坏的，依法赔偿损失，补种毁坏林木株数1倍以上3倍以下的树木，可处毁坏林木价值1倍以上5倍以下的罚款；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（二）携带火种、烧荒、烧纸、野炊的，予以警告，处以10元以上50元以下的罚款。引起火灾，尚未造成重大损失的，依法赔偿损失，责令限期更新造林，并可处以50元以上500元以下的罚款；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（三）移动标牌、界桩及其它封山育林设施的，责令恢复原状，并处以500元以下的罚款；毁坏标牌、界桩及其它封山育林设施的，责令恢复原状，并处以500元以上1000元以下的罚款。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拒不补种树木或补种树木不符合国家有关规定的，由林业行政主管部门代为补种，所需费用由违法者支付。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第二十四条　违反本办法规定，擅自在封山育林区内采石、采沙、取土、开矿的，由林业行政主管部门依据《山东省封山育林管理办法》第二十二条规定，责令停止违法行为；造成森林、林木毁坏的，依法赔偿损失，情节较轻的，补种毁坏林木株数1倍以上2倍以下的树木，可处毁坏林木价值1倍以上3倍以下的罚款；情节较为严重的，补种毁坏林木株数2倍以上3倍以下的树木，可处毁坏林木价值3倍以上5倍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第二十五条　违反本办法规定，盗伐、滥伐封育区内林木以及违反野生动物保护、森林防火等法律、法规的，由林业行政主管部门依照有关法律、法规进行处罚；构成违反治安管理行为的，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b/>
          <w:kern w:val="0"/>
          <w:sz w:val="32"/>
          <w:szCs w:val="32"/>
        </w:rPr>
      </w:pPr>
      <w:r>
        <w:rPr>
          <w:rFonts w:hint="default" w:ascii="Times New Roman" w:hAnsi="Times New Roman" w:eastAsia="黑体" w:cs="Times New Roman"/>
          <w:b w:val="0"/>
          <w:bCs w:val="0"/>
          <w:color w:val="000000"/>
          <w:szCs w:val="32"/>
          <w:lang w:val="en-US" w:eastAsia="zh-CN"/>
        </w:rPr>
        <w:t>二、《泰安市人民政府办公室关于印发泰安市烟草制品零售点合理布局管理办法的通知》（泰政办发〔2011〕6号）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第八条　残疾人、下岗失业人员、城乡低保户、军烈属申请零售点的，不受合理布局规定的限制，但申请人仅享受一次照顾，且必须提供相关的证明材料。每户家庭只能申请经营1个零售点，并仅限本户人员经营，否则，烟草专卖行政主管部门将依法收回零售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第九条  烟草专卖零售许可证有效期内，因经营地址名称等登记事项发生改变或因道路规划、城市建设等客观原因造成经营地址变化，持证人提出变更申请的，不受合理布局规定的限制。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第十条  属于下列情形之一的，禁止设置零售点：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（一）经营易燃、易爆、有毒、有害等物品，基于安全因素不适宜经营卷烟的；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（二）中、小学校院内及校门口可行距离50米以内；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（三）自动售货机、柜；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（四）流动的摊、点、车等；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（五）通过信息、网络销售烟草制品的。</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第十三条 现持有烟草专卖许可证的公民、法人或者其他组织，可以在原许可的经营地继续经营。属于下列情形之一的零售点，到期时不予延续：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（一）烟草专卖许可证有效期届满三十日前不向原发证机关提出延续申请的；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（二）买卖、出租、出借或者以其他形式非法转让烟草专卖许可证的；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（三）因违法经营烟草专卖品一年内被烟草专卖行政主管部门或者其他执法机关处罚两次以上的；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（四）两年内被烟草专卖行政主管部门或者其他执法机关查获经营假冒卷烟、走私烟行为的；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（五）因非法经营烟草专卖品被追究刑事责任的；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（六）被工商行政管理部门吊销营业执照的；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（七）外商投资的商业企业和个体工商户；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（八）有本办法规定第九条情形的；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（九）法律、法规、规章规定的其他情形的。</w:t>
      </w:r>
    </w:p>
    <w:p>
      <w:pPr>
        <w:spacing w:line="600" w:lineRule="exact"/>
        <w:jc w:val="both"/>
        <w:rPr>
          <w:rFonts w:hint="eastAsia" w:ascii="方正小标宋简体" w:hAnsi="方正小标宋简体" w:eastAsia="方正小标宋简体" w:cs="方正小标宋简体"/>
          <w:color w:val="000000"/>
          <w:sz w:val="44"/>
          <w:szCs w:val="44"/>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sectPr>
      <w:footerReference r:id="rId3" w:type="default"/>
      <w:footerReference r:id="rId4" w:type="even"/>
      <w:pgSz w:w="11906" w:h="16838"/>
      <w:pgMar w:top="1701" w:right="1588" w:bottom="1701" w:left="1588"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寰蒋闆呴粦">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25789649"/>
        <w:docPartObj>
          <w:docPartGallery w:val="autotext"/>
        </w:docPartObj>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25789659"/>
        <w:docPartObj>
          <w:docPartGallery w:val="autotext"/>
        </w:docPartObj>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12</w:t>
        </w:r>
        <w:r>
          <w:rPr>
            <w:rFonts w:ascii="Times New Roman" w:hAnsi="Times New Roman" w:cs="Times New Roman"/>
            <w:sz w:val="24"/>
            <w:szCs w:val="24"/>
          </w:rPr>
          <w:fldChar w:fldCharType="end"/>
        </w:r>
        <w:r>
          <w:rPr>
            <w:rFonts w:ascii="Times New Roman" w:hAnsi="Times New Roman" w:cs="Times New Roman"/>
            <w:sz w:val="24"/>
            <w:szCs w:val="24"/>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8D0"/>
    <w:rsid w:val="000C7ABF"/>
    <w:rsid w:val="002042E0"/>
    <w:rsid w:val="00483AEB"/>
    <w:rsid w:val="00523D17"/>
    <w:rsid w:val="00576EFB"/>
    <w:rsid w:val="005F5A8E"/>
    <w:rsid w:val="00782C07"/>
    <w:rsid w:val="00827637"/>
    <w:rsid w:val="008F1BDC"/>
    <w:rsid w:val="009248D0"/>
    <w:rsid w:val="00930051"/>
    <w:rsid w:val="00952B9A"/>
    <w:rsid w:val="009F787F"/>
    <w:rsid w:val="00A10578"/>
    <w:rsid w:val="00A4511F"/>
    <w:rsid w:val="00B15C28"/>
    <w:rsid w:val="00B30FAF"/>
    <w:rsid w:val="00B60DF4"/>
    <w:rsid w:val="00C05D49"/>
    <w:rsid w:val="00D5559B"/>
    <w:rsid w:val="00DC71F2"/>
    <w:rsid w:val="00ED3E44"/>
    <w:rsid w:val="00F453B9"/>
    <w:rsid w:val="02BB5389"/>
    <w:rsid w:val="069D297E"/>
    <w:rsid w:val="080450DA"/>
    <w:rsid w:val="092D3668"/>
    <w:rsid w:val="0C767E49"/>
    <w:rsid w:val="0CAC78C6"/>
    <w:rsid w:val="0CEA2E7D"/>
    <w:rsid w:val="0EE0320E"/>
    <w:rsid w:val="169761B1"/>
    <w:rsid w:val="176E4D9E"/>
    <w:rsid w:val="190F326C"/>
    <w:rsid w:val="19113B44"/>
    <w:rsid w:val="19760D58"/>
    <w:rsid w:val="1CE0705B"/>
    <w:rsid w:val="1D06767E"/>
    <w:rsid w:val="249C65B1"/>
    <w:rsid w:val="250A67CE"/>
    <w:rsid w:val="27E23C35"/>
    <w:rsid w:val="289656C1"/>
    <w:rsid w:val="2CD57C76"/>
    <w:rsid w:val="2E917301"/>
    <w:rsid w:val="2F991281"/>
    <w:rsid w:val="30DF1BEB"/>
    <w:rsid w:val="3E6C091D"/>
    <w:rsid w:val="3EAF3855"/>
    <w:rsid w:val="3FA56E1E"/>
    <w:rsid w:val="403613AF"/>
    <w:rsid w:val="42AC1D15"/>
    <w:rsid w:val="43EC2CC8"/>
    <w:rsid w:val="458E0D75"/>
    <w:rsid w:val="493F6C4D"/>
    <w:rsid w:val="4A347FDA"/>
    <w:rsid w:val="4ACD1B48"/>
    <w:rsid w:val="4B2255DE"/>
    <w:rsid w:val="4DA20CE7"/>
    <w:rsid w:val="543234E5"/>
    <w:rsid w:val="55B746BF"/>
    <w:rsid w:val="5767662B"/>
    <w:rsid w:val="5A227445"/>
    <w:rsid w:val="5B4C7E56"/>
    <w:rsid w:val="5D6F0BBA"/>
    <w:rsid w:val="5E3C0874"/>
    <w:rsid w:val="5EF22CB9"/>
    <w:rsid w:val="5FEA635C"/>
    <w:rsid w:val="67D65912"/>
    <w:rsid w:val="68C07910"/>
    <w:rsid w:val="6A303490"/>
    <w:rsid w:val="6A564BFF"/>
    <w:rsid w:val="6CE76910"/>
    <w:rsid w:val="76AD6653"/>
    <w:rsid w:val="7B970C58"/>
    <w:rsid w:val="7BE753F2"/>
    <w:rsid w:val="7CA86463"/>
    <w:rsid w:val="7D504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bsharetext"/>
    <w:basedOn w:val="6"/>
    <w:qFormat/>
    <w:uiPriority w:val="0"/>
  </w:style>
  <w:style w:type="character" w:customStyle="1" w:styleId="12">
    <w:name w:val="sect2title1"/>
    <w:basedOn w:val="6"/>
    <w:qFormat/>
    <w:uiPriority w:val="99"/>
    <w:rPr>
      <w:rFonts w:ascii="微软雅黑" w:hAnsi="微软雅黑" w:eastAsia="微软雅黑" w:cs="Times New Roman"/>
      <w:b/>
      <w:bCs/>
      <w:sz w:val="21"/>
      <w:szCs w:val="21"/>
    </w:rPr>
  </w:style>
  <w:style w:type="paragraph" w:customStyle="1" w:styleId="13">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left"/>
    </w:pPr>
    <w:rPr>
      <w:rFonts w:hint="default" w:ascii="Times New Roman" w:hAnsi="Times New Roman" w:eastAsia="Times New Roman" w:cs="Times New Roman"/>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795</Words>
  <Characters>4537</Characters>
  <Lines>37</Lines>
  <Paragraphs>10</Paragraphs>
  <TotalTime>4</TotalTime>
  <ScaleCrop>false</ScaleCrop>
  <LinksUpToDate>false</LinksUpToDate>
  <CharactersWithSpaces>5322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2020-04-22T06:34:00Z</dcterms:created>
  <dc:creator>admin</dc:creator>
  <cp:lastModifiedBy>admin</cp:lastModifiedBy>
  <cp:lastPrinted>2021-07-14T07:26:00Z</cp:lastPrinted>
  <dcterms:modified xsi:type="dcterms:W3CDTF">2021-07-14T12:37:56Z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F3D989C352B44314ADCE430473F70BDC</vt:lpwstr>
  </property>
</Properties>
</file>