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13" w:rsidRDefault="00285B13">
      <w:pPr>
        <w:widowControl/>
        <w:shd w:val="clear" w:color="auto" w:fill="FFFFFF"/>
        <w:spacing w:line="560" w:lineRule="exact"/>
        <w:rPr>
          <w:rFonts w:ascii="方正小标宋简体" w:eastAsia="方正小标宋简体" w:hAnsi="Arial" w:cs="Arial"/>
          <w:color w:val="000000" w:themeColor="text1"/>
          <w:kern w:val="0"/>
          <w:sz w:val="44"/>
          <w:szCs w:val="44"/>
        </w:rPr>
      </w:pPr>
    </w:p>
    <w:p w:rsidR="00285B13" w:rsidRDefault="004812B3">
      <w:pPr>
        <w:widowControl/>
        <w:shd w:val="clear" w:color="auto" w:fill="FFFFFF"/>
        <w:spacing w:line="560" w:lineRule="exact"/>
        <w:jc w:val="center"/>
        <w:rPr>
          <w:rFonts w:ascii="方正小标宋简体" w:eastAsia="方正小标宋简体" w:hAnsi="Arial" w:cs="Arial"/>
          <w:color w:val="000000" w:themeColor="text1"/>
          <w:kern w:val="0"/>
          <w:sz w:val="44"/>
          <w:szCs w:val="44"/>
        </w:rPr>
      </w:pPr>
      <w:r>
        <w:rPr>
          <w:rFonts w:ascii="方正小标宋简体" w:eastAsia="方正小标宋简体" w:hAnsi="Arial" w:cs="Arial" w:hint="eastAsia"/>
          <w:color w:val="000000" w:themeColor="text1"/>
          <w:kern w:val="0"/>
          <w:sz w:val="44"/>
          <w:szCs w:val="44"/>
        </w:rPr>
        <w:t>泰山风景名胜区松材线虫病防控办法</w:t>
      </w:r>
    </w:p>
    <w:p w:rsidR="00285B13" w:rsidRDefault="004812B3">
      <w:pPr>
        <w:widowControl/>
        <w:shd w:val="clear" w:color="auto" w:fill="FFFFFF"/>
        <w:spacing w:line="560" w:lineRule="exact"/>
        <w:jc w:val="center"/>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（草案</w:t>
      </w:r>
      <w:r w:rsidR="00FD7F35">
        <w:rPr>
          <w:rFonts w:ascii="楷体_GB2312" w:eastAsia="楷体_GB2312" w:hAnsi="楷体_GB2312" w:cs="楷体_GB2312" w:hint="eastAsia"/>
          <w:color w:val="000000" w:themeColor="text1"/>
          <w:kern w:val="0"/>
          <w:sz w:val="32"/>
          <w:szCs w:val="32"/>
        </w:rPr>
        <w:t>征求意见稿</w:t>
      </w:r>
      <w:r>
        <w:rPr>
          <w:rFonts w:ascii="楷体_GB2312" w:eastAsia="楷体_GB2312" w:hAnsi="楷体_GB2312" w:cs="楷体_GB2312" w:hint="eastAsia"/>
          <w:color w:val="000000" w:themeColor="text1"/>
          <w:kern w:val="0"/>
          <w:sz w:val="32"/>
          <w:szCs w:val="32"/>
        </w:rPr>
        <w:t>）</w:t>
      </w:r>
    </w:p>
    <w:p w:rsidR="00285B13" w:rsidRDefault="00285B13">
      <w:pPr>
        <w:widowControl/>
        <w:shd w:val="clear" w:color="auto" w:fill="FFFFFF"/>
        <w:spacing w:line="560" w:lineRule="exact"/>
        <w:ind w:firstLine="480"/>
        <w:jc w:val="left"/>
        <w:rPr>
          <w:rFonts w:ascii="仿宋_GB2312" w:eastAsia="仿宋_GB2312" w:hAnsi="Arial" w:cs="Arial"/>
          <w:color w:val="000000" w:themeColor="text1"/>
          <w:kern w:val="0"/>
          <w:sz w:val="28"/>
          <w:szCs w:val="28"/>
        </w:rPr>
      </w:pPr>
    </w:p>
    <w:p w:rsidR="00285B13" w:rsidRDefault="004812B3">
      <w:pPr>
        <w:widowControl/>
        <w:shd w:val="clear" w:color="auto" w:fill="FFFFFF"/>
        <w:spacing w:line="560" w:lineRule="exact"/>
        <w:ind w:firstLine="48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28"/>
          <w:szCs w:val="28"/>
        </w:rPr>
        <w:t xml:space="preserve"> </w:t>
      </w:r>
      <w:r>
        <w:rPr>
          <w:rFonts w:ascii="黑体" w:eastAsia="黑体" w:hAnsi="黑体" w:cs="Arial" w:hint="eastAsia"/>
          <w:color w:val="000000" w:themeColor="text1"/>
          <w:kern w:val="0"/>
          <w:sz w:val="32"/>
          <w:szCs w:val="32"/>
        </w:rPr>
        <w:t>第一条</w:t>
      </w:r>
      <w:r>
        <w:rPr>
          <w:rFonts w:ascii="仿宋_GB2312" w:eastAsia="仿宋_GB2312" w:hAnsi="Arial" w:cs="Arial" w:hint="eastAsia"/>
          <w:color w:val="000000" w:themeColor="text1"/>
          <w:kern w:val="0"/>
          <w:sz w:val="32"/>
          <w:szCs w:val="32"/>
        </w:rPr>
        <w:t xml:space="preserve"> 为了加强松材线虫病防治工作，保护泰山松林资源，维护生态安全、生物安全，根据《</w:t>
      </w:r>
      <w:hyperlink r:id="rId6" w:tgtFrame="_blank" w:history="1">
        <w:r>
          <w:rPr>
            <w:rFonts w:ascii="仿宋_GB2312" w:eastAsia="仿宋_GB2312" w:hAnsi="Arial" w:cs="Arial" w:hint="eastAsia"/>
            <w:color w:val="000000" w:themeColor="text1"/>
            <w:kern w:val="0"/>
            <w:sz w:val="32"/>
            <w:szCs w:val="32"/>
          </w:rPr>
          <w:t>中华人民共和国森林法</w:t>
        </w:r>
      </w:hyperlink>
      <w:r>
        <w:rPr>
          <w:rFonts w:ascii="仿宋_GB2312" w:eastAsia="仿宋_GB2312" w:hAnsi="Arial" w:cs="Arial" w:hint="eastAsia"/>
          <w:color w:val="000000" w:themeColor="text1"/>
          <w:kern w:val="0"/>
          <w:sz w:val="32"/>
          <w:szCs w:val="32"/>
        </w:rPr>
        <w:t>》《</w:t>
      </w:r>
      <w:hyperlink r:id="rId7" w:tgtFrame="_blank" w:history="1">
        <w:r>
          <w:rPr>
            <w:rFonts w:ascii="仿宋_GB2312" w:eastAsia="仿宋_GB2312" w:hAnsi="Arial" w:cs="Arial" w:hint="eastAsia"/>
            <w:color w:val="000000" w:themeColor="text1"/>
            <w:kern w:val="0"/>
            <w:sz w:val="32"/>
            <w:szCs w:val="32"/>
          </w:rPr>
          <w:t>植物检疫条例</w:t>
        </w:r>
      </w:hyperlink>
      <w:r>
        <w:rPr>
          <w:rFonts w:ascii="仿宋_GB2312" w:eastAsia="仿宋_GB2312" w:hAnsi="Arial" w:cs="Arial" w:hint="eastAsia"/>
          <w:color w:val="000000" w:themeColor="text1"/>
          <w:kern w:val="0"/>
          <w:sz w:val="32"/>
          <w:szCs w:val="32"/>
        </w:rPr>
        <w:t>》《森林病虫害防治条例》等有关法律、法规，结合本市实际，制定本办法。</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第二条</w:t>
      </w:r>
      <w:r>
        <w:rPr>
          <w:rFonts w:ascii="仿宋_GB2312" w:eastAsia="仿宋_GB2312" w:hAnsi="Arial" w:cs="Arial" w:hint="eastAsia"/>
          <w:color w:val="000000" w:themeColor="text1"/>
          <w:kern w:val="0"/>
          <w:sz w:val="32"/>
          <w:szCs w:val="32"/>
        </w:rPr>
        <w:t xml:space="preserve">  本市行政区域内泰山景区及其毗邻的泰山区、岱岳区所属区域（以下简称毗邻地区）松材线虫病防控相关活动，适用本办法。</w:t>
      </w:r>
    </w:p>
    <w:p w:rsidR="007F72E6" w:rsidRPr="00601849"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sidRPr="00601849">
        <w:rPr>
          <w:rFonts w:ascii="仿宋_GB2312" w:eastAsia="仿宋_GB2312" w:hAnsi="Arial" w:cs="Arial" w:hint="eastAsia"/>
          <w:color w:val="000000" w:themeColor="text1"/>
          <w:kern w:val="0"/>
          <w:sz w:val="32"/>
          <w:szCs w:val="32"/>
        </w:rPr>
        <w:t>本办法所称松材线虫病发生区，是指</w:t>
      </w:r>
      <w:r w:rsidR="007F72E6" w:rsidRPr="00601849">
        <w:rPr>
          <w:rFonts w:ascii="仿宋_GB2312" w:eastAsia="仿宋_GB2312" w:hAnsi="Arial" w:cs="Arial" w:hint="eastAsia"/>
          <w:color w:val="000000" w:themeColor="text1"/>
          <w:kern w:val="0"/>
          <w:sz w:val="32"/>
          <w:szCs w:val="32"/>
        </w:rPr>
        <w:t>以县级行政区域为单位，由省级以上林业行政主管部门鉴定确认发生</w:t>
      </w:r>
      <w:r w:rsidRPr="00601849">
        <w:rPr>
          <w:rFonts w:ascii="仿宋_GB2312" w:eastAsia="仿宋_GB2312" w:hAnsi="Arial" w:cs="Arial" w:hint="eastAsia"/>
          <w:color w:val="000000" w:themeColor="text1"/>
          <w:kern w:val="0"/>
          <w:sz w:val="32"/>
          <w:szCs w:val="32"/>
        </w:rPr>
        <w:t>松材线虫病</w:t>
      </w:r>
      <w:r w:rsidR="007F72E6" w:rsidRPr="00601849">
        <w:rPr>
          <w:rFonts w:ascii="仿宋_GB2312" w:eastAsia="仿宋_GB2312" w:hAnsi="Arial" w:cs="Arial" w:hint="eastAsia"/>
          <w:color w:val="000000" w:themeColor="text1"/>
          <w:kern w:val="0"/>
          <w:sz w:val="32"/>
          <w:szCs w:val="32"/>
        </w:rPr>
        <w:t>的地区。</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第三条</w:t>
      </w:r>
      <w:r>
        <w:rPr>
          <w:rFonts w:ascii="仿宋_GB2312" w:eastAsia="仿宋_GB2312" w:hAnsi="Arial" w:cs="Arial" w:hint="eastAsia"/>
          <w:color w:val="000000" w:themeColor="text1"/>
          <w:kern w:val="0"/>
          <w:sz w:val="32"/>
          <w:szCs w:val="32"/>
        </w:rPr>
        <w:t xml:space="preserve">  松材线虫病防控工作应当坚持预防为主、综合治理、科学防控、分类施策、严格检疫、积极扑灭的原则，实行政府主导、部门协作、社会参与的工作机制，坚持谁经营、谁防治的责任制度。</w:t>
      </w:r>
    </w:p>
    <w:p w:rsidR="00285B13" w:rsidRDefault="004812B3">
      <w:pPr>
        <w:autoSpaceDE w:val="0"/>
        <w:autoSpaceDN w:val="0"/>
        <w:adjustRightInd w:val="0"/>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第四条</w:t>
      </w:r>
      <w:r>
        <w:rPr>
          <w:rFonts w:ascii="仿宋_GB2312" w:eastAsia="仿宋_GB2312" w:hAnsi="Arial" w:cs="Arial" w:hint="eastAsia"/>
          <w:color w:val="000000" w:themeColor="text1"/>
          <w:kern w:val="0"/>
          <w:sz w:val="32"/>
          <w:szCs w:val="32"/>
        </w:rPr>
        <w:t xml:space="preserve"> </w:t>
      </w:r>
      <w:r>
        <w:rPr>
          <w:rFonts w:cs="仿宋_GB2312" w:hint="eastAsia"/>
          <w:color w:val="000000" w:themeColor="text1"/>
        </w:rPr>
        <w:t xml:space="preserve"> </w:t>
      </w:r>
      <w:r>
        <w:rPr>
          <w:rFonts w:ascii="仿宋_GB2312" w:eastAsia="仿宋_GB2312" w:hAnsi="Arial" w:cs="Arial" w:hint="eastAsia"/>
          <w:color w:val="000000" w:themeColor="text1"/>
          <w:kern w:val="0"/>
          <w:sz w:val="32"/>
          <w:szCs w:val="32"/>
        </w:rPr>
        <w:t>松材线虫病防控工作实行林长制。在松材线虫病防治工作中，林</w:t>
      </w:r>
      <w:proofErr w:type="gramStart"/>
      <w:r>
        <w:rPr>
          <w:rFonts w:ascii="仿宋_GB2312" w:eastAsia="仿宋_GB2312" w:hAnsi="Arial" w:cs="Arial" w:hint="eastAsia"/>
          <w:color w:val="000000" w:themeColor="text1"/>
          <w:kern w:val="0"/>
          <w:sz w:val="32"/>
          <w:szCs w:val="32"/>
        </w:rPr>
        <w:t>长应当</w:t>
      </w:r>
      <w:proofErr w:type="gramEnd"/>
      <w:r>
        <w:rPr>
          <w:rFonts w:ascii="仿宋_GB2312" w:eastAsia="仿宋_GB2312" w:hAnsi="Arial" w:cs="Arial" w:hint="eastAsia"/>
          <w:color w:val="000000" w:themeColor="text1"/>
          <w:kern w:val="0"/>
          <w:sz w:val="32"/>
          <w:szCs w:val="32"/>
        </w:rPr>
        <w:t>落实防控责任，协调解决工作中的重大问题。</w:t>
      </w:r>
    </w:p>
    <w:p w:rsidR="00285B13" w:rsidRDefault="004812B3">
      <w:pPr>
        <w:autoSpaceDE w:val="0"/>
        <w:autoSpaceDN w:val="0"/>
        <w:adjustRightInd w:val="0"/>
        <w:ind w:firstLineChars="200" w:firstLine="64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市人民政府应当加强对泰山景区及毗邻地区松材线虫病防控工作的领导，设立松材线虫病防治专项资金，建立协商协调机制，强化区域之间、部门之间联防联控、联防联治工作。</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lastRenderedPageBreak/>
        <w:t>泰山风景名胜区管理委员会以及泰山区、岱岳区人民政府按照管辖范围具体负责本区域内松材线虫病的检疫、检查、疫情监测、除治及相关监督管理工作。</w:t>
      </w:r>
      <w:r w:rsidR="004244C2" w:rsidRPr="004E2B3E">
        <w:rPr>
          <w:rFonts w:ascii="仿宋_GB2312" w:eastAsia="仿宋_GB2312" w:hAnsi="Arial" w:cs="Arial" w:hint="eastAsia"/>
          <w:color w:val="000000" w:themeColor="text1"/>
          <w:kern w:val="0"/>
          <w:sz w:val="32"/>
          <w:szCs w:val="32"/>
        </w:rPr>
        <w:t>市林业局应当加强对松材线虫病检疫、疫情监测、除治等</w:t>
      </w:r>
      <w:r w:rsidRPr="004E2B3E">
        <w:rPr>
          <w:rFonts w:ascii="仿宋_GB2312" w:eastAsia="仿宋_GB2312" w:hAnsi="Arial" w:cs="Arial" w:hint="eastAsia"/>
          <w:color w:val="000000" w:themeColor="text1"/>
          <w:kern w:val="0"/>
          <w:sz w:val="32"/>
          <w:szCs w:val="32"/>
        </w:rPr>
        <w:t>工作的</w:t>
      </w:r>
      <w:r w:rsidR="00D25D20" w:rsidRPr="004E2B3E">
        <w:rPr>
          <w:rFonts w:ascii="仿宋_GB2312" w:eastAsia="仿宋_GB2312" w:hAnsi="Arial" w:cs="Arial" w:hint="eastAsia"/>
          <w:color w:val="000000" w:themeColor="text1"/>
          <w:kern w:val="0"/>
          <w:sz w:val="32"/>
          <w:szCs w:val="32"/>
        </w:rPr>
        <w:t>指导</w:t>
      </w:r>
      <w:r w:rsidR="004244C2" w:rsidRPr="004E2B3E">
        <w:rPr>
          <w:rFonts w:ascii="仿宋_GB2312" w:eastAsia="仿宋_GB2312" w:hAnsi="Arial" w:cs="Arial" w:hint="eastAsia"/>
          <w:color w:val="000000" w:themeColor="text1"/>
          <w:kern w:val="0"/>
          <w:sz w:val="32"/>
          <w:szCs w:val="32"/>
        </w:rPr>
        <w:t>、监督、</w:t>
      </w:r>
      <w:r w:rsidRPr="004E2B3E">
        <w:rPr>
          <w:rFonts w:ascii="仿宋_GB2312" w:eastAsia="仿宋_GB2312" w:hAnsi="Arial" w:cs="Arial" w:hint="eastAsia"/>
          <w:color w:val="000000" w:themeColor="text1"/>
          <w:kern w:val="0"/>
          <w:sz w:val="32"/>
          <w:szCs w:val="32"/>
        </w:rPr>
        <w:t>考核。</w:t>
      </w:r>
    </w:p>
    <w:p w:rsidR="00285B13" w:rsidRDefault="004812B3">
      <w:pPr>
        <w:pStyle w:val="a5"/>
        <w:spacing w:before="0" w:beforeAutospacing="0" w:after="0" w:afterAutospacing="0" w:line="580" w:lineRule="exact"/>
        <w:ind w:firstLineChars="200" w:firstLine="640"/>
        <w:rPr>
          <w:rFonts w:ascii="仿宋_GB2312" w:eastAsia="仿宋_GB2312" w:hAnsi="Arial" w:cs="Arial"/>
          <w:color w:val="000000" w:themeColor="text1"/>
          <w:sz w:val="32"/>
          <w:szCs w:val="32"/>
        </w:rPr>
      </w:pPr>
      <w:r>
        <w:rPr>
          <w:rFonts w:ascii="黑体" w:eastAsia="黑体" w:hAnsi="黑体" w:cs="Arial" w:hint="eastAsia"/>
          <w:color w:val="000000" w:themeColor="text1"/>
          <w:sz w:val="32"/>
          <w:szCs w:val="32"/>
        </w:rPr>
        <w:t xml:space="preserve">第五条 </w:t>
      </w:r>
      <w:r>
        <w:rPr>
          <w:rFonts w:ascii="仿宋_GB2312" w:eastAsia="仿宋_GB2312" w:hAnsi="Arial" w:cs="Arial" w:hint="eastAsia"/>
          <w:color w:val="FF0000"/>
          <w:sz w:val="32"/>
          <w:szCs w:val="32"/>
        </w:rPr>
        <w:t xml:space="preserve"> </w:t>
      </w:r>
      <w:r>
        <w:rPr>
          <w:rFonts w:ascii="仿宋_GB2312" w:eastAsia="仿宋_GB2312" w:hAnsi="Arial" w:cs="Arial" w:hint="eastAsia"/>
          <w:color w:val="000000" w:themeColor="text1"/>
          <w:sz w:val="32"/>
          <w:szCs w:val="32"/>
        </w:rPr>
        <w:t>科技、工业和信息化、公安、财政、自然资源和规划、住房城乡建设、城市管理、交通运输、水利、市场监管等部门按照各自职责，做好松材线虫病防控的相关工作。</w:t>
      </w:r>
    </w:p>
    <w:p w:rsidR="00285B13" w:rsidRDefault="004812B3">
      <w:pPr>
        <w:ind w:firstLineChars="200" w:firstLine="640"/>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第六条</w:t>
      </w:r>
      <w:r>
        <w:rPr>
          <w:rFonts w:ascii="仿宋_GB2312" w:eastAsia="仿宋_GB2312" w:hAnsi="Arial" w:cs="Arial" w:hint="eastAsia"/>
          <w:color w:val="000000" w:themeColor="text1"/>
          <w:kern w:val="0"/>
          <w:sz w:val="32"/>
          <w:szCs w:val="32"/>
        </w:rPr>
        <w:t xml:space="preserve">  各级林业、教育、文化和旅游、广电等部门要采取多种形式，向社会宣传普及松材线虫病防治知识，增强公众预防松材线虫病的意识和能力。</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第七条</w:t>
      </w:r>
      <w:r>
        <w:rPr>
          <w:rFonts w:ascii="仿宋_GB2312" w:eastAsia="仿宋_GB2312" w:hAnsi="Arial" w:cs="Arial" w:hint="eastAsia"/>
          <w:color w:val="000000" w:themeColor="text1"/>
          <w:kern w:val="0"/>
          <w:sz w:val="32"/>
          <w:szCs w:val="32"/>
        </w:rPr>
        <w:t xml:space="preserve">  鼓励和支持自然人、法人和非法人组织参与松材线虫病防控工作。</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鼓励和支持相关科研、教学、生产单位开展松材线虫病防治的科学研究，推广应用先进技术，提高防治技术水平。</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对发现并及时报告疫情或者为松材线虫病防治做出显著贡献的单位和个人，按照国家有关规定给予表彰和奖励。</w:t>
      </w:r>
    </w:p>
    <w:p w:rsidR="001948CD" w:rsidRPr="001948CD" w:rsidRDefault="001948CD" w:rsidP="001948CD">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sidRPr="001948CD">
        <w:rPr>
          <w:rFonts w:ascii="黑体" w:eastAsia="黑体" w:hAnsi="黑体" w:cs="Arial" w:hint="eastAsia"/>
          <w:color w:val="000000" w:themeColor="text1"/>
          <w:kern w:val="0"/>
          <w:sz w:val="32"/>
          <w:szCs w:val="32"/>
        </w:rPr>
        <w:t>第八条</w:t>
      </w:r>
      <w:r w:rsidRPr="001948CD">
        <w:rPr>
          <w:rFonts w:ascii="仿宋_GB2312" w:eastAsia="仿宋_GB2312" w:hAnsi="Arial" w:cs="Arial" w:hint="eastAsia"/>
          <w:color w:val="000000" w:themeColor="text1"/>
          <w:kern w:val="0"/>
          <w:sz w:val="32"/>
          <w:szCs w:val="32"/>
        </w:rPr>
        <w:t xml:space="preserve">  单位和个人在泰山景区及毗邻地区实施工程作业，如有使用木质材料承载、包装、铺垫、支撑、加固设施设备等情形的，应当事先将木质材料使用情况报送泰山景区森林病虫防治检疫机构。</w:t>
      </w:r>
    </w:p>
    <w:p w:rsidR="00285B13" w:rsidRDefault="001948CD">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第九</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泰山风景名胜区管理委员会所属森林病虫防治检疫机构依照有关法律、法规、规章的规定，承担松材线虫病检疫任务，对进入景区及景区内苗圃、建筑工地、木材加工经营</w:t>
      </w:r>
      <w:r w:rsidR="004812B3">
        <w:rPr>
          <w:rFonts w:ascii="仿宋_GB2312" w:eastAsia="仿宋_GB2312" w:hAnsi="Arial" w:cs="Arial" w:hint="eastAsia"/>
          <w:color w:val="000000" w:themeColor="text1"/>
          <w:kern w:val="0"/>
          <w:sz w:val="32"/>
          <w:szCs w:val="32"/>
        </w:rPr>
        <w:lastRenderedPageBreak/>
        <w:t>和使用单位等有关场所的植物及其制品实施松材线虫病检疫检查。</w:t>
      </w:r>
    </w:p>
    <w:p w:rsidR="00A62ABB" w:rsidRPr="001861BC" w:rsidRDefault="00A62ABB">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sidRPr="001861BC">
        <w:rPr>
          <w:rFonts w:ascii="仿宋_GB2312" w:eastAsia="仿宋_GB2312" w:hAnsi="Arial" w:cs="Arial" w:hint="eastAsia"/>
          <w:color w:val="000000" w:themeColor="text1"/>
          <w:kern w:val="0"/>
          <w:sz w:val="32"/>
          <w:szCs w:val="32"/>
        </w:rPr>
        <w:t>泰山景区毗邻地区</w:t>
      </w:r>
      <w:r w:rsidR="001861BC" w:rsidRPr="001861BC">
        <w:rPr>
          <w:rFonts w:ascii="仿宋_GB2312" w:eastAsia="仿宋_GB2312" w:hAnsi="Arial" w:cs="Arial" w:hint="eastAsia"/>
          <w:color w:val="000000" w:themeColor="text1"/>
          <w:kern w:val="0"/>
          <w:sz w:val="32"/>
          <w:szCs w:val="32"/>
        </w:rPr>
        <w:t>上述</w:t>
      </w:r>
      <w:r w:rsidRPr="001861BC">
        <w:rPr>
          <w:rFonts w:ascii="仿宋_GB2312" w:eastAsia="仿宋_GB2312" w:hAnsi="Arial" w:cs="Arial" w:hint="eastAsia"/>
          <w:color w:val="000000" w:themeColor="text1"/>
          <w:kern w:val="0"/>
          <w:sz w:val="32"/>
          <w:szCs w:val="32"/>
        </w:rPr>
        <w:t>场所植物及其制品</w:t>
      </w:r>
      <w:r w:rsidR="001861BC" w:rsidRPr="001861BC">
        <w:rPr>
          <w:rFonts w:ascii="仿宋_GB2312" w:eastAsia="仿宋_GB2312" w:hAnsi="Arial" w:cs="Arial" w:hint="eastAsia"/>
          <w:color w:val="000000" w:themeColor="text1"/>
          <w:kern w:val="0"/>
          <w:sz w:val="32"/>
          <w:szCs w:val="32"/>
        </w:rPr>
        <w:t>的</w:t>
      </w:r>
      <w:r w:rsidRPr="001861BC">
        <w:rPr>
          <w:rFonts w:ascii="仿宋_GB2312" w:eastAsia="仿宋_GB2312" w:hAnsi="Arial" w:cs="Arial" w:hint="eastAsia"/>
          <w:color w:val="000000" w:themeColor="text1"/>
          <w:kern w:val="0"/>
          <w:sz w:val="32"/>
          <w:szCs w:val="32"/>
        </w:rPr>
        <w:t>检疫检查，按照管辖范围，由泰山区、岱岳区森林病虫防治检疫机构</w:t>
      </w:r>
      <w:r w:rsidR="00876B83">
        <w:rPr>
          <w:rFonts w:ascii="仿宋_GB2312" w:eastAsia="仿宋_GB2312" w:hAnsi="Arial" w:cs="Arial" w:hint="eastAsia"/>
          <w:color w:val="000000" w:themeColor="text1"/>
          <w:kern w:val="0"/>
          <w:sz w:val="32"/>
          <w:szCs w:val="32"/>
        </w:rPr>
        <w:t>组织</w:t>
      </w:r>
      <w:r w:rsidRPr="001861BC">
        <w:rPr>
          <w:rFonts w:ascii="仿宋_GB2312" w:eastAsia="仿宋_GB2312" w:hAnsi="Arial" w:cs="Arial" w:hint="eastAsia"/>
          <w:color w:val="000000" w:themeColor="text1"/>
          <w:kern w:val="0"/>
          <w:sz w:val="32"/>
          <w:szCs w:val="32"/>
        </w:rPr>
        <w:t>实施。</w:t>
      </w:r>
    </w:p>
    <w:p w:rsidR="00285B13" w:rsidRDefault="005B0980">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w:t>
      </w:r>
      <w:r w:rsidR="004812B3">
        <w:rPr>
          <w:rFonts w:ascii="黑体" w:eastAsia="黑体" w:hAnsi="黑体" w:cs="Arial" w:hint="eastAsia"/>
          <w:color w:val="000000" w:themeColor="text1"/>
          <w:kern w:val="0"/>
          <w:sz w:val="32"/>
          <w:szCs w:val="32"/>
        </w:rPr>
        <w:t xml:space="preserve">条 </w:t>
      </w:r>
      <w:r w:rsidR="004812B3">
        <w:rPr>
          <w:rFonts w:ascii="仿宋_GB2312" w:eastAsia="仿宋_GB2312" w:hAnsi="Arial" w:cs="Arial" w:hint="eastAsia"/>
          <w:color w:val="000000" w:themeColor="text1"/>
          <w:kern w:val="0"/>
          <w:sz w:val="32"/>
          <w:szCs w:val="32"/>
        </w:rPr>
        <w:t xml:space="preserve"> 禁止松类植物及其制品进入泰山景区。</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发生区内的松科植物、松木、</w:t>
      </w:r>
      <w:proofErr w:type="gramStart"/>
      <w:r>
        <w:rPr>
          <w:rFonts w:ascii="仿宋_GB2312" w:eastAsia="仿宋_GB2312" w:hAnsi="Arial" w:cs="Arial" w:hint="eastAsia"/>
          <w:color w:val="000000" w:themeColor="text1"/>
          <w:kern w:val="0"/>
          <w:sz w:val="32"/>
          <w:szCs w:val="32"/>
        </w:rPr>
        <w:t>松材及其</w:t>
      </w:r>
      <w:proofErr w:type="gramEnd"/>
      <w:r>
        <w:rPr>
          <w:rFonts w:ascii="仿宋_GB2312" w:eastAsia="仿宋_GB2312" w:hAnsi="Arial" w:cs="Arial" w:hint="eastAsia"/>
          <w:color w:val="000000" w:themeColor="text1"/>
          <w:kern w:val="0"/>
          <w:sz w:val="32"/>
          <w:szCs w:val="32"/>
        </w:rPr>
        <w:t>半成品、成品不得调出。</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任何单位或个人不得擅自捡拾、挖掘、采伐松材线虫病死松树及其剩余物。</w:t>
      </w:r>
    </w:p>
    <w:p w:rsidR="00285B13" w:rsidRDefault="00F01A16">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w:t>
      </w:r>
      <w:r w:rsidR="005B0980">
        <w:rPr>
          <w:rFonts w:ascii="黑体" w:eastAsia="黑体" w:hAnsi="黑体" w:cs="Arial" w:hint="eastAsia"/>
          <w:color w:val="000000" w:themeColor="text1"/>
          <w:kern w:val="0"/>
          <w:sz w:val="32"/>
          <w:szCs w:val="32"/>
        </w:rPr>
        <w:t>一</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w:t>
      </w:r>
      <w:r w:rsidR="004812B3">
        <w:rPr>
          <w:rFonts w:ascii="仿宋_GB2312" w:eastAsia="仿宋_GB2312" w:hAnsi="Arial" w:cs="Arial" w:hint="eastAsia"/>
          <w:color w:val="000000" w:themeColor="text1"/>
          <w:kern w:val="0"/>
          <w:sz w:val="32"/>
          <w:szCs w:val="32"/>
          <w:lang w:val="zh-CN"/>
        </w:rPr>
        <w:t>任何单位和个人发现松树有异常情况或者枯死的，</w:t>
      </w:r>
      <w:r w:rsidR="004812B3">
        <w:rPr>
          <w:rFonts w:ascii="仿宋_GB2312" w:eastAsia="仿宋_GB2312" w:hAnsi="Arial" w:cs="Arial" w:hint="eastAsia"/>
          <w:color w:val="000000" w:themeColor="text1"/>
          <w:kern w:val="0"/>
          <w:sz w:val="32"/>
          <w:szCs w:val="32"/>
        </w:rPr>
        <w:t>应当及时向泰山风景名胜区管理委员会以及泰山区、岱岳区人民政府森林病虫防治检疫机构或属地管理单位报告。</w:t>
      </w:r>
    </w:p>
    <w:p w:rsidR="00285B13" w:rsidRDefault="005B0980">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第十二</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国有林场所有的松林、松木的松材线虫病疫情调查，由国有林场负责经营管理的单位组织进行；集体和个人所有的松林、松木的松材线虫病疫情调查，由乡镇人民政府、街道办事处组织进行。</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按照管辖范围，调查情况要及时向泰山风景名胜区管理委员会以及泰山区、岱岳区人民政府森林病虫防治检疫机构报告。调查情况包括：分布地点、树种、面积、受害程度、病枯死株数等。</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w:t>
      </w:r>
      <w:r w:rsidR="005B0980">
        <w:rPr>
          <w:rFonts w:ascii="黑体" w:eastAsia="黑体" w:hAnsi="黑体" w:cs="Arial" w:hint="eastAsia"/>
          <w:color w:val="000000" w:themeColor="text1"/>
          <w:kern w:val="0"/>
          <w:sz w:val="32"/>
          <w:szCs w:val="32"/>
        </w:rPr>
        <w:t>三</w:t>
      </w:r>
      <w:r>
        <w:rPr>
          <w:rFonts w:ascii="黑体" w:eastAsia="黑体" w:hAnsi="黑体" w:cs="Arial" w:hint="eastAsia"/>
          <w:color w:val="000000" w:themeColor="text1"/>
          <w:kern w:val="0"/>
          <w:sz w:val="32"/>
          <w:szCs w:val="32"/>
        </w:rPr>
        <w:t xml:space="preserve">条  </w:t>
      </w:r>
      <w:r>
        <w:rPr>
          <w:rFonts w:ascii="仿宋_GB2312" w:eastAsia="仿宋_GB2312" w:hAnsi="Arial" w:cs="Arial" w:hint="eastAsia"/>
          <w:color w:val="000000" w:themeColor="text1"/>
          <w:kern w:val="0"/>
          <w:sz w:val="32"/>
          <w:szCs w:val="32"/>
        </w:rPr>
        <w:t>泰山风景名胜区管理委员会以及泰山区、岱岳区人民政府森林病虫防治检疫机构</w:t>
      </w:r>
      <w:r>
        <w:rPr>
          <w:rFonts w:ascii="仿宋_GB2312" w:eastAsia="仿宋_GB2312" w:hAnsi="Arial" w:cs="Arial" w:hint="eastAsia"/>
          <w:color w:val="000000" w:themeColor="text1"/>
          <w:kern w:val="0"/>
          <w:sz w:val="32"/>
          <w:szCs w:val="32"/>
          <w:lang w:val="zh-CN"/>
        </w:rPr>
        <w:t>接到疫情报告后，应当按照有关监测技术规程的要求，及时进行采样、鉴定</w:t>
      </w:r>
      <w:r>
        <w:rPr>
          <w:rFonts w:ascii="仿宋_GB2312" w:eastAsia="仿宋_GB2312" w:hAnsi="Arial" w:cs="Arial" w:hint="eastAsia"/>
          <w:color w:val="000000" w:themeColor="text1"/>
          <w:kern w:val="0"/>
          <w:sz w:val="32"/>
          <w:szCs w:val="32"/>
        </w:rPr>
        <w:t>，鉴定结果要</w:t>
      </w:r>
      <w:r>
        <w:rPr>
          <w:rFonts w:ascii="仿宋_GB2312" w:eastAsia="仿宋_GB2312" w:hAnsi="Arial" w:cs="Arial" w:hint="eastAsia"/>
          <w:color w:val="000000" w:themeColor="text1"/>
          <w:kern w:val="0"/>
          <w:sz w:val="32"/>
          <w:szCs w:val="32"/>
        </w:rPr>
        <w:lastRenderedPageBreak/>
        <w:t>及时上报市林业行政主管部门。涉及毗邻地区的疫情，要及时通知相关区林业行政主管部门。</w:t>
      </w:r>
    </w:p>
    <w:p w:rsidR="00285B13" w:rsidRDefault="005B0980">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第十四</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泰山风景名胜区管理委员会以及泰山区、岱岳区人民政府相关单位根据疫情发生情况，要确定松材线虫病联防区域，制定联防制度</w:t>
      </w:r>
      <w:bookmarkStart w:id="0" w:name="_GoBack"/>
      <w:bookmarkEnd w:id="0"/>
      <w:r w:rsidR="004812B3">
        <w:rPr>
          <w:rFonts w:ascii="仿宋_GB2312" w:eastAsia="仿宋_GB2312" w:hAnsi="Arial" w:cs="Arial" w:hint="eastAsia"/>
          <w:color w:val="000000" w:themeColor="text1"/>
          <w:kern w:val="0"/>
          <w:sz w:val="32"/>
          <w:szCs w:val="32"/>
        </w:rPr>
        <w:t>和措施，检查、督促联防区域的防治、检疫和封锁工作。</w:t>
      </w:r>
    </w:p>
    <w:p w:rsidR="00285B13" w:rsidRDefault="005B0980">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第十五</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泰山风景名胜区管理委员会以及泰山区、岱岳区人民政府要及时组织辖区森林经营管理单位和个人清除病死木、濒死木、枯死木等，按照有关技术规程进行清除和除害处理，并结合抚育间伐，有计划地改造松林，开展补植造林。</w:t>
      </w:r>
    </w:p>
    <w:p w:rsidR="00285B13" w:rsidRDefault="004812B3">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育苗、造林不得使用未经检疫合格或来自松材线虫病发生区的松科植物繁殖材料。</w:t>
      </w:r>
    </w:p>
    <w:p w:rsidR="00285B13" w:rsidRDefault="005B0980">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第十六</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泰山风景名胜区管理委员会以及泰山区、岱岳区人民政府按照管辖范围，应当对易发生松材线虫病的地区实施以营林措施为主，生物、化学和物理防治手段相结合的综合防治措施。对古松或其他有特殊保护意义的珍贵松林、松树应当采取特殊措施加以保护。</w:t>
      </w:r>
    </w:p>
    <w:p w:rsidR="00285B13" w:rsidRDefault="005B0980">
      <w:pPr>
        <w:ind w:firstLineChars="200" w:firstLine="640"/>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第十七</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松材线虫病疫情信息由国家指定的机关或者单位进行发布，其他任何单位和个人不得伪造或者发布虚假松材线虫病疫情信息。</w:t>
      </w:r>
    </w:p>
    <w:p w:rsidR="00285B13" w:rsidRDefault="005B0980">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第十八</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泰山风景名胜区管理委员会对进入泰山景区内的下列松科植物、松木、</w:t>
      </w:r>
      <w:proofErr w:type="gramStart"/>
      <w:r w:rsidR="004812B3">
        <w:rPr>
          <w:rFonts w:ascii="仿宋_GB2312" w:eastAsia="仿宋_GB2312" w:hAnsi="Arial" w:cs="Arial" w:hint="eastAsia"/>
          <w:color w:val="000000" w:themeColor="text1"/>
          <w:kern w:val="0"/>
          <w:sz w:val="32"/>
          <w:szCs w:val="32"/>
        </w:rPr>
        <w:t>松材及其</w:t>
      </w:r>
      <w:proofErr w:type="gramEnd"/>
      <w:r w:rsidR="004812B3">
        <w:rPr>
          <w:rFonts w:ascii="仿宋_GB2312" w:eastAsia="仿宋_GB2312" w:hAnsi="Arial" w:cs="Arial" w:hint="eastAsia"/>
          <w:color w:val="000000" w:themeColor="text1"/>
          <w:kern w:val="0"/>
          <w:sz w:val="32"/>
          <w:szCs w:val="32"/>
        </w:rPr>
        <w:t>半成品、成品，可以依法予以封存、没收、销毁或者责令改变用途。</w:t>
      </w:r>
    </w:p>
    <w:p w:rsidR="00285B13" w:rsidRDefault="004812B3">
      <w:pPr>
        <w:widowControl/>
        <w:shd w:val="clear" w:color="auto" w:fill="FFFFFF"/>
        <w:spacing w:line="560" w:lineRule="exact"/>
        <w:ind w:firstLine="48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w:t>
      </w:r>
      <w:proofErr w:type="gramStart"/>
      <w:r>
        <w:rPr>
          <w:rFonts w:ascii="仿宋_GB2312" w:eastAsia="仿宋_GB2312" w:hAnsi="Arial" w:cs="Arial" w:hint="eastAsia"/>
          <w:color w:val="000000" w:themeColor="text1"/>
          <w:kern w:val="0"/>
          <w:sz w:val="32"/>
          <w:szCs w:val="32"/>
        </w:rPr>
        <w:t>一</w:t>
      </w:r>
      <w:proofErr w:type="gramEnd"/>
      <w:r>
        <w:rPr>
          <w:rFonts w:ascii="仿宋_GB2312" w:eastAsia="仿宋_GB2312" w:hAnsi="Arial" w:cs="Arial" w:hint="eastAsia"/>
          <w:color w:val="000000" w:themeColor="text1"/>
          <w:kern w:val="0"/>
          <w:sz w:val="32"/>
          <w:szCs w:val="32"/>
        </w:rPr>
        <w:t>)带有松材线虫及传播媒介昆虫活体的;</w:t>
      </w:r>
    </w:p>
    <w:p w:rsidR="00285B13" w:rsidRDefault="004812B3">
      <w:pPr>
        <w:widowControl/>
        <w:shd w:val="clear" w:color="auto" w:fill="FFFFFF"/>
        <w:spacing w:line="560" w:lineRule="exact"/>
        <w:ind w:firstLine="48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lastRenderedPageBreak/>
        <w:t xml:space="preserve">(二)来自松材线虫病发生区的; </w:t>
      </w:r>
    </w:p>
    <w:p w:rsidR="00285B13" w:rsidRDefault="004812B3">
      <w:pPr>
        <w:widowControl/>
        <w:shd w:val="clear" w:color="auto" w:fill="FFFFFF"/>
        <w:spacing w:line="560" w:lineRule="exact"/>
        <w:ind w:firstLine="48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(三)未办理植物检疫证书的;</w:t>
      </w:r>
    </w:p>
    <w:p w:rsidR="00285B13" w:rsidRDefault="004812B3">
      <w:pPr>
        <w:widowControl/>
        <w:shd w:val="clear" w:color="auto" w:fill="FFFFFF"/>
        <w:spacing w:line="560" w:lineRule="exact"/>
        <w:ind w:firstLine="480"/>
        <w:jc w:val="left"/>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(四)其他违法调运或来源不明的。</w:t>
      </w:r>
    </w:p>
    <w:p w:rsidR="00285B13" w:rsidRDefault="005B0980">
      <w:pPr>
        <w:widowControl/>
        <w:shd w:val="clear" w:color="auto" w:fill="FFFFFF"/>
        <w:spacing w:line="560" w:lineRule="exact"/>
        <w:ind w:firstLineChars="200" w:firstLine="640"/>
        <w:jc w:val="left"/>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第十九</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w:t>
      </w:r>
      <w:r w:rsidR="004812B3">
        <w:rPr>
          <w:rFonts w:ascii="仿宋_GB2312" w:eastAsia="仿宋_GB2312" w:hAnsi="Arial" w:cs="Arial" w:hint="eastAsia"/>
          <w:color w:val="000000" w:themeColor="text1"/>
          <w:kern w:val="0"/>
          <w:sz w:val="32"/>
          <w:szCs w:val="32"/>
          <w:lang w:val="zh-CN"/>
        </w:rPr>
        <w:t>依法承担松材线虫病防治职责的部门和单位，</w:t>
      </w:r>
      <w:r w:rsidR="004812B3">
        <w:rPr>
          <w:rFonts w:ascii="仿宋_GB2312" w:eastAsia="仿宋_GB2312" w:hAnsi="Arial" w:cs="Arial" w:hint="eastAsia"/>
          <w:color w:val="000000" w:themeColor="text1"/>
          <w:kern w:val="0"/>
          <w:sz w:val="32"/>
          <w:szCs w:val="32"/>
        </w:rPr>
        <w:t>在松材线虫病防治工作中滥用职权、玩忽职守、徇私舞弊的，</w:t>
      </w:r>
      <w:r w:rsidR="004812B3">
        <w:rPr>
          <w:rFonts w:ascii="仿宋_GB2312" w:eastAsia="仿宋_GB2312" w:hAnsi="Arial" w:cs="Arial" w:hint="eastAsia"/>
          <w:color w:val="000000" w:themeColor="text1"/>
          <w:kern w:val="0"/>
          <w:sz w:val="32"/>
          <w:szCs w:val="32"/>
          <w:lang w:val="zh-CN"/>
        </w:rPr>
        <w:t>对直接负责的主管人员和其他直接责任人员，</w:t>
      </w:r>
      <w:r w:rsidR="004812B3">
        <w:rPr>
          <w:rFonts w:ascii="仿宋_GB2312" w:eastAsia="仿宋_GB2312" w:hAnsi="Arial" w:cs="Arial" w:hint="eastAsia"/>
          <w:color w:val="000000" w:themeColor="text1"/>
          <w:kern w:val="0"/>
          <w:sz w:val="32"/>
          <w:szCs w:val="32"/>
        </w:rPr>
        <w:t>依法给予处分；构成犯罪的，依法追究刑事责任。</w:t>
      </w:r>
    </w:p>
    <w:p w:rsidR="00285B13" w:rsidRDefault="00F01A16">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r>
        <w:rPr>
          <w:rFonts w:ascii="黑体" w:eastAsia="黑体" w:hAnsi="黑体" w:cs="Arial" w:hint="eastAsia"/>
          <w:color w:val="000000" w:themeColor="text1"/>
          <w:kern w:val="0"/>
          <w:sz w:val="32"/>
          <w:szCs w:val="32"/>
        </w:rPr>
        <w:t>第</w:t>
      </w:r>
      <w:r w:rsidR="005B0980">
        <w:rPr>
          <w:rFonts w:ascii="黑体" w:eastAsia="黑体" w:hAnsi="黑体" w:cs="Arial" w:hint="eastAsia"/>
          <w:color w:val="000000" w:themeColor="text1"/>
          <w:kern w:val="0"/>
          <w:sz w:val="32"/>
          <w:szCs w:val="32"/>
        </w:rPr>
        <w:t>二十</w:t>
      </w:r>
      <w:r w:rsidR="004812B3">
        <w:rPr>
          <w:rFonts w:ascii="黑体" w:eastAsia="黑体" w:hAnsi="黑体" w:cs="Arial" w:hint="eastAsia"/>
          <w:color w:val="000000" w:themeColor="text1"/>
          <w:kern w:val="0"/>
          <w:sz w:val="32"/>
          <w:szCs w:val="32"/>
        </w:rPr>
        <w:t>条</w:t>
      </w:r>
      <w:r w:rsidR="004812B3">
        <w:rPr>
          <w:rFonts w:ascii="仿宋_GB2312" w:eastAsia="仿宋_GB2312" w:hAnsi="Arial" w:cs="Arial" w:hint="eastAsia"/>
          <w:color w:val="000000" w:themeColor="text1"/>
          <w:kern w:val="0"/>
          <w:sz w:val="32"/>
          <w:szCs w:val="32"/>
        </w:rPr>
        <w:t xml:space="preserve">  本办法自****年**月*日起施行，有效期至****年**月*日。</w:t>
      </w:r>
    </w:p>
    <w:p w:rsidR="00285B13" w:rsidRDefault="00285B13">
      <w:pPr>
        <w:spacing w:line="560" w:lineRule="exact"/>
        <w:rPr>
          <w:rFonts w:ascii="仿宋_GB2312" w:eastAsia="仿宋_GB2312"/>
          <w:color w:val="000000" w:themeColor="text1"/>
          <w:sz w:val="32"/>
          <w:szCs w:val="32"/>
        </w:rPr>
      </w:pPr>
      <w:bookmarkStart w:id="1" w:name="7508354-7780494-3"/>
      <w:bookmarkEnd w:id="1"/>
    </w:p>
    <w:p w:rsidR="00285B13" w:rsidRDefault="00285B13">
      <w:pPr>
        <w:spacing w:line="560" w:lineRule="exact"/>
        <w:rPr>
          <w:rFonts w:ascii="仿宋_GB2312" w:eastAsia="仿宋_GB2312"/>
          <w:color w:val="000000" w:themeColor="text1"/>
          <w:sz w:val="32"/>
          <w:szCs w:val="32"/>
        </w:rPr>
      </w:pPr>
    </w:p>
    <w:p w:rsidR="00285B13" w:rsidRDefault="00285B13">
      <w:pPr>
        <w:spacing w:line="560" w:lineRule="exact"/>
        <w:rPr>
          <w:rFonts w:ascii="仿宋_GB2312" w:eastAsia="仿宋_GB2312"/>
          <w:color w:val="000000" w:themeColor="text1"/>
          <w:sz w:val="32"/>
          <w:szCs w:val="32"/>
        </w:rPr>
      </w:pPr>
    </w:p>
    <w:sectPr w:rsidR="00285B13" w:rsidSect="00285B13">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7C" w:rsidRDefault="00D61F7C" w:rsidP="00285B13">
      <w:r>
        <w:separator/>
      </w:r>
    </w:p>
  </w:endnote>
  <w:endnote w:type="continuationSeparator" w:id="0">
    <w:p w:rsidR="00D61F7C" w:rsidRDefault="00D61F7C" w:rsidP="00285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425"/>
    </w:sdtPr>
    <w:sdtContent>
      <w:p w:rsidR="00285B13" w:rsidRDefault="00CA1A9D">
        <w:pPr>
          <w:pStyle w:val="a3"/>
          <w:jc w:val="center"/>
        </w:pPr>
        <w:r w:rsidRPr="00CA1A9D">
          <w:fldChar w:fldCharType="begin"/>
        </w:r>
        <w:r w:rsidR="004812B3">
          <w:instrText xml:space="preserve"> PAGE   \* MERGEFORMAT </w:instrText>
        </w:r>
        <w:r w:rsidRPr="00CA1A9D">
          <w:fldChar w:fldCharType="separate"/>
        </w:r>
        <w:r w:rsidR="00FD7F35" w:rsidRPr="00FD7F35">
          <w:rPr>
            <w:noProof/>
            <w:lang w:val="zh-CN"/>
          </w:rPr>
          <w:t>5</w:t>
        </w:r>
        <w:r>
          <w:rPr>
            <w:lang w:val="zh-CN"/>
          </w:rPr>
          <w:fldChar w:fldCharType="end"/>
        </w:r>
      </w:p>
    </w:sdtContent>
  </w:sdt>
  <w:p w:rsidR="00285B13" w:rsidRDefault="00285B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7C" w:rsidRDefault="00D61F7C" w:rsidP="00285B13">
      <w:r>
        <w:separator/>
      </w:r>
    </w:p>
  </w:footnote>
  <w:footnote w:type="continuationSeparator" w:id="0">
    <w:p w:rsidR="00D61F7C" w:rsidRDefault="00D61F7C" w:rsidP="00285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E3M2RkMzllYmJiYjQwNjRjZjhmMjJlMWU2ZTllNDQifQ=="/>
  </w:docVars>
  <w:rsids>
    <w:rsidRoot w:val="00953BB4"/>
    <w:rsid w:val="0003549A"/>
    <w:rsid w:val="00064D41"/>
    <w:rsid w:val="00095C9E"/>
    <w:rsid w:val="000A2B97"/>
    <w:rsid w:val="000B5E3B"/>
    <w:rsid w:val="000B7F77"/>
    <w:rsid w:val="000C7A88"/>
    <w:rsid w:val="000D6F1B"/>
    <w:rsid w:val="00101479"/>
    <w:rsid w:val="00111BFA"/>
    <w:rsid w:val="0011221B"/>
    <w:rsid w:val="00125FAD"/>
    <w:rsid w:val="00165875"/>
    <w:rsid w:val="001861BC"/>
    <w:rsid w:val="00191A1C"/>
    <w:rsid w:val="001948CD"/>
    <w:rsid w:val="001B2835"/>
    <w:rsid w:val="001C151C"/>
    <w:rsid w:val="001E26AE"/>
    <w:rsid w:val="00213642"/>
    <w:rsid w:val="002212E2"/>
    <w:rsid w:val="00253EF7"/>
    <w:rsid w:val="00261ACB"/>
    <w:rsid w:val="002666DB"/>
    <w:rsid w:val="002766F0"/>
    <w:rsid w:val="00281BF3"/>
    <w:rsid w:val="00285B13"/>
    <w:rsid w:val="002937C2"/>
    <w:rsid w:val="002963BE"/>
    <w:rsid w:val="002A36FD"/>
    <w:rsid w:val="003000F8"/>
    <w:rsid w:val="003051B1"/>
    <w:rsid w:val="00320591"/>
    <w:rsid w:val="00367B28"/>
    <w:rsid w:val="003D499B"/>
    <w:rsid w:val="003F7ACF"/>
    <w:rsid w:val="00421392"/>
    <w:rsid w:val="004244C2"/>
    <w:rsid w:val="00427246"/>
    <w:rsid w:val="00447EF2"/>
    <w:rsid w:val="004812B3"/>
    <w:rsid w:val="00496BF4"/>
    <w:rsid w:val="004C46B0"/>
    <w:rsid w:val="004E2B3E"/>
    <w:rsid w:val="00512BCF"/>
    <w:rsid w:val="005342DA"/>
    <w:rsid w:val="00570C70"/>
    <w:rsid w:val="0059016D"/>
    <w:rsid w:val="005B0980"/>
    <w:rsid w:val="00601849"/>
    <w:rsid w:val="00637B01"/>
    <w:rsid w:val="00652436"/>
    <w:rsid w:val="00665F8A"/>
    <w:rsid w:val="006756F4"/>
    <w:rsid w:val="006B4331"/>
    <w:rsid w:val="006D0965"/>
    <w:rsid w:val="006D1B05"/>
    <w:rsid w:val="006F7A08"/>
    <w:rsid w:val="00714F10"/>
    <w:rsid w:val="00744E40"/>
    <w:rsid w:val="00745C27"/>
    <w:rsid w:val="00757748"/>
    <w:rsid w:val="007658F9"/>
    <w:rsid w:val="007814C1"/>
    <w:rsid w:val="00794E6C"/>
    <w:rsid w:val="007A68F8"/>
    <w:rsid w:val="007C5970"/>
    <w:rsid w:val="007E6B4E"/>
    <w:rsid w:val="007F45C0"/>
    <w:rsid w:val="007F72E6"/>
    <w:rsid w:val="00857886"/>
    <w:rsid w:val="00857FEE"/>
    <w:rsid w:val="0086721B"/>
    <w:rsid w:val="00876B83"/>
    <w:rsid w:val="00880C2B"/>
    <w:rsid w:val="00897FC0"/>
    <w:rsid w:val="008C304D"/>
    <w:rsid w:val="008C70D4"/>
    <w:rsid w:val="008D4CCD"/>
    <w:rsid w:val="008F61DF"/>
    <w:rsid w:val="0090376B"/>
    <w:rsid w:val="00921119"/>
    <w:rsid w:val="00923B23"/>
    <w:rsid w:val="00953BB4"/>
    <w:rsid w:val="00987BD5"/>
    <w:rsid w:val="009909C1"/>
    <w:rsid w:val="00991BC2"/>
    <w:rsid w:val="00997CF9"/>
    <w:rsid w:val="00A03BF0"/>
    <w:rsid w:val="00A10734"/>
    <w:rsid w:val="00A14D6C"/>
    <w:rsid w:val="00A3086F"/>
    <w:rsid w:val="00A570DA"/>
    <w:rsid w:val="00A62ABB"/>
    <w:rsid w:val="00A91DAF"/>
    <w:rsid w:val="00A95F6B"/>
    <w:rsid w:val="00AB12D1"/>
    <w:rsid w:val="00AB32B7"/>
    <w:rsid w:val="00AD16D5"/>
    <w:rsid w:val="00B23D29"/>
    <w:rsid w:val="00B24C23"/>
    <w:rsid w:val="00B82898"/>
    <w:rsid w:val="00B92CDD"/>
    <w:rsid w:val="00BA1051"/>
    <w:rsid w:val="00C3472D"/>
    <w:rsid w:val="00C44A83"/>
    <w:rsid w:val="00C901B1"/>
    <w:rsid w:val="00CA1A9D"/>
    <w:rsid w:val="00CE5672"/>
    <w:rsid w:val="00D013CE"/>
    <w:rsid w:val="00D03974"/>
    <w:rsid w:val="00D25D20"/>
    <w:rsid w:val="00D3685A"/>
    <w:rsid w:val="00D43FEA"/>
    <w:rsid w:val="00D61F7C"/>
    <w:rsid w:val="00D654B6"/>
    <w:rsid w:val="00D77C1C"/>
    <w:rsid w:val="00DB418E"/>
    <w:rsid w:val="00DD65E2"/>
    <w:rsid w:val="00E02C56"/>
    <w:rsid w:val="00E15B79"/>
    <w:rsid w:val="00E22261"/>
    <w:rsid w:val="00E46765"/>
    <w:rsid w:val="00E52A11"/>
    <w:rsid w:val="00E6476F"/>
    <w:rsid w:val="00E83871"/>
    <w:rsid w:val="00E91338"/>
    <w:rsid w:val="00EA657E"/>
    <w:rsid w:val="00F01A16"/>
    <w:rsid w:val="00F45404"/>
    <w:rsid w:val="00F92981"/>
    <w:rsid w:val="00F9727A"/>
    <w:rsid w:val="00FD7F35"/>
    <w:rsid w:val="00FF4D0B"/>
    <w:rsid w:val="0122438A"/>
    <w:rsid w:val="01F347D4"/>
    <w:rsid w:val="2922395C"/>
    <w:rsid w:val="3DF225F9"/>
    <w:rsid w:val="46FC37FA"/>
    <w:rsid w:val="4EC9621D"/>
    <w:rsid w:val="53DF4607"/>
    <w:rsid w:val="712B5E57"/>
    <w:rsid w:val="79730584"/>
    <w:rsid w:val="79E24B49"/>
    <w:rsid w:val="7B702D0A"/>
    <w:rsid w:val="7C1B30F0"/>
    <w:rsid w:val="7CBC5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13"/>
    <w:pPr>
      <w:widowControl w:val="0"/>
      <w:jc w:val="both"/>
    </w:pPr>
    <w:rPr>
      <w:kern w:val="2"/>
      <w:sz w:val="21"/>
      <w:szCs w:val="22"/>
    </w:rPr>
  </w:style>
  <w:style w:type="paragraph" w:styleId="2">
    <w:name w:val="heading 2"/>
    <w:basedOn w:val="a"/>
    <w:next w:val="a"/>
    <w:link w:val="2Char"/>
    <w:uiPriority w:val="9"/>
    <w:qFormat/>
    <w:rsid w:val="00285B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85B1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85B1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85B1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285B13"/>
    <w:rPr>
      <w:color w:val="0000FF"/>
      <w:u w:val="single"/>
    </w:rPr>
  </w:style>
  <w:style w:type="character" w:customStyle="1" w:styleId="2Char">
    <w:name w:val="标题 2 Char"/>
    <w:basedOn w:val="a0"/>
    <w:link w:val="2"/>
    <w:uiPriority w:val="9"/>
    <w:qFormat/>
    <w:rsid w:val="00285B13"/>
    <w:rPr>
      <w:rFonts w:ascii="宋体" w:eastAsia="宋体" w:hAnsi="宋体" w:cs="宋体"/>
      <w:b/>
      <w:bCs/>
      <w:kern w:val="0"/>
      <w:sz w:val="36"/>
      <w:szCs w:val="36"/>
    </w:rPr>
  </w:style>
  <w:style w:type="character" w:customStyle="1" w:styleId="opt">
    <w:name w:val="opt"/>
    <w:basedOn w:val="a0"/>
    <w:qFormat/>
    <w:rsid w:val="00285B13"/>
  </w:style>
  <w:style w:type="character" w:customStyle="1" w:styleId="Char0">
    <w:name w:val="页眉 Char"/>
    <w:basedOn w:val="a0"/>
    <w:link w:val="a4"/>
    <w:uiPriority w:val="99"/>
    <w:semiHidden/>
    <w:qFormat/>
    <w:rsid w:val="00285B13"/>
    <w:rPr>
      <w:sz w:val="18"/>
      <w:szCs w:val="18"/>
    </w:rPr>
  </w:style>
  <w:style w:type="character" w:customStyle="1" w:styleId="Char">
    <w:name w:val="页脚 Char"/>
    <w:basedOn w:val="a0"/>
    <w:link w:val="a3"/>
    <w:uiPriority w:val="99"/>
    <w:qFormat/>
    <w:rsid w:val="00285B1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aike.so.com/doc/4843421-506046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6784416-700101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58</cp:revision>
  <cp:lastPrinted>2022-07-15T02:05:00Z</cp:lastPrinted>
  <dcterms:created xsi:type="dcterms:W3CDTF">2022-04-01T13:26:00Z</dcterms:created>
  <dcterms:modified xsi:type="dcterms:W3CDTF">2022-07-15T02:05:00Z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0C8A356DD8914ED5BE870B7FA7A75F1F</vt:lpwstr>
  </property>
</Properties>
</file>