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B7A68" w14:textId="77777777" w:rsidR="001D46DC" w:rsidRDefault="001D46DC">
      <w:pPr>
        <w:jc w:val="center"/>
        <w:rPr>
          <w:rFonts w:asciiTheme="minorEastAsia" w:hAnsiTheme="minorEastAsia" w:cstheme="minorEastAsia"/>
          <w:sz w:val="44"/>
          <w:szCs w:val="44"/>
        </w:rPr>
      </w:pPr>
    </w:p>
    <w:p w14:paraId="4FB399AF" w14:textId="77777777" w:rsidR="001D46DC" w:rsidRDefault="001D46DC">
      <w:pPr>
        <w:rPr>
          <w:rFonts w:asciiTheme="minorEastAsia" w:hAnsiTheme="minorEastAsia" w:cstheme="minorEastAsia"/>
          <w:sz w:val="44"/>
          <w:szCs w:val="44"/>
        </w:rPr>
      </w:pPr>
    </w:p>
    <w:p w14:paraId="18160E9F" w14:textId="77777777" w:rsidR="00DE522B" w:rsidRDefault="00DE522B" w:rsidP="00DE522B">
      <w:pPr>
        <w:pStyle w:val="3"/>
        <w:shd w:val="clear" w:color="auto" w:fill="FFFFFF"/>
        <w:spacing w:before="300" w:beforeAutospacing="0" w:after="150" w:afterAutospacing="0"/>
        <w:jc w:val="center"/>
        <w:rPr>
          <w:rFonts w:ascii="FZXBSJW" w:hAnsi="FZXBSJW"/>
          <w:b w:val="0"/>
          <w:bCs w:val="0"/>
          <w:color w:val="333333"/>
          <w:sz w:val="42"/>
          <w:szCs w:val="42"/>
        </w:rPr>
      </w:pPr>
      <w:r>
        <w:rPr>
          <w:rFonts w:ascii="FZXBSJW" w:hAnsi="FZXBSJW"/>
          <w:b w:val="0"/>
          <w:bCs w:val="0"/>
          <w:color w:val="333333"/>
          <w:sz w:val="42"/>
          <w:szCs w:val="42"/>
        </w:rPr>
        <w:t>泰安市水资源管理办法</w:t>
      </w:r>
    </w:p>
    <w:p w14:paraId="2A5AD5F3" w14:textId="0EEDD8F8" w:rsidR="004050AA" w:rsidRDefault="00DE522B" w:rsidP="00BB170F">
      <w:pPr>
        <w:pStyle w:val="a6"/>
        <w:shd w:val="clear" w:color="auto" w:fill="FFFFFF"/>
        <w:spacing w:before="0" w:beforeAutospacing="0" w:after="0" w:afterAutospacing="0" w:line="570" w:lineRule="atLeast"/>
        <w:ind w:firstLine="480"/>
        <w:rPr>
          <w:rFonts w:ascii="仿宋" w:eastAsia="仿宋" w:hAnsi="仿宋"/>
          <w:color w:val="333333"/>
          <w:sz w:val="27"/>
          <w:szCs w:val="27"/>
          <w:shd w:val="clear" w:color="auto" w:fill="FFFFFF"/>
        </w:rPr>
      </w:pPr>
      <w:r>
        <w:rPr>
          <w:rFonts w:ascii="仿宋" w:eastAsia="仿宋" w:hAnsi="仿宋" w:hint="eastAsia"/>
          <w:color w:val="333333"/>
          <w:sz w:val="27"/>
          <w:szCs w:val="27"/>
          <w:shd w:val="clear" w:color="auto" w:fill="FFFFFF"/>
        </w:rPr>
        <w:t>(2020年12月22日泰安市人民政府令第173号发布 根据2021年10月8日泰安市人民政府令第175号修订)</w:t>
      </w:r>
    </w:p>
    <w:p w14:paraId="422B47BB" w14:textId="77777777" w:rsidR="00DE522B" w:rsidRDefault="00DE522B" w:rsidP="004050AA">
      <w:pPr>
        <w:pStyle w:val="a6"/>
        <w:shd w:val="clear" w:color="auto" w:fill="FFFFFF"/>
        <w:spacing w:before="0" w:beforeAutospacing="0" w:after="0" w:afterAutospacing="0" w:line="570" w:lineRule="atLeast"/>
        <w:ind w:firstLine="480"/>
        <w:rPr>
          <w:rFonts w:ascii="黑体" w:eastAsia="黑体" w:hAnsi="黑体"/>
          <w:color w:val="333333"/>
          <w:sz w:val="32"/>
          <w:szCs w:val="32"/>
        </w:rPr>
      </w:pPr>
    </w:p>
    <w:p w14:paraId="4F5B0DE0" w14:textId="77777777" w:rsidR="00DE522B" w:rsidRDefault="00DE522B" w:rsidP="00DE522B">
      <w:pPr>
        <w:pStyle w:val="a6"/>
        <w:shd w:val="clear" w:color="auto" w:fill="FFFFFF"/>
        <w:spacing w:before="0" w:beforeAutospacing="0" w:after="0" w:afterAutospacing="0" w:line="570" w:lineRule="atLeast"/>
        <w:ind w:firstLine="480"/>
        <w:rPr>
          <w:rFonts w:ascii="微软雅黑" w:eastAsia="微软雅黑" w:hAnsi="微软雅黑"/>
          <w:color w:val="333333"/>
          <w:sz w:val="27"/>
          <w:szCs w:val="27"/>
        </w:rPr>
      </w:pPr>
      <w:r>
        <w:rPr>
          <w:rFonts w:ascii="黑体" w:eastAsia="黑体" w:hAnsi="黑体" w:hint="eastAsia"/>
          <w:color w:val="333333"/>
          <w:sz w:val="32"/>
          <w:szCs w:val="32"/>
        </w:rPr>
        <w:t>第一条</w:t>
      </w:r>
      <w:r>
        <w:rPr>
          <w:rFonts w:ascii="Calibri" w:eastAsia="仿宋" w:hAnsi="Calibri" w:cs="Calibri"/>
          <w:color w:val="333333"/>
          <w:sz w:val="32"/>
          <w:szCs w:val="32"/>
        </w:rPr>
        <w:t>   </w:t>
      </w:r>
      <w:r>
        <w:rPr>
          <w:rFonts w:ascii="仿宋" w:eastAsia="仿宋" w:hAnsi="仿宋" w:hint="eastAsia"/>
          <w:color w:val="333333"/>
          <w:sz w:val="32"/>
          <w:szCs w:val="32"/>
        </w:rPr>
        <w:t xml:space="preserve"> 为了加强水资源管理，发挥水资源综合效益，促进水生态文明建设，推动经济社会高质量发展，根据《中华人民共和国水法》《山东省水资源条例》等有关法律、法规，结合本市实际，制定本办法。</w:t>
      </w:r>
      <w:r>
        <w:rPr>
          <w:rFonts w:ascii="Calibri" w:eastAsia="仿宋" w:hAnsi="Calibri" w:cs="Calibri"/>
          <w:color w:val="333333"/>
          <w:sz w:val="32"/>
          <w:szCs w:val="32"/>
        </w:rPr>
        <w:t> </w:t>
      </w:r>
    </w:p>
    <w:p w14:paraId="73301A52" w14:textId="77777777" w:rsidR="00DE522B" w:rsidRDefault="00DE522B" w:rsidP="00DE522B">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黑体" w:eastAsia="黑体" w:hAnsi="黑体" w:hint="eastAsia"/>
          <w:color w:val="333333"/>
          <w:sz w:val="32"/>
          <w:szCs w:val="32"/>
        </w:rPr>
        <w:t>第二条</w:t>
      </w:r>
      <w:r>
        <w:rPr>
          <w:rFonts w:ascii="Calibri" w:eastAsia="仿宋" w:hAnsi="Calibri" w:cs="Calibri"/>
          <w:color w:val="333333"/>
          <w:sz w:val="32"/>
          <w:szCs w:val="32"/>
        </w:rPr>
        <w:t>   </w:t>
      </w:r>
      <w:r>
        <w:rPr>
          <w:rFonts w:ascii="仿宋" w:eastAsia="仿宋" w:hAnsi="仿宋" w:hint="eastAsia"/>
          <w:color w:val="333333"/>
          <w:sz w:val="32"/>
          <w:szCs w:val="32"/>
        </w:rPr>
        <w:t xml:space="preserve"> 在本市行政区域内从事水资源规划、开发、利用、节约、保护等活动，适用本办法。</w:t>
      </w:r>
    </w:p>
    <w:p w14:paraId="176EB4BA" w14:textId="77777777" w:rsidR="00DE522B" w:rsidRDefault="00DE522B" w:rsidP="00DE522B">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仿宋" w:eastAsia="仿宋" w:hAnsi="仿宋" w:hint="eastAsia"/>
          <w:color w:val="333333"/>
          <w:sz w:val="32"/>
          <w:szCs w:val="32"/>
        </w:rPr>
        <w:t>本办法所称水资源，包括地表水和地下水。</w:t>
      </w:r>
      <w:r>
        <w:rPr>
          <w:rFonts w:ascii="Calibri" w:eastAsia="仿宋" w:hAnsi="Calibri" w:cs="Calibri"/>
          <w:color w:val="333333"/>
          <w:sz w:val="32"/>
          <w:szCs w:val="32"/>
        </w:rPr>
        <w:t> </w:t>
      </w:r>
    </w:p>
    <w:p w14:paraId="0D17FDA5" w14:textId="77777777" w:rsidR="00DE522B" w:rsidRDefault="00DE522B" w:rsidP="00DE522B">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黑体" w:eastAsia="黑体" w:hAnsi="黑体" w:hint="eastAsia"/>
          <w:color w:val="333333"/>
          <w:sz w:val="32"/>
          <w:szCs w:val="32"/>
        </w:rPr>
        <w:t>第三条</w:t>
      </w:r>
      <w:r>
        <w:rPr>
          <w:rFonts w:ascii="Calibri" w:eastAsia="仿宋" w:hAnsi="Calibri" w:cs="Calibri"/>
          <w:color w:val="333333"/>
          <w:sz w:val="32"/>
          <w:szCs w:val="32"/>
        </w:rPr>
        <w:t>   </w:t>
      </w:r>
      <w:r>
        <w:rPr>
          <w:rFonts w:ascii="仿宋" w:eastAsia="仿宋" w:hAnsi="仿宋" w:hint="eastAsia"/>
          <w:color w:val="333333"/>
          <w:sz w:val="32"/>
          <w:szCs w:val="32"/>
        </w:rPr>
        <w:t xml:space="preserve"> 水资源管理应当坚持节水优先、空间均衡、系统治理、两手发力的原则，实行最严格水资源管理制度，发挥水资源的多种功能，协调好生活、生产经营和生态环境用水。</w:t>
      </w:r>
      <w:r>
        <w:rPr>
          <w:rFonts w:ascii="Calibri" w:eastAsia="仿宋" w:hAnsi="Calibri" w:cs="Calibri"/>
          <w:color w:val="333333"/>
          <w:sz w:val="32"/>
          <w:szCs w:val="32"/>
        </w:rPr>
        <w:t> </w:t>
      </w:r>
    </w:p>
    <w:p w14:paraId="6C6A4DA6" w14:textId="77777777" w:rsidR="00DE522B" w:rsidRDefault="00DE522B" w:rsidP="00DE522B">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黑体" w:eastAsia="黑体" w:hAnsi="黑体" w:hint="eastAsia"/>
          <w:color w:val="333333"/>
          <w:sz w:val="32"/>
          <w:szCs w:val="32"/>
        </w:rPr>
        <w:t>第四条</w:t>
      </w:r>
      <w:r>
        <w:rPr>
          <w:rFonts w:ascii="Calibri" w:eastAsia="仿宋" w:hAnsi="Calibri" w:cs="Calibri"/>
          <w:color w:val="333333"/>
          <w:sz w:val="32"/>
          <w:szCs w:val="32"/>
        </w:rPr>
        <w:t>   </w:t>
      </w:r>
      <w:r>
        <w:rPr>
          <w:rFonts w:ascii="仿宋" w:eastAsia="仿宋" w:hAnsi="仿宋" w:hint="eastAsia"/>
          <w:color w:val="333333"/>
          <w:sz w:val="32"/>
          <w:szCs w:val="32"/>
        </w:rPr>
        <w:t xml:space="preserve"> 市、县（市、区）人民政府应当加强对水资源管理工作的领导，将水资源开发、利用、节约、保护纳入国民经</w:t>
      </w:r>
      <w:r>
        <w:rPr>
          <w:rFonts w:ascii="仿宋" w:eastAsia="仿宋" w:hAnsi="仿宋" w:hint="eastAsia"/>
          <w:color w:val="333333"/>
          <w:sz w:val="32"/>
          <w:szCs w:val="32"/>
        </w:rPr>
        <w:lastRenderedPageBreak/>
        <w:t>济和社会发展规划，建立健全水资源管理工作协调机制，所需经费列入本级财政预算，促进水资源可持续利用。</w:t>
      </w:r>
      <w:r>
        <w:rPr>
          <w:rFonts w:ascii="Calibri" w:eastAsia="仿宋" w:hAnsi="Calibri" w:cs="Calibri"/>
          <w:color w:val="333333"/>
          <w:sz w:val="32"/>
          <w:szCs w:val="32"/>
        </w:rPr>
        <w:t> </w:t>
      </w:r>
    </w:p>
    <w:p w14:paraId="4531C7AD" w14:textId="77777777" w:rsidR="00DE522B" w:rsidRDefault="00DE522B" w:rsidP="00DE522B">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黑体" w:eastAsia="黑体" w:hAnsi="黑体" w:hint="eastAsia"/>
          <w:color w:val="333333"/>
          <w:sz w:val="32"/>
          <w:szCs w:val="32"/>
        </w:rPr>
        <w:t>第五条</w:t>
      </w:r>
      <w:r>
        <w:rPr>
          <w:rFonts w:ascii="Calibri" w:eastAsia="仿宋" w:hAnsi="Calibri" w:cs="Calibri"/>
          <w:color w:val="333333"/>
          <w:sz w:val="32"/>
          <w:szCs w:val="32"/>
        </w:rPr>
        <w:t>   </w:t>
      </w:r>
      <w:r>
        <w:rPr>
          <w:rFonts w:ascii="仿宋" w:eastAsia="仿宋" w:hAnsi="仿宋" w:hint="eastAsia"/>
          <w:color w:val="333333"/>
          <w:sz w:val="32"/>
          <w:szCs w:val="32"/>
        </w:rPr>
        <w:t xml:space="preserve"> 市、县（市、区）水行政主管部门负责本行政区域内水资源的统一管理和监督工作。</w:t>
      </w:r>
    </w:p>
    <w:p w14:paraId="21C600C1" w14:textId="77777777" w:rsidR="00DE522B" w:rsidRDefault="00DE522B" w:rsidP="00DE522B">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仿宋" w:eastAsia="仿宋" w:hAnsi="仿宋" w:hint="eastAsia"/>
          <w:color w:val="333333"/>
          <w:sz w:val="32"/>
          <w:szCs w:val="32"/>
        </w:rPr>
        <w:t>发展改革、工业和信息化、财政、自然资源和规划、生态环境、住房城乡建设、城市管理、农业农村、行政审批服务、市场监管等部门按照职责分工，做好水资源开发、利用、节约、保护有关工作。</w:t>
      </w:r>
    </w:p>
    <w:p w14:paraId="4417BBD6" w14:textId="77777777" w:rsidR="00DE522B" w:rsidRDefault="00DE522B" w:rsidP="00DE522B">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仿宋" w:eastAsia="仿宋" w:hAnsi="仿宋" w:hint="eastAsia"/>
          <w:color w:val="333333"/>
          <w:sz w:val="32"/>
          <w:szCs w:val="32"/>
        </w:rPr>
        <w:t>乡镇人民政府、街道办事处应当配合上级人民政府有关部门做好水资源保护管理的相关工作。</w:t>
      </w:r>
      <w:r>
        <w:rPr>
          <w:rFonts w:ascii="Calibri" w:eastAsia="仿宋" w:hAnsi="Calibri" w:cs="Calibri"/>
          <w:color w:val="333333"/>
          <w:sz w:val="32"/>
          <w:szCs w:val="32"/>
        </w:rPr>
        <w:t> </w:t>
      </w:r>
    </w:p>
    <w:p w14:paraId="5D8DE4C5" w14:textId="77777777" w:rsidR="00DE522B" w:rsidRDefault="00DE522B" w:rsidP="00DE522B">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黑体" w:eastAsia="黑体" w:hAnsi="黑体" w:hint="eastAsia"/>
          <w:color w:val="333333"/>
          <w:sz w:val="32"/>
          <w:szCs w:val="32"/>
        </w:rPr>
        <w:t>第六条</w:t>
      </w:r>
      <w:r>
        <w:rPr>
          <w:rFonts w:ascii="Calibri" w:eastAsia="仿宋" w:hAnsi="Calibri" w:cs="Calibri"/>
          <w:color w:val="333333"/>
          <w:sz w:val="32"/>
          <w:szCs w:val="32"/>
        </w:rPr>
        <w:t>   </w:t>
      </w:r>
      <w:r>
        <w:rPr>
          <w:rFonts w:ascii="仿宋" w:eastAsia="仿宋" w:hAnsi="仿宋" w:hint="eastAsia"/>
          <w:color w:val="333333"/>
          <w:sz w:val="32"/>
          <w:szCs w:val="32"/>
        </w:rPr>
        <w:t xml:space="preserve"> 任何单位和个人都有节约、保护水资源的义务。</w:t>
      </w:r>
    </w:p>
    <w:p w14:paraId="278E4637" w14:textId="77777777" w:rsidR="00DE522B" w:rsidRDefault="00DE522B" w:rsidP="00DE522B">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仿宋" w:eastAsia="仿宋" w:hAnsi="仿宋" w:hint="eastAsia"/>
          <w:color w:val="333333"/>
          <w:sz w:val="32"/>
          <w:szCs w:val="32"/>
        </w:rPr>
        <w:t>各级人民政府应当加强水资源节约、保护的宣传和普及工作，鼓励基层群众性自治组织、社会组织、志愿者开展水资源节约、保护知识的宣传，营造节约、保护水资源的良好风气。</w:t>
      </w:r>
    </w:p>
    <w:p w14:paraId="18286DFF" w14:textId="77777777" w:rsidR="00DE522B" w:rsidRDefault="00DE522B" w:rsidP="00DE522B">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仿宋" w:eastAsia="仿宋" w:hAnsi="仿宋" w:hint="eastAsia"/>
          <w:color w:val="333333"/>
          <w:sz w:val="32"/>
          <w:szCs w:val="32"/>
        </w:rPr>
        <w:t>教育行政部门、学校应当组织开展水资源节约保护知识教育，培养学生节约保护水资源的意识。</w:t>
      </w:r>
    </w:p>
    <w:p w14:paraId="62108416" w14:textId="77777777" w:rsidR="00DE522B" w:rsidRDefault="00DE522B" w:rsidP="00DE522B">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仿宋" w:eastAsia="仿宋" w:hAnsi="仿宋" w:hint="eastAsia"/>
          <w:color w:val="333333"/>
          <w:sz w:val="32"/>
          <w:szCs w:val="32"/>
        </w:rPr>
        <w:t>新闻媒体应当开展水资源节约、保护法律法规和有关知识的宣传。</w:t>
      </w:r>
      <w:r>
        <w:rPr>
          <w:rFonts w:ascii="Calibri" w:eastAsia="仿宋" w:hAnsi="Calibri" w:cs="Calibri"/>
          <w:color w:val="333333"/>
          <w:sz w:val="32"/>
          <w:szCs w:val="32"/>
        </w:rPr>
        <w:t> </w:t>
      </w:r>
    </w:p>
    <w:p w14:paraId="2EA81F87" w14:textId="77777777" w:rsidR="00DE522B" w:rsidRDefault="00DE522B" w:rsidP="00DE522B">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黑体" w:eastAsia="黑体" w:hAnsi="黑体" w:hint="eastAsia"/>
          <w:color w:val="333333"/>
          <w:sz w:val="32"/>
          <w:szCs w:val="32"/>
        </w:rPr>
        <w:lastRenderedPageBreak/>
        <w:t>第七条</w:t>
      </w:r>
      <w:r>
        <w:rPr>
          <w:rFonts w:ascii="Calibri" w:eastAsia="仿宋" w:hAnsi="Calibri" w:cs="Calibri"/>
          <w:color w:val="333333"/>
          <w:sz w:val="32"/>
          <w:szCs w:val="32"/>
        </w:rPr>
        <w:t>   </w:t>
      </w:r>
      <w:r>
        <w:rPr>
          <w:rFonts w:ascii="仿宋" w:eastAsia="仿宋" w:hAnsi="仿宋" w:hint="eastAsia"/>
          <w:color w:val="333333"/>
          <w:sz w:val="32"/>
          <w:szCs w:val="32"/>
        </w:rPr>
        <w:t xml:space="preserve"> 市、县（市、区）水行政主管部门应当会同有关部门按照流域、区域编制水资源综合规划和专业规划，并按照规定程序报批。市辖区根据情况可以不编制水资源综合规划。</w:t>
      </w:r>
    </w:p>
    <w:p w14:paraId="02CE483A" w14:textId="77777777" w:rsidR="00DE522B" w:rsidRDefault="00DE522B" w:rsidP="00DE522B">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仿宋" w:eastAsia="仿宋" w:hAnsi="仿宋" w:hint="eastAsia"/>
          <w:color w:val="333333"/>
          <w:sz w:val="32"/>
          <w:szCs w:val="32"/>
        </w:rPr>
        <w:t>经批准的水资源规划应当向社会公布并严格执行，不得擅自修改。确需修改的，应当按照规划编制程序经原批准机关批准。</w:t>
      </w:r>
    </w:p>
    <w:p w14:paraId="3EB585CE" w14:textId="77777777" w:rsidR="00DE522B" w:rsidRDefault="00DE522B" w:rsidP="00DE522B">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仿宋" w:eastAsia="仿宋" w:hAnsi="仿宋" w:hint="eastAsia"/>
          <w:color w:val="333333"/>
          <w:sz w:val="32"/>
          <w:szCs w:val="32"/>
        </w:rPr>
        <w:t>制定水资源各项规划，应当进行水资源综合科学考察和调查评价。</w:t>
      </w:r>
      <w:r>
        <w:rPr>
          <w:rFonts w:ascii="Calibri" w:eastAsia="仿宋" w:hAnsi="Calibri" w:cs="Calibri"/>
          <w:color w:val="333333"/>
          <w:sz w:val="32"/>
          <w:szCs w:val="32"/>
        </w:rPr>
        <w:t> </w:t>
      </w:r>
    </w:p>
    <w:p w14:paraId="54DAF42C" w14:textId="77777777" w:rsidR="00DE522B" w:rsidRDefault="00DE522B" w:rsidP="00DE522B">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黑体" w:eastAsia="黑体" w:hAnsi="黑体" w:hint="eastAsia"/>
          <w:color w:val="333333"/>
          <w:sz w:val="32"/>
          <w:szCs w:val="32"/>
        </w:rPr>
        <w:t>第八条</w:t>
      </w:r>
      <w:r>
        <w:rPr>
          <w:rFonts w:ascii="Calibri" w:eastAsia="仿宋" w:hAnsi="Calibri" w:cs="Calibri"/>
          <w:color w:val="333333"/>
          <w:sz w:val="32"/>
          <w:szCs w:val="32"/>
        </w:rPr>
        <w:t>   </w:t>
      </w:r>
      <w:r>
        <w:rPr>
          <w:rFonts w:ascii="仿宋" w:eastAsia="仿宋" w:hAnsi="仿宋" w:hint="eastAsia"/>
          <w:color w:val="333333"/>
          <w:sz w:val="32"/>
          <w:szCs w:val="32"/>
        </w:rPr>
        <w:t xml:space="preserve"> 编制水资源综合规划和专业规划，应当符合国民经济和社会发展规划、国土空间规划，注重水利工程建设和改造提升，推进水库联网互通和供水联网联供，保障居民生活用水，兼顾农业、工业、生态环境用水。</w:t>
      </w:r>
      <w:r>
        <w:rPr>
          <w:rFonts w:ascii="Calibri" w:eastAsia="仿宋" w:hAnsi="Calibri" w:cs="Calibri"/>
          <w:color w:val="333333"/>
          <w:sz w:val="32"/>
          <w:szCs w:val="32"/>
        </w:rPr>
        <w:t> </w:t>
      </w:r>
    </w:p>
    <w:p w14:paraId="6ED61FA3" w14:textId="77777777" w:rsidR="00DE522B" w:rsidRDefault="00DE522B" w:rsidP="00DE522B">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黑体" w:eastAsia="黑体" w:hAnsi="黑体" w:hint="eastAsia"/>
          <w:color w:val="333333"/>
          <w:sz w:val="32"/>
          <w:szCs w:val="32"/>
        </w:rPr>
        <w:t>第九条</w:t>
      </w:r>
      <w:r>
        <w:rPr>
          <w:rFonts w:ascii="Calibri" w:eastAsia="仿宋" w:hAnsi="Calibri" w:cs="Calibri"/>
          <w:color w:val="333333"/>
          <w:sz w:val="32"/>
          <w:szCs w:val="32"/>
        </w:rPr>
        <w:t>   </w:t>
      </w:r>
      <w:r>
        <w:rPr>
          <w:rFonts w:ascii="仿宋" w:eastAsia="仿宋" w:hAnsi="仿宋" w:hint="eastAsia"/>
          <w:color w:val="333333"/>
          <w:sz w:val="32"/>
          <w:szCs w:val="32"/>
        </w:rPr>
        <w:t xml:space="preserve"> 制定国民经济和社会发展规划、国土空间规划和其他有关综合性规划，应当坚持以水定城、以水定地、以水定人、以水定产，充分考虑水资源、水环境承载能力，合理确定发展布局、结构和规模。</w:t>
      </w:r>
    </w:p>
    <w:p w14:paraId="2788A062" w14:textId="77777777" w:rsidR="00DE522B" w:rsidRDefault="00DE522B" w:rsidP="00DE522B">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仿宋" w:eastAsia="仿宋" w:hAnsi="仿宋" w:hint="eastAsia"/>
          <w:color w:val="333333"/>
          <w:sz w:val="32"/>
          <w:szCs w:val="32"/>
        </w:rPr>
        <w:t>编制重大建设项目布局规划、产业聚集区规划、相关行业专项规划，应当符合水资源综合规划及相关专业规划，编制规划水资源论证报告书并报水行政主管部门审查。</w:t>
      </w:r>
      <w:r>
        <w:rPr>
          <w:rFonts w:ascii="Calibri" w:eastAsia="仿宋" w:hAnsi="Calibri" w:cs="Calibri"/>
          <w:color w:val="333333"/>
          <w:sz w:val="32"/>
          <w:szCs w:val="32"/>
        </w:rPr>
        <w:t> </w:t>
      </w:r>
    </w:p>
    <w:p w14:paraId="3F7DA64B" w14:textId="77777777" w:rsidR="00DE522B" w:rsidRDefault="00DE522B" w:rsidP="00DE522B">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黑体" w:eastAsia="黑体" w:hAnsi="黑体" w:hint="eastAsia"/>
          <w:color w:val="333333"/>
          <w:sz w:val="32"/>
          <w:szCs w:val="32"/>
        </w:rPr>
        <w:lastRenderedPageBreak/>
        <w:t>第十条</w:t>
      </w:r>
      <w:r>
        <w:rPr>
          <w:rFonts w:ascii="Calibri" w:eastAsia="仿宋" w:hAnsi="Calibri" w:cs="Calibri"/>
          <w:color w:val="333333"/>
          <w:sz w:val="32"/>
          <w:szCs w:val="32"/>
        </w:rPr>
        <w:t>   </w:t>
      </w:r>
      <w:r>
        <w:rPr>
          <w:rFonts w:ascii="仿宋" w:eastAsia="仿宋" w:hAnsi="仿宋" w:hint="eastAsia"/>
          <w:color w:val="333333"/>
          <w:sz w:val="32"/>
          <w:szCs w:val="32"/>
        </w:rPr>
        <w:t xml:space="preserve"> 水资源配置应当优先保障城乡居民生活用水，科学配置地表水，严格控制开采地下水，积极利用黄河水、长江水等外调水，鼓励使用再生水、雨洪水、微咸水、疏干排水等非常规水源。</w:t>
      </w:r>
      <w:r>
        <w:rPr>
          <w:rFonts w:ascii="Calibri" w:eastAsia="仿宋" w:hAnsi="Calibri" w:cs="Calibri"/>
          <w:color w:val="333333"/>
          <w:sz w:val="32"/>
          <w:szCs w:val="32"/>
        </w:rPr>
        <w:t> </w:t>
      </w:r>
    </w:p>
    <w:p w14:paraId="52616B27" w14:textId="77777777" w:rsidR="00DE522B" w:rsidRDefault="00DE522B" w:rsidP="00DE522B">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黑体" w:eastAsia="黑体" w:hAnsi="黑体" w:hint="eastAsia"/>
          <w:color w:val="333333"/>
          <w:sz w:val="32"/>
          <w:szCs w:val="32"/>
        </w:rPr>
        <w:t>第十一条</w:t>
      </w:r>
      <w:r>
        <w:rPr>
          <w:rFonts w:ascii="Calibri" w:eastAsia="仿宋" w:hAnsi="Calibri" w:cs="Calibri"/>
          <w:color w:val="333333"/>
          <w:sz w:val="32"/>
          <w:szCs w:val="32"/>
        </w:rPr>
        <w:t>   </w:t>
      </w:r>
      <w:r>
        <w:rPr>
          <w:rFonts w:ascii="仿宋" w:eastAsia="仿宋" w:hAnsi="仿宋" w:hint="eastAsia"/>
          <w:color w:val="333333"/>
          <w:sz w:val="32"/>
          <w:szCs w:val="32"/>
        </w:rPr>
        <w:t xml:space="preserve"> 实行区域用水总量控制和行业用水定额管理相结合的制度。</w:t>
      </w:r>
    </w:p>
    <w:p w14:paraId="7E58A42F" w14:textId="77777777" w:rsidR="00DE522B" w:rsidRDefault="00DE522B" w:rsidP="00DE522B">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仿宋" w:eastAsia="仿宋" w:hAnsi="仿宋" w:hint="eastAsia"/>
          <w:color w:val="333333"/>
          <w:sz w:val="32"/>
          <w:szCs w:val="32"/>
        </w:rPr>
        <w:t>市水行政主管部门应当根据省下达的用水控制指标，确定并下达下一级行政区域规划期用水控制指标和年度用水控制指标。区域用水总量达到或者超过用水控制指标的，有审批权限的部门应当暂停或者停止审批该区域内新建、改建、扩建建设项目的取水许可申请。</w:t>
      </w:r>
    </w:p>
    <w:p w14:paraId="299FAA4B" w14:textId="77777777" w:rsidR="00DE522B" w:rsidRDefault="00DE522B" w:rsidP="00DE522B">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仿宋" w:eastAsia="仿宋" w:hAnsi="仿宋" w:hint="eastAsia"/>
          <w:color w:val="333333"/>
          <w:sz w:val="32"/>
          <w:szCs w:val="32"/>
        </w:rPr>
        <w:t>行业用水定额应当作为编制区域发展和行业发展规划、实施取水许可和计划用水等的主要依据。</w:t>
      </w:r>
      <w:r>
        <w:rPr>
          <w:rFonts w:ascii="Calibri" w:eastAsia="仿宋" w:hAnsi="Calibri" w:cs="Calibri"/>
          <w:color w:val="333333"/>
          <w:sz w:val="32"/>
          <w:szCs w:val="32"/>
        </w:rPr>
        <w:t> </w:t>
      </w:r>
    </w:p>
    <w:p w14:paraId="6D54C59A" w14:textId="77777777" w:rsidR="00DE522B" w:rsidRDefault="00DE522B" w:rsidP="00DE522B">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黑体" w:eastAsia="黑体" w:hAnsi="黑体" w:hint="eastAsia"/>
          <w:color w:val="333333"/>
          <w:sz w:val="32"/>
          <w:szCs w:val="32"/>
        </w:rPr>
        <w:t>第十二条</w:t>
      </w:r>
      <w:r>
        <w:rPr>
          <w:rFonts w:ascii="Calibri" w:eastAsia="仿宋" w:hAnsi="Calibri" w:cs="Calibri"/>
          <w:color w:val="333333"/>
          <w:sz w:val="32"/>
          <w:szCs w:val="32"/>
        </w:rPr>
        <w:t>   </w:t>
      </w:r>
      <w:r>
        <w:rPr>
          <w:rFonts w:ascii="仿宋" w:eastAsia="仿宋" w:hAnsi="仿宋" w:hint="eastAsia"/>
          <w:color w:val="333333"/>
          <w:sz w:val="32"/>
          <w:szCs w:val="32"/>
        </w:rPr>
        <w:t xml:space="preserve"> 实行区域用水强度控制和用水效率控制制度。</w:t>
      </w:r>
    </w:p>
    <w:p w14:paraId="682D9449" w14:textId="77777777" w:rsidR="00DE522B" w:rsidRDefault="00DE522B" w:rsidP="00DE522B">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仿宋" w:eastAsia="仿宋" w:hAnsi="仿宋" w:hint="eastAsia"/>
          <w:color w:val="333333"/>
          <w:sz w:val="32"/>
          <w:szCs w:val="32"/>
        </w:rPr>
        <w:t>县（市、区）万元国内生产总值用水量、万元工业增加值用水量与农田灌溉水有效利用系数等用水强度控制指标未达到规定目标的，应当相应核减其下一年度的用水总量控制指标。</w:t>
      </w:r>
      <w:r>
        <w:rPr>
          <w:rFonts w:ascii="Calibri" w:eastAsia="仿宋" w:hAnsi="Calibri" w:cs="Calibri"/>
          <w:color w:val="333333"/>
          <w:sz w:val="32"/>
          <w:szCs w:val="32"/>
        </w:rPr>
        <w:t> </w:t>
      </w:r>
    </w:p>
    <w:p w14:paraId="379EB1BA" w14:textId="77777777" w:rsidR="00DE522B" w:rsidRDefault="00DE522B" w:rsidP="00DE522B">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黑体" w:eastAsia="黑体" w:hAnsi="黑体" w:hint="eastAsia"/>
          <w:color w:val="333333"/>
          <w:sz w:val="32"/>
          <w:szCs w:val="32"/>
        </w:rPr>
        <w:lastRenderedPageBreak/>
        <w:t>第十三条</w:t>
      </w:r>
      <w:r>
        <w:rPr>
          <w:rFonts w:ascii="Calibri" w:eastAsia="仿宋" w:hAnsi="Calibri" w:cs="Calibri"/>
          <w:color w:val="333333"/>
          <w:sz w:val="32"/>
          <w:szCs w:val="32"/>
        </w:rPr>
        <w:t>   </w:t>
      </w:r>
      <w:r>
        <w:rPr>
          <w:rFonts w:ascii="仿宋" w:eastAsia="仿宋" w:hAnsi="仿宋" w:hint="eastAsia"/>
          <w:color w:val="333333"/>
          <w:sz w:val="32"/>
          <w:szCs w:val="32"/>
        </w:rPr>
        <w:t xml:space="preserve"> 市、县（市、区）水行政主管部门应当按规定编制河流、水库调蓄计划和水量分配方案，报本级人民政府批准。</w:t>
      </w:r>
    </w:p>
    <w:p w14:paraId="5E14F40D" w14:textId="77777777" w:rsidR="00DE522B" w:rsidRDefault="00DE522B" w:rsidP="00DE522B">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仿宋" w:eastAsia="仿宋" w:hAnsi="仿宋" w:hint="eastAsia"/>
          <w:color w:val="333333"/>
          <w:sz w:val="32"/>
          <w:szCs w:val="32"/>
        </w:rPr>
        <w:t>市、县（市、区）水行政主管部门应当根据水量分配方案制定年度水量调度计划并组织实施。年度水量调度计划根据县（市、区）水利工程建设运行情况及年度用水需求实行动态管理。</w:t>
      </w:r>
    </w:p>
    <w:p w14:paraId="64E37B80" w14:textId="77777777" w:rsidR="00DE522B" w:rsidRDefault="00DE522B" w:rsidP="00DE522B">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仿宋" w:eastAsia="仿宋" w:hAnsi="仿宋" w:hint="eastAsia"/>
          <w:color w:val="333333"/>
          <w:sz w:val="32"/>
          <w:szCs w:val="32"/>
        </w:rPr>
        <w:t>市、县（市、区）水行政主管部门应当确定重要河流、水库生态流量控制目标，建立生态流量监测评估机制，生态流量控制目标应作为编制水量分配方案的重要依据。</w:t>
      </w:r>
      <w:r>
        <w:rPr>
          <w:rFonts w:ascii="Calibri" w:eastAsia="仿宋" w:hAnsi="Calibri" w:cs="Calibri"/>
          <w:color w:val="333333"/>
          <w:sz w:val="32"/>
          <w:szCs w:val="32"/>
        </w:rPr>
        <w:t> </w:t>
      </w:r>
    </w:p>
    <w:p w14:paraId="0605C31B" w14:textId="77777777" w:rsidR="00DE522B" w:rsidRDefault="00DE522B" w:rsidP="00DE522B">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黑体" w:eastAsia="黑体" w:hAnsi="黑体" w:hint="eastAsia"/>
          <w:color w:val="333333"/>
          <w:sz w:val="32"/>
          <w:szCs w:val="32"/>
        </w:rPr>
        <w:t>第十四条</w:t>
      </w:r>
      <w:r>
        <w:rPr>
          <w:rFonts w:ascii="Calibri" w:eastAsia="仿宋" w:hAnsi="Calibri" w:cs="Calibri"/>
          <w:color w:val="333333"/>
          <w:sz w:val="32"/>
          <w:szCs w:val="32"/>
        </w:rPr>
        <w:t>   </w:t>
      </w:r>
      <w:r>
        <w:rPr>
          <w:rFonts w:ascii="仿宋" w:eastAsia="仿宋" w:hAnsi="仿宋" w:hint="eastAsia"/>
          <w:color w:val="333333"/>
          <w:sz w:val="32"/>
          <w:szCs w:val="32"/>
        </w:rPr>
        <w:t xml:space="preserve"> 各类开发区、园区、特色小镇和其他有条件的区域，应当开展区域水资源论证，明确用水总量、用水效率控制指标等要求。</w:t>
      </w:r>
    </w:p>
    <w:p w14:paraId="261AA1FA" w14:textId="77777777" w:rsidR="00DE522B" w:rsidRDefault="00DE522B" w:rsidP="00DE522B">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仿宋" w:eastAsia="仿宋" w:hAnsi="仿宋" w:hint="eastAsia"/>
          <w:color w:val="333333"/>
          <w:sz w:val="32"/>
          <w:szCs w:val="32"/>
        </w:rPr>
        <w:t>需要办理取水许可的建设项目，其所在区域已经开展区域水资源论证的，除列入负面清单的外，不再进行水资源论证。</w:t>
      </w:r>
      <w:r>
        <w:rPr>
          <w:rFonts w:ascii="Calibri" w:eastAsia="仿宋" w:hAnsi="Calibri" w:cs="Calibri"/>
          <w:color w:val="333333"/>
          <w:sz w:val="32"/>
          <w:szCs w:val="32"/>
        </w:rPr>
        <w:t> </w:t>
      </w:r>
    </w:p>
    <w:p w14:paraId="66C4AC04" w14:textId="77777777" w:rsidR="00DE522B" w:rsidRDefault="00DE522B" w:rsidP="00DE522B">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黑体" w:eastAsia="黑体" w:hAnsi="黑体" w:hint="eastAsia"/>
          <w:color w:val="333333"/>
          <w:sz w:val="32"/>
          <w:szCs w:val="32"/>
        </w:rPr>
        <w:t>第十五条</w:t>
      </w:r>
      <w:r>
        <w:rPr>
          <w:rFonts w:ascii="Calibri" w:eastAsia="仿宋" w:hAnsi="Calibri" w:cs="Calibri"/>
          <w:color w:val="333333"/>
          <w:sz w:val="32"/>
          <w:szCs w:val="32"/>
        </w:rPr>
        <w:t>   </w:t>
      </w:r>
      <w:r>
        <w:rPr>
          <w:rFonts w:ascii="仿宋" w:eastAsia="仿宋" w:hAnsi="仿宋" w:hint="eastAsia"/>
          <w:color w:val="333333"/>
          <w:sz w:val="32"/>
          <w:szCs w:val="32"/>
        </w:rPr>
        <w:t xml:space="preserve"> 取水许可实行分级审批制度。取水单位或者个人应当申领取水许可证，按照取水许可规定条件取水，并缴纳水资源费。</w:t>
      </w:r>
    </w:p>
    <w:p w14:paraId="2207F823" w14:textId="77777777" w:rsidR="00DE522B" w:rsidRDefault="00DE522B" w:rsidP="00DE522B">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仿宋" w:eastAsia="仿宋" w:hAnsi="仿宋" w:hint="eastAsia"/>
          <w:color w:val="333333"/>
          <w:sz w:val="32"/>
          <w:szCs w:val="32"/>
        </w:rPr>
        <w:lastRenderedPageBreak/>
        <w:t>有下列情形之一的，应向市级有审批权限的部门提出取水许可申请：</w:t>
      </w:r>
    </w:p>
    <w:p w14:paraId="26C712A9" w14:textId="77777777" w:rsidR="00DE522B" w:rsidRDefault="00DE522B" w:rsidP="00DE522B">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仿宋" w:eastAsia="仿宋" w:hAnsi="仿宋" w:hint="eastAsia"/>
          <w:color w:val="333333"/>
          <w:sz w:val="32"/>
          <w:szCs w:val="32"/>
        </w:rPr>
        <w:t>（一）在跨县（市、区）边界河流、湖泊、水库取水的；</w:t>
      </w:r>
    </w:p>
    <w:p w14:paraId="3E239CDC" w14:textId="77777777" w:rsidR="00DE522B" w:rsidRDefault="00DE522B" w:rsidP="00DE522B">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仿宋" w:eastAsia="仿宋" w:hAnsi="仿宋" w:hint="eastAsia"/>
          <w:color w:val="333333"/>
          <w:sz w:val="32"/>
          <w:szCs w:val="32"/>
        </w:rPr>
        <w:t>（二）年取地表水一千万至一千五百万立方米、地下水一百万至五百万立方米的；</w:t>
      </w:r>
    </w:p>
    <w:p w14:paraId="774577FD" w14:textId="77777777" w:rsidR="00DE522B" w:rsidRDefault="00DE522B" w:rsidP="00DE522B">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仿宋" w:eastAsia="仿宋" w:hAnsi="仿宋" w:hint="eastAsia"/>
          <w:color w:val="333333"/>
          <w:sz w:val="32"/>
          <w:szCs w:val="32"/>
        </w:rPr>
        <w:t>（三）在地下水限制开采区年取地下水五万立方米以下的。</w:t>
      </w:r>
    </w:p>
    <w:p w14:paraId="3F191D78" w14:textId="77777777" w:rsidR="00DE522B" w:rsidRDefault="00DE522B" w:rsidP="00DE522B">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仿宋" w:eastAsia="仿宋" w:hAnsi="仿宋" w:hint="eastAsia"/>
          <w:color w:val="333333"/>
          <w:sz w:val="32"/>
          <w:szCs w:val="32"/>
        </w:rPr>
        <w:t>前款规定以外的其他取水许可审批，除属国家和省审批权限外，由县（市、区）有审批权限的部门办理。</w:t>
      </w:r>
      <w:r>
        <w:rPr>
          <w:rFonts w:ascii="Calibri" w:eastAsia="仿宋" w:hAnsi="Calibri" w:cs="Calibri"/>
          <w:color w:val="333333"/>
          <w:sz w:val="32"/>
          <w:szCs w:val="32"/>
        </w:rPr>
        <w:t> </w:t>
      </w:r>
    </w:p>
    <w:p w14:paraId="418C6879" w14:textId="77777777" w:rsidR="00DE522B" w:rsidRDefault="00DE522B" w:rsidP="00DE522B">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黑体" w:eastAsia="黑体" w:hAnsi="黑体" w:hint="eastAsia"/>
          <w:color w:val="333333"/>
          <w:sz w:val="32"/>
          <w:szCs w:val="32"/>
        </w:rPr>
        <w:t>第十六条</w:t>
      </w:r>
      <w:r>
        <w:rPr>
          <w:rFonts w:ascii="Calibri" w:eastAsia="仿宋" w:hAnsi="Calibri" w:cs="Calibri"/>
          <w:color w:val="333333"/>
          <w:sz w:val="32"/>
          <w:szCs w:val="32"/>
        </w:rPr>
        <w:t>   </w:t>
      </w:r>
      <w:r>
        <w:rPr>
          <w:rFonts w:ascii="仿宋" w:eastAsia="仿宋" w:hAnsi="仿宋" w:hint="eastAsia"/>
          <w:color w:val="333333"/>
          <w:sz w:val="32"/>
          <w:szCs w:val="32"/>
        </w:rPr>
        <w:t xml:space="preserve"> 取水许可审批可以采取告知承诺制方式。取水单位和个人书面承诺按照要求建设取水工</w:t>
      </w:r>
      <w:proofErr w:type="gramStart"/>
      <w:r>
        <w:rPr>
          <w:rFonts w:ascii="仿宋" w:eastAsia="仿宋" w:hAnsi="仿宋" w:hint="eastAsia"/>
          <w:color w:val="333333"/>
          <w:sz w:val="32"/>
          <w:szCs w:val="32"/>
        </w:rPr>
        <w:t>程或者</w:t>
      </w:r>
      <w:proofErr w:type="gramEnd"/>
      <w:r>
        <w:rPr>
          <w:rFonts w:ascii="仿宋" w:eastAsia="仿宋" w:hAnsi="仿宋" w:hint="eastAsia"/>
          <w:color w:val="333333"/>
          <w:sz w:val="32"/>
          <w:szCs w:val="32"/>
        </w:rPr>
        <w:t>设施的，有审批权限的部门可以先行</w:t>
      </w:r>
      <w:proofErr w:type="gramStart"/>
      <w:r>
        <w:rPr>
          <w:rFonts w:ascii="仿宋" w:eastAsia="仿宋" w:hAnsi="仿宋" w:hint="eastAsia"/>
          <w:color w:val="333333"/>
          <w:sz w:val="32"/>
          <w:szCs w:val="32"/>
        </w:rPr>
        <w:t>作出</w:t>
      </w:r>
      <w:proofErr w:type="gramEnd"/>
      <w:r>
        <w:rPr>
          <w:rFonts w:ascii="仿宋" w:eastAsia="仿宋" w:hAnsi="仿宋" w:hint="eastAsia"/>
          <w:color w:val="333333"/>
          <w:sz w:val="32"/>
          <w:szCs w:val="32"/>
        </w:rPr>
        <w:t>取水许可的决定，同级水行政主管部门负责加强服务指导和事中事后监督检查。</w:t>
      </w:r>
      <w:r>
        <w:rPr>
          <w:rFonts w:ascii="Calibri" w:eastAsia="仿宋" w:hAnsi="Calibri" w:cs="Calibri"/>
          <w:color w:val="333333"/>
          <w:sz w:val="32"/>
          <w:szCs w:val="32"/>
        </w:rPr>
        <w:t> </w:t>
      </w:r>
    </w:p>
    <w:p w14:paraId="4290C8AB" w14:textId="77777777" w:rsidR="00DE522B" w:rsidRDefault="00DE522B" w:rsidP="00DE522B">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黑体" w:eastAsia="黑体" w:hAnsi="黑体" w:hint="eastAsia"/>
          <w:color w:val="333333"/>
          <w:sz w:val="32"/>
          <w:szCs w:val="32"/>
        </w:rPr>
        <w:t>第十七条</w:t>
      </w:r>
      <w:r>
        <w:rPr>
          <w:rFonts w:ascii="Calibri" w:eastAsia="仿宋" w:hAnsi="Calibri" w:cs="Calibri"/>
          <w:color w:val="333333"/>
          <w:sz w:val="32"/>
          <w:szCs w:val="32"/>
        </w:rPr>
        <w:t>   </w:t>
      </w:r>
      <w:r>
        <w:rPr>
          <w:rFonts w:ascii="仿宋" w:eastAsia="仿宋" w:hAnsi="仿宋" w:hint="eastAsia"/>
          <w:color w:val="333333"/>
          <w:sz w:val="32"/>
          <w:szCs w:val="32"/>
        </w:rPr>
        <w:t xml:space="preserve"> 市、县（市、区）水行政主管部门应当建立取水工程普查登记制度和监督管理制度，完善取水管理台账。</w:t>
      </w:r>
    </w:p>
    <w:p w14:paraId="476F1260" w14:textId="77777777" w:rsidR="00DE522B" w:rsidRDefault="00DE522B" w:rsidP="00DE522B">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仿宋" w:eastAsia="仿宋" w:hAnsi="仿宋" w:hint="eastAsia"/>
          <w:color w:val="333333"/>
          <w:sz w:val="32"/>
          <w:szCs w:val="32"/>
        </w:rPr>
        <w:t>取水单位或者个人应当</w:t>
      </w:r>
      <w:proofErr w:type="gramStart"/>
      <w:r>
        <w:rPr>
          <w:rFonts w:ascii="仿宋" w:eastAsia="仿宋" w:hAnsi="仿宋" w:hint="eastAsia"/>
          <w:color w:val="333333"/>
          <w:sz w:val="32"/>
          <w:szCs w:val="32"/>
        </w:rPr>
        <w:t>加强对取水工</w:t>
      </w:r>
      <w:proofErr w:type="gramEnd"/>
      <w:r>
        <w:rPr>
          <w:rFonts w:ascii="仿宋" w:eastAsia="仿宋" w:hAnsi="仿宋" w:hint="eastAsia"/>
          <w:color w:val="333333"/>
          <w:sz w:val="32"/>
          <w:szCs w:val="32"/>
        </w:rPr>
        <w:t>程的管理，保证取水和使用安全。</w:t>
      </w:r>
      <w:r>
        <w:rPr>
          <w:rFonts w:ascii="Calibri" w:eastAsia="仿宋" w:hAnsi="Calibri" w:cs="Calibri"/>
          <w:color w:val="333333"/>
          <w:sz w:val="32"/>
          <w:szCs w:val="32"/>
        </w:rPr>
        <w:t> </w:t>
      </w:r>
    </w:p>
    <w:p w14:paraId="0B20C6F1" w14:textId="77777777" w:rsidR="00DE522B" w:rsidRDefault="00DE522B" w:rsidP="00DE522B">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黑体" w:eastAsia="黑体" w:hAnsi="黑体" w:hint="eastAsia"/>
          <w:color w:val="333333"/>
          <w:sz w:val="32"/>
          <w:szCs w:val="32"/>
        </w:rPr>
        <w:t>第十八条</w:t>
      </w:r>
      <w:r>
        <w:rPr>
          <w:rFonts w:ascii="Calibri" w:eastAsia="仿宋" w:hAnsi="Calibri" w:cs="Calibri"/>
          <w:color w:val="333333"/>
          <w:sz w:val="32"/>
          <w:szCs w:val="32"/>
        </w:rPr>
        <w:t>   </w:t>
      </w:r>
      <w:r>
        <w:rPr>
          <w:rFonts w:ascii="仿宋" w:eastAsia="仿宋" w:hAnsi="仿宋" w:hint="eastAsia"/>
          <w:color w:val="333333"/>
          <w:sz w:val="32"/>
          <w:szCs w:val="32"/>
        </w:rPr>
        <w:t xml:space="preserve"> 市、县（市、区）人民政府应当按照城乡同质、县级统管的原则，加强农村生活供水设施以及配套管网的建设与改造，保障和改善农村生活用水。</w:t>
      </w:r>
      <w:r>
        <w:rPr>
          <w:rFonts w:ascii="Calibri" w:eastAsia="仿宋" w:hAnsi="Calibri" w:cs="Calibri"/>
          <w:color w:val="333333"/>
          <w:sz w:val="32"/>
          <w:szCs w:val="32"/>
        </w:rPr>
        <w:t> </w:t>
      </w:r>
    </w:p>
    <w:p w14:paraId="037CCBC5" w14:textId="77777777" w:rsidR="00DE522B" w:rsidRDefault="00DE522B" w:rsidP="00DE522B">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黑体" w:eastAsia="黑体" w:hAnsi="黑体" w:hint="eastAsia"/>
          <w:color w:val="333333"/>
          <w:sz w:val="32"/>
          <w:szCs w:val="32"/>
        </w:rPr>
        <w:lastRenderedPageBreak/>
        <w:t>第十九条</w:t>
      </w:r>
      <w:r>
        <w:rPr>
          <w:rFonts w:ascii="Calibri" w:eastAsia="仿宋" w:hAnsi="Calibri" w:cs="Calibri"/>
          <w:color w:val="333333"/>
          <w:sz w:val="32"/>
          <w:szCs w:val="32"/>
        </w:rPr>
        <w:t>   </w:t>
      </w:r>
      <w:r>
        <w:rPr>
          <w:rFonts w:ascii="仿宋" w:eastAsia="仿宋" w:hAnsi="仿宋" w:hint="eastAsia"/>
          <w:color w:val="333333"/>
          <w:sz w:val="32"/>
          <w:szCs w:val="32"/>
        </w:rPr>
        <w:t xml:space="preserve"> 市、县（市、区）人民政府应当加强节水工作的领导，编制区域节约用水规划，建立健全节水长效机制，加大节约用水资金投入，引导和鼓励社会资金、民间资本投入节水产业，推进节水型社会、节水型城市建设。</w:t>
      </w:r>
      <w:r>
        <w:rPr>
          <w:rFonts w:ascii="Calibri" w:eastAsia="仿宋" w:hAnsi="Calibri" w:cs="Calibri"/>
          <w:color w:val="333333"/>
          <w:sz w:val="32"/>
          <w:szCs w:val="32"/>
        </w:rPr>
        <w:t> </w:t>
      </w:r>
    </w:p>
    <w:p w14:paraId="65A1EB3A" w14:textId="77777777" w:rsidR="00DE522B" w:rsidRDefault="00DE522B" w:rsidP="00DE522B">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黑体" w:eastAsia="黑体" w:hAnsi="黑体" w:hint="eastAsia"/>
          <w:color w:val="333333"/>
          <w:sz w:val="32"/>
          <w:szCs w:val="32"/>
        </w:rPr>
        <w:t>第二十条</w:t>
      </w:r>
      <w:r>
        <w:rPr>
          <w:rFonts w:ascii="Calibri" w:eastAsia="黑体" w:hAnsi="Calibri" w:cs="Calibri"/>
          <w:color w:val="333333"/>
          <w:sz w:val="32"/>
          <w:szCs w:val="32"/>
        </w:rPr>
        <w:t> </w:t>
      </w:r>
      <w:r>
        <w:rPr>
          <w:rFonts w:ascii="Calibri" w:eastAsia="仿宋" w:hAnsi="Calibri" w:cs="Calibri"/>
          <w:color w:val="333333"/>
          <w:sz w:val="32"/>
          <w:szCs w:val="32"/>
        </w:rPr>
        <w:t>  </w:t>
      </w:r>
      <w:r>
        <w:rPr>
          <w:rFonts w:ascii="仿宋" w:eastAsia="仿宋" w:hAnsi="仿宋" w:hint="eastAsia"/>
          <w:color w:val="333333"/>
          <w:sz w:val="32"/>
          <w:szCs w:val="32"/>
        </w:rPr>
        <w:t xml:space="preserve"> 实行计划用水和超用水计划、</w:t>
      </w:r>
      <w:proofErr w:type="gramStart"/>
      <w:r>
        <w:rPr>
          <w:rFonts w:ascii="仿宋" w:eastAsia="仿宋" w:hAnsi="仿宋" w:hint="eastAsia"/>
          <w:color w:val="333333"/>
          <w:sz w:val="32"/>
          <w:szCs w:val="32"/>
        </w:rPr>
        <w:t>超行业</w:t>
      </w:r>
      <w:proofErr w:type="gramEnd"/>
      <w:r>
        <w:rPr>
          <w:rFonts w:ascii="仿宋" w:eastAsia="仿宋" w:hAnsi="仿宋" w:hint="eastAsia"/>
          <w:color w:val="333333"/>
          <w:sz w:val="32"/>
          <w:szCs w:val="32"/>
        </w:rPr>
        <w:t>用水定额累进加价制度，城镇供水价格实行居民阶梯水价制度和非居民用水超定额、超计划累进加价制度，促进和引导全社会节约用水。</w:t>
      </w:r>
    </w:p>
    <w:p w14:paraId="0FCA05C9" w14:textId="77777777" w:rsidR="00DE522B" w:rsidRDefault="00DE522B" w:rsidP="00DE522B">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仿宋" w:eastAsia="仿宋" w:hAnsi="仿宋" w:hint="eastAsia"/>
          <w:color w:val="333333"/>
          <w:sz w:val="32"/>
          <w:szCs w:val="32"/>
        </w:rPr>
        <w:t>取水单位和个人应当在每年的12月31日前向水行政主管部门报送当年度取水情况和下一年度取水计划建议。水行政主管部门应当于每年的1月31日前核定取水计划并下达。因生产经营变动、干旱、突发事件等需要调整取水计划的，应当重新核定。</w:t>
      </w:r>
    </w:p>
    <w:p w14:paraId="544CB135" w14:textId="77777777" w:rsidR="00DE522B" w:rsidRDefault="00DE522B" w:rsidP="00DE522B">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仿宋" w:eastAsia="仿宋" w:hAnsi="仿宋" w:hint="eastAsia"/>
          <w:color w:val="333333"/>
          <w:sz w:val="32"/>
          <w:szCs w:val="32"/>
        </w:rPr>
        <w:t>公共供水单位在报送当年度取水情况和下一年度取水计划建议时，应当附具重点非居民用水户年度取水情况和下一年度取水计划建议。</w:t>
      </w:r>
      <w:r>
        <w:rPr>
          <w:rFonts w:ascii="Calibri" w:eastAsia="仿宋" w:hAnsi="Calibri" w:cs="Calibri"/>
          <w:color w:val="333333"/>
          <w:sz w:val="32"/>
          <w:szCs w:val="32"/>
        </w:rPr>
        <w:t> </w:t>
      </w:r>
    </w:p>
    <w:p w14:paraId="1D371925" w14:textId="77777777" w:rsidR="00DE522B" w:rsidRDefault="00DE522B" w:rsidP="00DE522B">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黑体" w:eastAsia="黑体" w:hAnsi="黑体" w:hint="eastAsia"/>
          <w:color w:val="333333"/>
          <w:sz w:val="32"/>
          <w:szCs w:val="32"/>
        </w:rPr>
        <w:t>第二十一条</w:t>
      </w:r>
      <w:r>
        <w:rPr>
          <w:rFonts w:ascii="Calibri" w:eastAsia="仿宋" w:hAnsi="Calibri" w:cs="Calibri"/>
          <w:color w:val="333333"/>
          <w:sz w:val="32"/>
          <w:szCs w:val="32"/>
        </w:rPr>
        <w:t>   </w:t>
      </w:r>
      <w:r>
        <w:rPr>
          <w:rFonts w:ascii="仿宋" w:eastAsia="仿宋" w:hAnsi="仿宋" w:hint="eastAsia"/>
          <w:color w:val="333333"/>
          <w:sz w:val="32"/>
          <w:szCs w:val="32"/>
        </w:rPr>
        <w:t xml:space="preserve"> 市、县（市、区）人民政府应当组织有关部门推进公共供水管网的节水改造。</w:t>
      </w:r>
    </w:p>
    <w:p w14:paraId="65CC6094" w14:textId="77777777" w:rsidR="00DE522B" w:rsidRDefault="00DE522B" w:rsidP="00DE522B">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仿宋" w:eastAsia="仿宋" w:hAnsi="仿宋" w:hint="eastAsia"/>
          <w:color w:val="333333"/>
          <w:sz w:val="32"/>
          <w:szCs w:val="32"/>
        </w:rPr>
        <w:lastRenderedPageBreak/>
        <w:t>公共供水单位应当采用先进的制水工艺，加强原水管道的日常监测和供水管网的分区监测，定期分析原水管道、供水管网的用水损耗情况，发现原水管道、供水管网漏损的，应当及时维修。</w:t>
      </w:r>
    </w:p>
    <w:p w14:paraId="6CA1FA2F" w14:textId="77777777" w:rsidR="00DE522B" w:rsidRDefault="00DE522B" w:rsidP="00DE522B">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仿宋" w:eastAsia="仿宋" w:hAnsi="仿宋" w:hint="eastAsia"/>
          <w:color w:val="333333"/>
          <w:sz w:val="32"/>
          <w:szCs w:val="32"/>
        </w:rPr>
        <w:t>供水管网</w:t>
      </w:r>
      <w:proofErr w:type="gramStart"/>
      <w:r>
        <w:rPr>
          <w:rFonts w:ascii="仿宋" w:eastAsia="仿宋" w:hAnsi="仿宋" w:hint="eastAsia"/>
          <w:color w:val="333333"/>
          <w:sz w:val="32"/>
          <w:szCs w:val="32"/>
        </w:rPr>
        <w:t>漏失率应当</w:t>
      </w:r>
      <w:proofErr w:type="gramEnd"/>
      <w:r>
        <w:rPr>
          <w:rFonts w:ascii="仿宋" w:eastAsia="仿宋" w:hAnsi="仿宋" w:hint="eastAsia"/>
          <w:color w:val="333333"/>
          <w:sz w:val="32"/>
          <w:szCs w:val="32"/>
        </w:rPr>
        <w:t>符合国家和省规定的标准，并逐步下降。</w:t>
      </w:r>
      <w:r>
        <w:rPr>
          <w:rFonts w:ascii="Calibri" w:eastAsia="仿宋" w:hAnsi="Calibri" w:cs="Calibri"/>
          <w:color w:val="333333"/>
          <w:sz w:val="32"/>
          <w:szCs w:val="32"/>
        </w:rPr>
        <w:t> </w:t>
      </w:r>
    </w:p>
    <w:p w14:paraId="1D07D6E9" w14:textId="77777777" w:rsidR="00DE522B" w:rsidRDefault="00DE522B" w:rsidP="00DE522B">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黑体" w:eastAsia="黑体" w:hAnsi="黑体" w:hint="eastAsia"/>
          <w:color w:val="333333"/>
          <w:sz w:val="32"/>
          <w:szCs w:val="32"/>
        </w:rPr>
        <w:t>第二十二条</w:t>
      </w:r>
      <w:r>
        <w:rPr>
          <w:rFonts w:ascii="Calibri" w:eastAsia="仿宋" w:hAnsi="Calibri" w:cs="Calibri"/>
          <w:color w:val="333333"/>
          <w:sz w:val="32"/>
          <w:szCs w:val="32"/>
        </w:rPr>
        <w:t>   </w:t>
      </w:r>
      <w:r>
        <w:rPr>
          <w:rFonts w:ascii="仿宋" w:eastAsia="仿宋" w:hAnsi="仿宋" w:hint="eastAsia"/>
          <w:color w:val="333333"/>
          <w:sz w:val="32"/>
          <w:szCs w:val="32"/>
        </w:rPr>
        <w:t xml:space="preserve"> 工业用水应当采用先进的节水技术、工艺和设备，增加水循环次数，提高水的重复利用率，不得直接排放工业间接冷却水、冷凝水。工业用水重复利用率低于国家规定标准的，在达标之前不得新增用水量。</w:t>
      </w:r>
    </w:p>
    <w:p w14:paraId="50CC699B" w14:textId="77777777" w:rsidR="00DE522B" w:rsidRDefault="00DE522B" w:rsidP="00DE522B">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仿宋" w:eastAsia="仿宋" w:hAnsi="仿宋" w:hint="eastAsia"/>
          <w:color w:val="333333"/>
          <w:sz w:val="32"/>
          <w:szCs w:val="32"/>
        </w:rPr>
        <w:t>农业用水应采用管灌、喷灌、微灌、水肥一体化等先进节水技术，推进大中型灌区节水改造，发展节水高效现代农业。</w:t>
      </w:r>
    </w:p>
    <w:p w14:paraId="4CFC4BA8" w14:textId="77777777" w:rsidR="00DE522B" w:rsidRDefault="00DE522B" w:rsidP="00DE522B">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仿宋" w:eastAsia="仿宋" w:hAnsi="仿宋" w:hint="eastAsia"/>
          <w:color w:val="333333"/>
          <w:sz w:val="32"/>
          <w:szCs w:val="32"/>
        </w:rPr>
        <w:t>机关、事业单位等公共机构和餐饮、水上娱乐、宾馆等单位以及洗浴、洗车、高尔夫球场、滑雪场等场所，应当采用节水技术、设备和设施，并按照国家和省有关规定配套建设再生水利用设施。</w:t>
      </w:r>
      <w:r>
        <w:rPr>
          <w:rFonts w:ascii="Calibri" w:eastAsia="仿宋" w:hAnsi="Calibri" w:cs="Calibri"/>
          <w:color w:val="333333"/>
          <w:sz w:val="32"/>
          <w:szCs w:val="32"/>
        </w:rPr>
        <w:t> </w:t>
      </w:r>
    </w:p>
    <w:p w14:paraId="05EF3889" w14:textId="77777777" w:rsidR="00DE522B" w:rsidRDefault="00DE522B" w:rsidP="00DE522B">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黑体" w:eastAsia="黑体" w:hAnsi="黑体" w:hint="eastAsia"/>
          <w:color w:val="333333"/>
          <w:sz w:val="32"/>
          <w:szCs w:val="32"/>
        </w:rPr>
        <w:t>第二十三条</w:t>
      </w:r>
      <w:r>
        <w:rPr>
          <w:rFonts w:ascii="Calibri" w:eastAsia="仿宋" w:hAnsi="Calibri" w:cs="Calibri"/>
          <w:color w:val="333333"/>
          <w:sz w:val="32"/>
          <w:szCs w:val="32"/>
        </w:rPr>
        <w:t>   </w:t>
      </w:r>
      <w:r>
        <w:rPr>
          <w:rFonts w:ascii="仿宋" w:eastAsia="仿宋" w:hAnsi="仿宋" w:hint="eastAsia"/>
          <w:color w:val="333333"/>
          <w:sz w:val="32"/>
          <w:szCs w:val="32"/>
        </w:rPr>
        <w:t xml:space="preserve"> 市、县（市、区）人民政府应当优化产业布局，推进高耗水企业向水资源条件允许的工业园区集中，统筹</w:t>
      </w:r>
      <w:r>
        <w:rPr>
          <w:rFonts w:ascii="仿宋" w:eastAsia="仿宋" w:hAnsi="仿宋" w:hint="eastAsia"/>
          <w:color w:val="333333"/>
          <w:sz w:val="32"/>
          <w:szCs w:val="32"/>
        </w:rPr>
        <w:lastRenderedPageBreak/>
        <w:t>供排水、工业水厂、再生水输配管网等基础设施建设，促进工业园区分质供水和再生水利用。</w:t>
      </w:r>
    </w:p>
    <w:p w14:paraId="4558A4B4" w14:textId="77777777" w:rsidR="00DE522B" w:rsidRDefault="00DE522B" w:rsidP="00DE522B">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仿宋" w:eastAsia="仿宋" w:hAnsi="仿宋" w:hint="eastAsia"/>
          <w:color w:val="333333"/>
          <w:sz w:val="32"/>
          <w:szCs w:val="32"/>
        </w:rPr>
        <w:t>火电、钢铁、煤炭、石油、化工、印染、造纸等高耗水企业使用再生水等非常规水源的比例，不得低于国家和省规定的标准；景观用水、园林绿化、环境卫生、建筑业等相关行业用水优先利用雨水和再生水、矿井水等非常规水源。</w:t>
      </w:r>
      <w:r>
        <w:rPr>
          <w:rFonts w:ascii="Calibri" w:eastAsia="仿宋" w:hAnsi="Calibri" w:cs="Calibri"/>
          <w:color w:val="333333"/>
          <w:sz w:val="32"/>
          <w:szCs w:val="32"/>
        </w:rPr>
        <w:t> </w:t>
      </w:r>
    </w:p>
    <w:p w14:paraId="74B36B6C" w14:textId="77777777" w:rsidR="00DE522B" w:rsidRDefault="00DE522B" w:rsidP="00DE522B">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黑体" w:eastAsia="黑体" w:hAnsi="黑体" w:hint="eastAsia"/>
          <w:color w:val="333333"/>
          <w:sz w:val="32"/>
          <w:szCs w:val="32"/>
        </w:rPr>
        <w:t>第二十四条</w:t>
      </w:r>
      <w:r>
        <w:rPr>
          <w:rFonts w:ascii="Calibri" w:eastAsia="仿宋" w:hAnsi="Calibri" w:cs="Calibri"/>
          <w:color w:val="333333"/>
          <w:sz w:val="32"/>
          <w:szCs w:val="32"/>
        </w:rPr>
        <w:t>   </w:t>
      </w:r>
      <w:r>
        <w:rPr>
          <w:rFonts w:ascii="仿宋" w:eastAsia="仿宋" w:hAnsi="仿宋" w:hint="eastAsia"/>
          <w:color w:val="333333"/>
          <w:sz w:val="32"/>
          <w:szCs w:val="32"/>
        </w:rPr>
        <w:t xml:space="preserve"> 办理取水许可的建设项目应当开展节水评价，在水资源论证报告书中应当有节水评价章节。</w:t>
      </w:r>
    </w:p>
    <w:p w14:paraId="222D0CDE" w14:textId="77777777" w:rsidR="00DE522B" w:rsidRDefault="00DE522B" w:rsidP="00DE522B">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仿宋" w:eastAsia="仿宋" w:hAnsi="仿宋" w:hint="eastAsia"/>
          <w:color w:val="333333"/>
          <w:sz w:val="32"/>
          <w:szCs w:val="32"/>
        </w:rPr>
        <w:t>取水单位和个人应当按照国家、省有关标准规范定期开展水平衡测试和用水统计分析，降低用水消耗。</w:t>
      </w:r>
      <w:r>
        <w:rPr>
          <w:rFonts w:ascii="Calibri" w:eastAsia="仿宋" w:hAnsi="Calibri" w:cs="Calibri"/>
          <w:color w:val="333333"/>
          <w:sz w:val="32"/>
          <w:szCs w:val="32"/>
        </w:rPr>
        <w:t> </w:t>
      </w:r>
    </w:p>
    <w:p w14:paraId="3553533A" w14:textId="77777777" w:rsidR="00DE522B" w:rsidRDefault="00DE522B" w:rsidP="00DE522B">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黑体" w:eastAsia="黑体" w:hAnsi="黑体" w:hint="eastAsia"/>
          <w:color w:val="333333"/>
          <w:sz w:val="32"/>
          <w:szCs w:val="32"/>
        </w:rPr>
        <w:t>第二十五条</w:t>
      </w:r>
      <w:r>
        <w:rPr>
          <w:rFonts w:ascii="Calibri" w:eastAsia="仿宋" w:hAnsi="Calibri" w:cs="Calibri"/>
          <w:color w:val="333333"/>
          <w:sz w:val="32"/>
          <w:szCs w:val="32"/>
        </w:rPr>
        <w:t>   </w:t>
      </w:r>
      <w:r>
        <w:rPr>
          <w:rFonts w:ascii="仿宋" w:eastAsia="仿宋" w:hAnsi="仿宋" w:hint="eastAsia"/>
          <w:color w:val="333333"/>
          <w:sz w:val="32"/>
          <w:szCs w:val="32"/>
        </w:rPr>
        <w:t xml:space="preserve"> 各级人民政府应当加强水资源、水生态保护和水源涵养，采取有效措施，防治水土流失和水资源污染，防止水流堵塞和水源枯竭，改善生态环境。</w:t>
      </w:r>
    </w:p>
    <w:p w14:paraId="58ACA2D9" w14:textId="77777777" w:rsidR="00DE522B" w:rsidRDefault="00DE522B" w:rsidP="00DE522B">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仿宋" w:eastAsia="仿宋" w:hAnsi="仿宋" w:hint="eastAsia"/>
          <w:color w:val="333333"/>
          <w:sz w:val="32"/>
          <w:szCs w:val="32"/>
        </w:rPr>
        <w:t>市、县（市、区）水行政主管部门、生态环境、自然资源和规划、住房城乡建设等部门应当按照职责分工，建立健全水文水资源、水环境监测预警体系，将水量、水质和取水、供水、排水等数据共享至政府公共数据平台，保障生活、生产、生态用水需求。</w:t>
      </w:r>
      <w:r>
        <w:rPr>
          <w:rFonts w:ascii="Calibri" w:eastAsia="仿宋" w:hAnsi="Calibri" w:cs="Calibri"/>
          <w:color w:val="333333"/>
          <w:sz w:val="32"/>
          <w:szCs w:val="32"/>
        </w:rPr>
        <w:t> </w:t>
      </w:r>
    </w:p>
    <w:p w14:paraId="71F0434F" w14:textId="77777777" w:rsidR="00DE522B" w:rsidRDefault="00DE522B" w:rsidP="00DE522B">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黑体" w:eastAsia="黑体" w:hAnsi="黑体" w:hint="eastAsia"/>
          <w:color w:val="333333"/>
          <w:sz w:val="32"/>
          <w:szCs w:val="32"/>
        </w:rPr>
        <w:lastRenderedPageBreak/>
        <w:t>第二十六条</w:t>
      </w:r>
      <w:r>
        <w:rPr>
          <w:rFonts w:ascii="Calibri" w:eastAsia="仿宋" w:hAnsi="Calibri" w:cs="Calibri"/>
          <w:color w:val="333333"/>
          <w:sz w:val="32"/>
          <w:szCs w:val="32"/>
        </w:rPr>
        <w:t>   </w:t>
      </w:r>
      <w:r>
        <w:rPr>
          <w:rFonts w:ascii="仿宋" w:eastAsia="仿宋" w:hAnsi="仿宋" w:hint="eastAsia"/>
          <w:color w:val="333333"/>
          <w:sz w:val="32"/>
          <w:szCs w:val="32"/>
        </w:rPr>
        <w:t xml:space="preserve"> 饮用水水源保护区的划定、保护和管理应当严格执行有关法律、法规的规定，确保饮用水安全。</w:t>
      </w:r>
    </w:p>
    <w:p w14:paraId="29531DCB" w14:textId="77777777" w:rsidR="00DE522B" w:rsidRDefault="00DE522B" w:rsidP="00DE522B">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仿宋" w:eastAsia="仿宋" w:hAnsi="仿宋" w:hint="eastAsia"/>
          <w:color w:val="333333"/>
          <w:sz w:val="32"/>
          <w:szCs w:val="32"/>
        </w:rPr>
        <w:t>市、县（市、区）人民政府应当建立健全饮用水水源地保护补偿机制，促进水源地保护区经济社会发展。</w:t>
      </w:r>
      <w:r>
        <w:rPr>
          <w:rFonts w:ascii="Calibri" w:eastAsia="仿宋" w:hAnsi="Calibri" w:cs="Calibri"/>
          <w:color w:val="333333"/>
          <w:sz w:val="32"/>
          <w:szCs w:val="32"/>
        </w:rPr>
        <w:t> </w:t>
      </w:r>
    </w:p>
    <w:p w14:paraId="74AAC464" w14:textId="77777777" w:rsidR="00DE522B" w:rsidRDefault="00DE522B" w:rsidP="00DE522B">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黑体" w:eastAsia="黑体" w:hAnsi="黑体" w:hint="eastAsia"/>
          <w:color w:val="333333"/>
          <w:sz w:val="32"/>
          <w:szCs w:val="32"/>
        </w:rPr>
        <w:t>第二十七条</w:t>
      </w:r>
      <w:r>
        <w:rPr>
          <w:rFonts w:ascii="Calibri" w:eastAsia="仿宋" w:hAnsi="Calibri" w:cs="Calibri"/>
          <w:color w:val="333333"/>
          <w:sz w:val="32"/>
          <w:szCs w:val="32"/>
        </w:rPr>
        <w:t>   </w:t>
      </w:r>
      <w:r>
        <w:rPr>
          <w:rFonts w:ascii="仿宋" w:eastAsia="仿宋" w:hAnsi="仿宋" w:hint="eastAsia"/>
          <w:color w:val="333333"/>
          <w:sz w:val="32"/>
          <w:szCs w:val="32"/>
        </w:rPr>
        <w:t xml:space="preserve"> 生态环境行政主管部门应当会同水利等有关部门拟定河流、湖泊的水功能区划，</w:t>
      </w:r>
      <w:proofErr w:type="gramStart"/>
      <w:r>
        <w:rPr>
          <w:rFonts w:ascii="仿宋" w:eastAsia="仿宋" w:hAnsi="仿宋" w:hint="eastAsia"/>
          <w:color w:val="333333"/>
          <w:sz w:val="32"/>
          <w:szCs w:val="32"/>
        </w:rPr>
        <w:t>核定水</w:t>
      </w:r>
      <w:proofErr w:type="gramEnd"/>
      <w:r>
        <w:rPr>
          <w:rFonts w:ascii="仿宋" w:eastAsia="仿宋" w:hAnsi="仿宋" w:hint="eastAsia"/>
          <w:color w:val="333333"/>
          <w:sz w:val="32"/>
          <w:szCs w:val="32"/>
        </w:rPr>
        <w:t>功能区水域纳污能力，提出禁止排污水域范围和其他水域的限制排污总量意见，</w:t>
      </w:r>
      <w:proofErr w:type="gramStart"/>
      <w:r>
        <w:rPr>
          <w:rFonts w:ascii="仿宋" w:eastAsia="仿宋" w:hAnsi="仿宋" w:hint="eastAsia"/>
          <w:color w:val="333333"/>
          <w:sz w:val="32"/>
          <w:szCs w:val="32"/>
        </w:rPr>
        <w:t>落实水</w:t>
      </w:r>
      <w:proofErr w:type="gramEnd"/>
      <w:r>
        <w:rPr>
          <w:rFonts w:ascii="仿宋" w:eastAsia="仿宋" w:hAnsi="仿宋" w:hint="eastAsia"/>
          <w:color w:val="333333"/>
          <w:sz w:val="32"/>
          <w:szCs w:val="32"/>
        </w:rPr>
        <w:t>功能区水质监测制度。</w:t>
      </w:r>
      <w:r>
        <w:rPr>
          <w:rFonts w:ascii="Calibri" w:eastAsia="仿宋" w:hAnsi="Calibri" w:cs="Calibri"/>
          <w:color w:val="333333"/>
          <w:sz w:val="32"/>
          <w:szCs w:val="32"/>
        </w:rPr>
        <w:t> </w:t>
      </w:r>
    </w:p>
    <w:p w14:paraId="563D33C0" w14:textId="77777777" w:rsidR="00DE522B" w:rsidRDefault="00DE522B" w:rsidP="00DE522B">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黑体" w:eastAsia="黑体" w:hAnsi="黑体" w:hint="eastAsia"/>
          <w:color w:val="333333"/>
          <w:sz w:val="32"/>
          <w:szCs w:val="32"/>
        </w:rPr>
        <w:t>第二十八条</w:t>
      </w:r>
      <w:r>
        <w:rPr>
          <w:rFonts w:ascii="Calibri" w:eastAsia="仿宋" w:hAnsi="Calibri" w:cs="Calibri"/>
          <w:color w:val="333333"/>
          <w:sz w:val="32"/>
          <w:szCs w:val="32"/>
        </w:rPr>
        <w:t>   </w:t>
      </w:r>
      <w:r>
        <w:rPr>
          <w:rFonts w:ascii="仿宋" w:eastAsia="仿宋" w:hAnsi="仿宋" w:hint="eastAsia"/>
          <w:color w:val="333333"/>
          <w:sz w:val="32"/>
          <w:szCs w:val="32"/>
        </w:rPr>
        <w:t xml:space="preserve"> 实行地下水取水总量控制和水位控制制度。开采地下水应当执行省关于地下水禁采区、限采区的规定。</w:t>
      </w:r>
    </w:p>
    <w:p w14:paraId="04F73DAC" w14:textId="77777777" w:rsidR="00DE522B" w:rsidRDefault="00DE522B" w:rsidP="00DE522B">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仿宋" w:eastAsia="仿宋" w:hAnsi="仿宋" w:hint="eastAsia"/>
          <w:color w:val="333333"/>
          <w:sz w:val="32"/>
          <w:szCs w:val="32"/>
        </w:rPr>
        <w:t>地质勘探、开采矿藏、开发地热、开凿试验井等工程建设项目进行排水时，应当采取有效措施，防止地面沉降、水源枯竭。导致地下水水位下降、水源枯竭或者地面塌陷的，建设单位应当采取预防和保护措施。对他人生活和生产造成损失的，依法给予补偿。</w:t>
      </w:r>
      <w:r>
        <w:rPr>
          <w:rFonts w:ascii="Calibri" w:eastAsia="仿宋" w:hAnsi="Calibri" w:cs="Calibri"/>
          <w:color w:val="333333"/>
          <w:sz w:val="32"/>
          <w:szCs w:val="32"/>
        </w:rPr>
        <w:t> </w:t>
      </w:r>
    </w:p>
    <w:p w14:paraId="1C0598B3" w14:textId="77777777" w:rsidR="00DE522B" w:rsidRDefault="00DE522B" w:rsidP="00DE522B">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黑体" w:eastAsia="黑体" w:hAnsi="黑体" w:hint="eastAsia"/>
          <w:color w:val="333333"/>
          <w:sz w:val="32"/>
          <w:szCs w:val="32"/>
        </w:rPr>
        <w:t>第二十九条</w:t>
      </w:r>
      <w:r>
        <w:rPr>
          <w:rFonts w:ascii="Calibri" w:eastAsia="仿宋" w:hAnsi="Calibri" w:cs="Calibri"/>
          <w:color w:val="333333"/>
          <w:sz w:val="32"/>
          <w:szCs w:val="32"/>
        </w:rPr>
        <w:t>   </w:t>
      </w:r>
      <w:r>
        <w:rPr>
          <w:rFonts w:ascii="仿宋" w:eastAsia="仿宋" w:hAnsi="仿宋" w:hint="eastAsia"/>
          <w:color w:val="333333"/>
          <w:sz w:val="32"/>
          <w:szCs w:val="32"/>
        </w:rPr>
        <w:t xml:space="preserve"> 在城市公共供水管网覆盖区域不得新建地下水取水工程；未经批准的地下水取水工程和公共供水管网覆盖范围内的自备水井，由市、县（市、区）水行政主管部门限期封闭。</w:t>
      </w:r>
    </w:p>
    <w:p w14:paraId="1DBFBAC2" w14:textId="77777777" w:rsidR="00DE522B" w:rsidRDefault="00DE522B" w:rsidP="00DE522B">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仿宋" w:eastAsia="仿宋" w:hAnsi="仿宋" w:hint="eastAsia"/>
          <w:color w:val="333333"/>
          <w:sz w:val="32"/>
          <w:szCs w:val="32"/>
        </w:rPr>
        <w:lastRenderedPageBreak/>
        <w:t>市、县（市、区）人民政府应当采取措施，提高公共供水能力，逐步实现公共供水管网全覆盖，满足居民生活用水需求，减少开采地下水。</w:t>
      </w:r>
      <w:r>
        <w:rPr>
          <w:rFonts w:ascii="Calibri" w:eastAsia="仿宋" w:hAnsi="Calibri" w:cs="Calibri"/>
          <w:color w:val="333333"/>
          <w:sz w:val="32"/>
          <w:szCs w:val="32"/>
        </w:rPr>
        <w:t> </w:t>
      </w:r>
    </w:p>
    <w:p w14:paraId="5F6C7300" w14:textId="77777777" w:rsidR="00DE522B" w:rsidRDefault="00DE522B" w:rsidP="00DE522B">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黑体" w:eastAsia="黑体" w:hAnsi="黑体" w:hint="eastAsia"/>
          <w:color w:val="333333"/>
          <w:sz w:val="32"/>
          <w:szCs w:val="32"/>
        </w:rPr>
        <w:t>第三十条</w:t>
      </w:r>
      <w:r>
        <w:rPr>
          <w:rFonts w:ascii="Calibri" w:eastAsia="仿宋" w:hAnsi="Calibri" w:cs="Calibri"/>
          <w:color w:val="333333"/>
          <w:sz w:val="32"/>
          <w:szCs w:val="32"/>
        </w:rPr>
        <w:t>   </w:t>
      </w:r>
      <w:r>
        <w:rPr>
          <w:rFonts w:ascii="仿宋" w:eastAsia="仿宋" w:hAnsi="仿宋" w:hint="eastAsia"/>
          <w:color w:val="333333"/>
          <w:sz w:val="32"/>
          <w:szCs w:val="32"/>
        </w:rPr>
        <w:t xml:space="preserve"> 市、县（市、区）人民政府应当加强对山体水资源的保护，禁止非法开采、经营山体水资源，并逐步完善保护制度。</w:t>
      </w:r>
    </w:p>
    <w:p w14:paraId="5E84AEA0" w14:textId="77777777" w:rsidR="00DE522B" w:rsidRDefault="00DE522B" w:rsidP="00DE522B">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仿宋" w:eastAsia="仿宋" w:hAnsi="仿宋" w:hint="eastAsia"/>
          <w:color w:val="333333"/>
          <w:sz w:val="32"/>
          <w:szCs w:val="32"/>
        </w:rPr>
        <w:t>未经许可，任何单位和个人不得在泰山景区内建设取水工</w:t>
      </w:r>
      <w:proofErr w:type="gramStart"/>
      <w:r>
        <w:rPr>
          <w:rFonts w:ascii="仿宋" w:eastAsia="仿宋" w:hAnsi="仿宋" w:hint="eastAsia"/>
          <w:color w:val="333333"/>
          <w:sz w:val="32"/>
          <w:szCs w:val="32"/>
        </w:rPr>
        <w:t>程或者</w:t>
      </w:r>
      <w:proofErr w:type="gramEnd"/>
      <w:r>
        <w:rPr>
          <w:rFonts w:ascii="仿宋" w:eastAsia="仿宋" w:hAnsi="仿宋" w:hint="eastAsia"/>
          <w:color w:val="333333"/>
          <w:sz w:val="32"/>
          <w:szCs w:val="32"/>
        </w:rPr>
        <w:t>设施，不得经营泰山水资源。法律法规另有规定的除外。</w:t>
      </w:r>
      <w:r>
        <w:rPr>
          <w:rFonts w:ascii="Calibri" w:eastAsia="仿宋" w:hAnsi="Calibri" w:cs="Calibri"/>
          <w:color w:val="333333"/>
          <w:sz w:val="32"/>
          <w:szCs w:val="32"/>
        </w:rPr>
        <w:t> </w:t>
      </w:r>
    </w:p>
    <w:p w14:paraId="232C11FC" w14:textId="77777777" w:rsidR="00DE522B" w:rsidRDefault="00DE522B" w:rsidP="00DE522B">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黑体" w:eastAsia="黑体" w:hAnsi="黑体" w:hint="eastAsia"/>
          <w:color w:val="333333"/>
          <w:sz w:val="32"/>
          <w:szCs w:val="32"/>
        </w:rPr>
        <w:t>第三十一条</w:t>
      </w:r>
      <w:r>
        <w:rPr>
          <w:rFonts w:ascii="Calibri" w:eastAsia="仿宋" w:hAnsi="Calibri" w:cs="Calibri"/>
          <w:color w:val="333333"/>
          <w:sz w:val="32"/>
          <w:szCs w:val="32"/>
        </w:rPr>
        <w:t>   </w:t>
      </w:r>
      <w:r>
        <w:rPr>
          <w:rFonts w:ascii="仿宋" w:eastAsia="仿宋" w:hAnsi="仿宋" w:hint="eastAsia"/>
          <w:color w:val="333333"/>
          <w:sz w:val="32"/>
          <w:szCs w:val="32"/>
        </w:rPr>
        <w:t xml:space="preserve"> 违反本办法规定的行为，法律、法规已经规定法律责任的，适用其规定。</w:t>
      </w:r>
      <w:r>
        <w:rPr>
          <w:rFonts w:ascii="Calibri" w:eastAsia="仿宋" w:hAnsi="Calibri" w:cs="Calibri"/>
          <w:color w:val="333333"/>
          <w:sz w:val="32"/>
          <w:szCs w:val="32"/>
        </w:rPr>
        <w:t> </w:t>
      </w:r>
    </w:p>
    <w:p w14:paraId="6CBAAC90" w14:textId="77777777" w:rsidR="00DE522B" w:rsidRDefault="00DE522B" w:rsidP="00DE522B">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黑体" w:eastAsia="黑体" w:hAnsi="黑体" w:hint="eastAsia"/>
          <w:color w:val="333333"/>
          <w:sz w:val="32"/>
          <w:szCs w:val="32"/>
        </w:rPr>
        <w:t>第三十二条</w:t>
      </w:r>
      <w:r>
        <w:rPr>
          <w:rFonts w:ascii="Calibri" w:eastAsia="仿宋" w:hAnsi="Calibri" w:cs="Calibri"/>
          <w:color w:val="333333"/>
          <w:sz w:val="32"/>
          <w:szCs w:val="32"/>
        </w:rPr>
        <w:t>   </w:t>
      </w:r>
      <w:r>
        <w:rPr>
          <w:rFonts w:ascii="仿宋" w:eastAsia="仿宋" w:hAnsi="仿宋" w:hint="eastAsia"/>
          <w:color w:val="333333"/>
          <w:sz w:val="32"/>
          <w:szCs w:val="32"/>
        </w:rPr>
        <w:t xml:space="preserve"> 违反本办法规定，取水单位和个人不按规定进行水平衡测试的，由市、县（市、区）水行政主管部门责令停止违法行为，限期改正；逾期不改正的，可以处三千元以上三万元以下的罚款。</w:t>
      </w:r>
      <w:r>
        <w:rPr>
          <w:rFonts w:ascii="Calibri" w:eastAsia="仿宋" w:hAnsi="Calibri" w:cs="Calibri"/>
          <w:color w:val="333333"/>
          <w:sz w:val="32"/>
          <w:szCs w:val="32"/>
        </w:rPr>
        <w:t> </w:t>
      </w:r>
    </w:p>
    <w:p w14:paraId="507AFD1C" w14:textId="77777777" w:rsidR="00DE522B" w:rsidRDefault="00DE522B" w:rsidP="00DE522B">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r>
        <w:rPr>
          <w:rFonts w:ascii="黑体" w:eastAsia="黑体" w:hAnsi="黑体" w:hint="eastAsia"/>
          <w:color w:val="333333"/>
          <w:sz w:val="32"/>
          <w:szCs w:val="32"/>
        </w:rPr>
        <w:t>第三十三条</w:t>
      </w:r>
      <w:r>
        <w:rPr>
          <w:rFonts w:ascii="Calibri" w:eastAsia="黑体" w:hAnsi="Calibri" w:cs="Calibri"/>
          <w:color w:val="333333"/>
          <w:sz w:val="32"/>
          <w:szCs w:val="32"/>
        </w:rPr>
        <w:t> </w:t>
      </w:r>
      <w:r>
        <w:rPr>
          <w:rFonts w:ascii="Calibri" w:eastAsia="仿宋" w:hAnsi="Calibri" w:cs="Calibri"/>
          <w:color w:val="333333"/>
          <w:sz w:val="32"/>
          <w:szCs w:val="32"/>
        </w:rPr>
        <w:t>  </w:t>
      </w:r>
      <w:r>
        <w:rPr>
          <w:rFonts w:ascii="仿宋" w:eastAsia="仿宋" w:hAnsi="仿宋" w:hint="eastAsia"/>
          <w:color w:val="333333"/>
          <w:sz w:val="32"/>
          <w:szCs w:val="32"/>
        </w:rPr>
        <w:t xml:space="preserve"> 本办法自2021年2月1日起施行。</w:t>
      </w:r>
    </w:p>
    <w:p w14:paraId="194CEB20" w14:textId="77777777" w:rsidR="00DE522B" w:rsidRDefault="00DE522B" w:rsidP="00DE522B">
      <w:pPr>
        <w:pStyle w:val="a6"/>
        <w:shd w:val="clear" w:color="auto" w:fill="FFFFFF"/>
        <w:spacing w:before="0" w:beforeAutospacing="0" w:after="0" w:afterAutospacing="0" w:line="570" w:lineRule="atLeast"/>
        <w:ind w:firstLine="480"/>
        <w:rPr>
          <w:rFonts w:ascii="微软雅黑" w:eastAsia="微软雅黑" w:hAnsi="微软雅黑" w:hint="eastAsia"/>
          <w:color w:val="333333"/>
          <w:sz w:val="27"/>
          <w:szCs w:val="27"/>
        </w:rPr>
      </w:pPr>
    </w:p>
    <w:p w14:paraId="29D2021F" w14:textId="4527D04B" w:rsidR="001D46DC" w:rsidRPr="00DE522B" w:rsidRDefault="001D46DC" w:rsidP="004050AA">
      <w:pPr>
        <w:pStyle w:val="a6"/>
        <w:shd w:val="clear" w:color="auto" w:fill="FFFFFF"/>
        <w:spacing w:before="0" w:beforeAutospacing="0" w:after="0" w:afterAutospacing="0" w:line="570" w:lineRule="atLeast"/>
        <w:ind w:firstLine="480"/>
        <w:rPr>
          <w:rFonts w:ascii="仿宋_GB2312" w:eastAsia="仿宋_GB2312" w:hAnsi="仿宋_GB2312" w:cs="仿宋_GB2312"/>
          <w:color w:val="333333"/>
          <w:sz w:val="32"/>
          <w:szCs w:val="32"/>
          <w:shd w:val="clear" w:color="auto" w:fill="FFFFFF"/>
        </w:rPr>
      </w:pPr>
    </w:p>
    <w:sectPr w:rsidR="001D46DC" w:rsidRPr="00DE522B">
      <w:headerReference w:type="default" r:id="rId7"/>
      <w:footerReference w:type="default" r:id="rId8"/>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40E42" w14:textId="77777777" w:rsidR="006A4FB9" w:rsidRDefault="006A4FB9">
      <w:r>
        <w:separator/>
      </w:r>
    </w:p>
  </w:endnote>
  <w:endnote w:type="continuationSeparator" w:id="0">
    <w:p w14:paraId="7152366C" w14:textId="77777777" w:rsidR="006A4FB9" w:rsidRDefault="006A4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FZXBSJW">
    <w:altName w:val="Cambria"/>
    <w:panose1 w:val="00000000000000000000"/>
    <w:charset w:val="00"/>
    <w:family w:val="roman"/>
    <w:notTrueType/>
    <w:pitch w:val="default"/>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F2DB3" w14:textId="77777777" w:rsidR="001D46DC" w:rsidRDefault="00504B84">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14:anchorId="4AB561EE" wp14:editId="2B7AC6D9">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1D591B" w14:textId="77777777" w:rsidR="001D46DC" w:rsidRDefault="00504B84">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AB561E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14:paraId="791D591B" w14:textId="77777777" w:rsidR="001D46DC" w:rsidRDefault="00504B84">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14:paraId="2228FBE7" w14:textId="230FA2F3" w:rsidR="001D46DC" w:rsidRDefault="00504B84">
    <w:pPr>
      <w:pStyle w:val="a5"/>
      <w:wordWrap w:val="0"/>
      <w:ind w:leftChars="2280" w:left="4788" w:firstLineChars="2000" w:firstLine="640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0288" behindDoc="0" locked="0" layoutInCell="1" allowOverlap="1" wp14:anchorId="202B2F14" wp14:editId="33B9C73E">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733D14" id="直接连接符 5"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" strokecolor="#005192" strokeweight="1.75pt">
              <v:stroke joinstyle="miter"/>
            </v:line>
          </w:pict>
        </mc:Fallback>
      </mc:AlternateContent>
    </w:r>
    <w:r>
      <w:rPr>
        <w:rFonts w:eastAsia="仿宋" w:hint="eastAsia"/>
        <w:color w:val="FAFAFA"/>
        <w:sz w:val="32"/>
        <w:szCs w:val="48"/>
      </w:rPr>
      <w:t>X</w:t>
    </w:r>
    <w:r w:rsidR="00977098">
      <w:rPr>
        <w:rFonts w:ascii="宋体" w:eastAsia="宋体" w:hAnsi="宋体" w:cs="宋体" w:hint="eastAsia"/>
        <w:b/>
        <w:bCs/>
        <w:color w:val="005192"/>
        <w:sz w:val="28"/>
        <w:szCs w:val="44"/>
      </w:rPr>
      <w:t>泰安</w:t>
    </w:r>
    <w:r>
      <w:rPr>
        <w:rFonts w:ascii="宋体" w:eastAsia="宋体" w:hAnsi="宋体" w:cs="宋体" w:hint="eastAsia"/>
        <w:b/>
        <w:bCs/>
        <w:color w:val="005192"/>
        <w:sz w:val="28"/>
        <w:szCs w:val="44"/>
      </w:rPr>
      <w:t xml:space="preserve">市人民政府发布     </w:t>
    </w:r>
  </w:p>
  <w:p w14:paraId="19549886" w14:textId="77777777" w:rsidR="001D46DC" w:rsidRDefault="001D46DC">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99EF2" w14:textId="77777777" w:rsidR="006A4FB9" w:rsidRDefault="006A4FB9">
      <w:r>
        <w:separator/>
      </w:r>
    </w:p>
  </w:footnote>
  <w:footnote w:type="continuationSeparator" w:id="0">
    <w:p w14:paraId="332F59F6" w14:textId="77777777" w:rsidR="006A4FB9" w:rsidRDefault="006A4F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B13D5" w14:textId="77777777" w:rsidR="001D46DC" w:rsidRDefault="00504B84">
    <w:pPr>
      <w:pStyle w:val="a5"/>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14:anchorId="0E5E86DE" wp14:editId="5B68A8F8">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18423B" id="直接连接符 4"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" strokecolor="#005192" strokeweight="1.75pt">
              <v:stroke joinstyle="miter"/>
            </v:line>
          </w:pict>
        </mc:Fallback>
      </mc:AlternateContent>
    </w:r>
  </w:p>
  <w:p w14:paraId="1B84AFE5" w14:textId="5FEE4AC3" w:rsidR="001D46DC" w:rsidRDefault="00504B84">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59272662" wp14:editId="4DF853D8">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sidR="004144CC">
      <w:rPr>
        <w:rFonts w:ascii="宋体" w:eastAsia="宋体" w:hAnsi="宋体" w:cs="宋体" w:hint="eastAsia"/>
        <w:b/>
        <w:bCs/>
        <w:color w:val="005192"/>
        <w:sz w:val="32"/>
        <w:szCs w:val="32"/>
      </w:rPr>
      <w:t>泰安</w:t>
    </w:r>
    <w:r>
      <w:rPr>
        <w:rFonts w:ascii="宋体" w:eastAsia="宋体" w:hAnsi="宋体" w:cs="宋体" w:hint="eastAsia"/>
        <w:b/>
        <w:bCs/>
        <w:color w:val="005192"/>
        <w:sz w:val="32"/>
        <w:szCs w:val="32"/>
      </w:rPr>
      <w:t>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172A27"/>
    <w:rsid w:val="001D46DC"/>
    <w:rsid w:val="00401CD5"/>
    <w:rsid w:val="004050AA"/>
    <w:rsid w:val="004144CC"/>
    <w:rsid w:val="00504B84"/>
    <w:rsid w:val="006A4FB9"/>
    <w:rsid w:val="00717C19"/>
    <w:rsid w:val="00897A30"/>
    <w:rsid w:val="00977098"/>
    <w:rsid w:val="00BB170F"/>
    <w:rsid w:val="00D3750F"/>
    <w:rsid w:val="00DE522B"/>
    <w:rsid w:val="019E71BD"/>
    <w:rsid w:val="04B679C3"/>
    <w:rsid w:val="080F63D8"/>
    <w:rsid w:val="09341458"/>
    <w:rsid w:val="0B0912D7"/>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C4D17F6"/>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FA11CB"/>
  <w15:docId w15:val="{F4AE059A-5214-4053-8E16-095F68792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3">
    <w:name w:val="heading 3"/>
    <w:basedOn w:val="a"/>
    <w:link w:val="30"/>
    <w:uiPriority w:val="9"/>
    <w:qFormat/>
    <w:rsid w:val="00BB170F"/>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30">
    <w:name w:val="标题 3 字符"/>
    <w:basedOn w:val="a0"/>
    <w:link w:val="3"/>
    <w:uiPriority w:val="9"/>
    <w:rsid w:val="00BB170F"/>
    <w:rPr>
      <w:rFonts w:ascii="宋体" w:hAnsi="宋体" w:cs="宋体"/>
      <w:b/>
      <w:bCs/>
      <w:sz w:val="27"/>
      <w:szCs w:val="27"/>
    </w:rPr>
  </w:style>
  <w:style w:type="paragraph" w:styleId="a6">
    <w:name w:val="Normal (Web)"/>
    <w:basedOn w:val="a"/>
    <w:uiPriority w:val="99"/>
    <w:unhideWhenUsed/>
    <w:rsid w:val="00BB170F"/>
    <w:pPr>
      <w:widowControl/>
      <w:spacing w:before="100" w:beforeAutospacing="1" w:after="100" w:afterAutospacing="1"/>
      <w:jc w:val="left"/>
    </w:pPr>
    <w:rPr>
      <w:rFonts w:ascii="宋体" w:eastAsia="宋体" w:hAnsi="宋体" w:cs="宋体"/>
      <w:kern w:val="0"/>
      <w:sz w:val="24"/>
    </w:rPr>
  </w:style>
  <w:style w:type="character" w:styleId="a7">
    <w:name w:val="Strong"/>
    <w:basedOn w:val="a0"/>
    <w:uiPriority w:val="22"/>
    <w:qFormat/>
    <w:rsid w:val="004050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338168">
      <w:bodyDiv w:val="1"/>
      <w:marLeft w:val="0"/>
      <w:marRight w:val="0"/>
      <w:marTop w:val="0"/>
      <w:marBottom w:val="0"/>
      <w:divBdr>
        <w:top w:val="none" w:sz="0" w:space="0" w:color="auto"/>
        <w:left w:val="none" w:sz="0" w:space="0" w:color="auto"/>
        <w:bottom w:val="none" w:sz="0" w:space="0" w:color="auto"/>
        <w:right w:val="none" w:sz="0" w:space="0" w:color="auto"/>
      </w:divBdr>
    </w:div>
    <w:div w:id="193735139">
      <w:bodyDiv w:val="1"/>
      <w:marLeft w:val="0"/>
      <w:marRight w:val="0"/>
      <w:marTop w:val="0"/>
      <w:marBottom w:val="0"/>
      <w:divBdr>
        <w:top w:val="none" w:sz="0" w:space="0" w:color="auto"/>
        <w:left w:val="none" w:sz="0" w:space="0" w:color="auto"/>
        <w:bottom w:val="none" w:sz="0" w:space="0" w:color="auto"/>
        <w:right w:val="none" w:sz="0" w:space="0" w:color="auto"/>
      </w:divBdr>
    </w:div>
    <w:div w:id="223494111">
      <w:bodyDiv w:val="1"/>
      <w:marLeft w:val="0"/>
      <w:marRight w:val="0"/>
      <w:marTop w:val="0"/>
      <w:marBottom w:val="0"/>
      <w:divBdr>
        <w:top w:val="none" w:sz="0" w:space="0" w:color="auto"/>
        <w:left w:val="none" w:sz="0" w:space="0" w:color="auto"/>
        <w:bottom w:val="none" w:sz="0" w:space="0" w:color="auto"/>
        <w:right w:val="none" w:sz="0" w:space="0" w:color="auto"/>
      </w:divBdr>
    </w:div>
    <w:div w:id="496773811">
      <w:bodyDiv w:val="1"/>
      <w:marLeft w:val="0"/>
      <w:marRight w:val="0"/>
      <w:marTop w:val="0"/>
      <w:marBottom w:val="0"/>
      <w:divBdr>
        <w:top w:val="none" w:sz="0" w:space="0" w:color="auto"/>
        <w:left w:val="none" w:sz="0" w:space="0" w:color="auto"/>
        <w:bottom w:val="none" w:sz="0" w:space="0" w:color="auto"/>
        <w:right w:val="none" w:sz="0" w:space="0" w:color="auto"/>
      </w:divBdr>
    </w:div>
    <w:div w:id="631208810">
      <w:bodyDiv w:val="1"/>
      <w:marLeft w:val="0"/>
      <w:marRight w:val="0"/>
      <w:marTop w:val="0"/>
      <w:marBottom w:val="0"/>
      <w:divBdr>
        <w:top w:val="none" w:sz="0" w:space="0" w:color="auto"/>
        <w:left w:val="none" w:sz="0" w:space="0" w:color="auto"/>
        <w:bottom w:val="none" w:sz="0" w:space="0" w:color="auto"/>
        <w:right w:val="none" w:sz="0" w:space="0" w:color="auto"/>
      </w:divBdr>
    </w:div>
    <w:div w:id="1374891645">
      <w:bodyDiv w:val="1"/>
      <w:marLeft w:val="0"/>
      <w:marRight w:val="0"/>
      <w:marTop w:val="0"/>
      <w:marBottom w:val="0"/>
      <w:divBdr>
        <w:top w:val="none" w:sz="0" w:space="0" w:color="auto"/>
        <w:left w:val="none" w:sz="0" w:space="0" w:color="auto"/>
        <w:bottom w:val="none" w:sz="0" w:space="0" w:color="auto"/>
        <w:right w:val="none" w:sz="0" w:space="0" w:color="auto"/>
      </w:divBdr>
    </w:div>
    <w:div w:id="1416511397">
      <w:bodyDiv w:val="1"/>
      <w:marLeft w:val="0"/>
      <w:marRight w:val="0"/>
      <w:marTop w:val="0"/>
      <w:marBottom w:val="0"/>
      <w:divBdr>
        <w:top w:val="none" w:sz="0" w:space="0" w:color="auto"/>
        <w:left w:val="none" w:sz="0" w:space="0" w:color="auto"/>
        <w:bottom w:val="none" w:sz="0" w:space="0" w:color="auto"/>
        <w:right w:val="none" w:sz="0" w:space="0" w:color="auto"/>
      </w:divBdr>
    </w:div>
    <w:div w:id="1620718653">
      <w:bodyDiv w:val="1"/>
      <w:marLeft w:val="0"/>
      <w:marRight w:val="0"/>
      <w:marTop w:val="0"/>
      <w:marBottom w:val="0"/>
      <w:divBdr>
        <w:top w:val="none" w:sz="0" w:space="0" w:color="auto"/>
        <w:left w:val="none" w:sz="0" w:space="0" w:color="auto"/>
        <w:bottom w:val="none" w:sz="0" w:space="0" w:color="auto"/>
        <w:right w:val="none" w:sz="0" w:space="0" w:color="auto"/>
      </w:divBdr>
    </w:div>
    <w:div w:id="1740856886">
      <w:bodyDiv w:val="1"/>
      <w:marLeft w:val="0"/>
      <w:marRight w:val="0"/>
      <w:marTop w:val="0"/>
      <w:marBottom w:val="0"/>
      <w:divBdr>
        <w:top w:val="none" w:sz="0" w:space="0" w:color="auto"/>
        <w:left w:val="none" w:sz="0" w:space="0" w:color="auto"/>
        <w:bottom w:val="none" w:sz="0" w:space="0" w:color="auto"/>
        <w:right w:val="none" w:sz="0" w:space="0" w:color="auto"/>
      </w:divBdr>
    </w:div>
    <w:div w:id="20317624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669</Words>
  <Characters>3815</Characters>
  <Application>Microsoft Office Word</Application>
  <DocSecurity>0</DocSecurity>
  <Lines>31</Lines>
  <Paragraphs>8</Paragraphs>
  <ScaleCrop>false</ScaleCrop>
  <Company/>
  <LinksUpToDate>false</LinksUpToDate>
  <CharactersWithSpaces>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王 永民</cp:lastModifiedBy>
  <cp:revision>5</cp:revision>
  <cp:lastPrinted>2021-10-26T03:30:00Z</cp:lastPrinted>
  <dcterms:created xsi:type="dcterms:W3CDTF">2021-12-07T07:03:00Z</dcterms:created>
  <dcterms:modified xsi:type="dcterms:W3CDTF">2021-12-07T07:07:00Z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48C61CB29D3F4D9384F5922CF0F7FFB4</vt:lpwstr>
  </property>
</Properties>
</file>