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B7A68" w14:textId="77777777" w:rsidR="001D46DC" w:rsidRDefault="001D46DC">
      <w:pPr>
        <w:jc w:val="center"/>
        <w:rPr>
          <w:rFonts w:asciiTheme="minorEastAsia" w:hAnsiTheme="minorEastAsia" w:cstheme="minorEastAsia"/>
          <w:sz w:val="44"/>
          <w:szCs w:val="44"/>
        </w:rPr>
      </w:pPr>
    </w:p>
    <w:p w14:paraId="4FB399AF" w14:textId="77777777" w:rsidR="001D46DC" w:rsidRDefault="001D46DC">
      <w:pPr>
        <w:rPr>
          <w:rFonts w:asciiTheme="minorEastAsia" w:hAnsiTheme="minorEastAsia" w:cstheme="minorEastAsia"/>
          <w:sz w:val="44"/>
          <w:szCs w:val="44"/>
        </w:rPr>
      </w:pPr>
    </w:p>
    <w:p w14:paraId="13F43136" w14:textId="1A108DC1" w:rsidR="00A92AEA" w:rsidRPr="00A92AEA" w:rsidRDefault="00BB170F" w:rsidP="00A92AEA">
      <w:pPr>
        <w:widowControl/>
        <w:shd w:val="clear" w:color="auto" w:fill="FFFFFF"/>
        <w:spacing w:before="300" w:after="150"/>
        <w:jc w:val="center"/>
        <w:outlineLvl w:val="2"/>
        <w:rPr>
          <w:rFonts w:ascii="FZXBSJW" w:eastAsia="宋体" w:hAnsi="FZXBSJW" w:cs="宋体" w:hint="eastAsia"/>
          <w:color w:val="333333"/>
          <w:kern w:val="0"/>
          <w:sz w:val="42"/>
          <w:szCs w:val="42"/>
        </w:rPr>
      </w:pPr>
      <w:r w:rsidRPr="00BB170F">
        <w:rPr>
          <w:rFonts w:ascii="FZXBSJW" w:eastAsia="宋体" w:hAnsi="FZXBSJW" w:cs="宋体"/>
          <w:color w:val="333333"/>
          <w:kern w:val="0"/>
          <w:sz w:val="42"/>
          <w:szCs w:val="42"/>
        </w:rPr>
        <w:t>泰安市城市建筑垃圾管理办法</w:t>
      </w:r>
    </w:p>
    <w:p w14:paraId="001E3FA3" w14:textId="081AF43E" w:rsidR="001D46DC" w:rsidRDefault="00BB170F" w:rsidP="00BB170F">
      <w:pPr>
        <w:ind w:firstLine="420"/>
        <w:rPr>
          <w:rFonts w:ascii="仿宋" w:eastAsia="仿宋" w:hAnsi="仿宋"/>
          <w:color w:val="333333"/>
          <w:sz w:val="27"/>
          <w:szCs w:val="27"/>
          <w:shd w:val="clear" w:color="auto" w:fill="FFFFFF"/>
        </w:rPr>
      </w:pPr>
      <w:r>
        <w:rPr>
          <w:rFonts w:ascii="仿宋" w:eastAsia="仿宋" w:hAnsi="仿宋" w:hint="eastAsia"/>
          <w:color w:val="333333"/>
          <w:sz w:val="27"/>
          <w:szCs w:val="27"/>
          <w:shd w:val="clear" w:color="auto" w:fill="FFFFFF"/>
        </w:rPr>
        <w:t>(2020年12月31日泰安市人民政府令第174号发布 根据2021年10月8日泰安市人民政府令第175号修订)</w:t>
      </w:r>
    </w:p>
    <w:p w14:paraId="0D189ACF" w14:textId="77777777" w:rsidR="00A92AEA" w:rsidRDefault="00A92AEA" w:rsidP="00BB170F">
      <w:pPr>
        <w:ind w:firstLine="420"/>
        <w:rPr>
          <w:rFonts w:ascii="宋体" w:eastAsia="宋体" w:hAnsi="宋体" w:cs="宋体"/>
          <w:color w:val="333333"/>
          <w:sz w:val="36"/>
          <w:szCs w:val="36"/>
          <w:shd w:val="clear" w:color="auto" w:fill="FFFFFF"/>
        </w:rPr>
      </w:pPr>
    </w:p>
    <w:p w14:paraId="236EB912"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黑体" w:eastAsia="黑体" w:hAnsi="黑体" w:hint="eastAsia"/>
          <w:color w:val="333333"/>
          <w:sz w:val="32"/>
          <w:szCs w:val="32"/>
        </w:rPr>
        <w:t>第一条</w:t>
      </w:r>
      <w:r>
        <w:rPr>
          <w:rFonts w:ascii="Calibri" w:eastAsia="仿宋" w:hAnsi="Calibri" w:cs="Calibri"/>
          <w:color w:val="333333"/>
          <w:sz w:val="32"/>
          <w:szCs w:val="32"/>
        </w:rPr>
        <w:t>   </w:t>
      </w:r>
      <w:r>
        <w:rPr>
          <w:rFonts w:ascii="仿宋" w:eastAsia="仿宋" w:hAnsi="仿宋" w:hint="eastAsia"/>
          <w:color w:val="333333"/>
          <w:sz w:val="32"/>
          <w:szCs w:val="32"/>
        </w:rPr>
        <w:t xml:space="preserve"> 为了加强城市建筑垃圾管理，推进城市建筑垃圾综合利用，保护和改善生态环境，根据《中华人民共和国固体废物污染环境防治法》《城市市容和环境卫生管理条例》等有关法律法规，结合本市实际，制定本办法。</w:t>
      </w:r>
      <w:r>
        <w:rPr>
          <w:rFonts w:ascii="Calibri" w:eastAsia="仿宋" w:hAnsi="Calibri" w:cs="Calibri"/>
          <w:color w:val="333333"/>
          <w:sz w:val="32"/>
          <w:szCs w:val="32"/>
        </w:rPr>
        <w:t> </w:t>
      </w:r>
    </w:p>
    <w:p w14:paraId="69BEA9A0"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黑体" w:eastAsia="黑体" w:hAnsi="黑体" w:hint="eastAsia"/>
          <w:color w:val="333333"/>
          <w:sz w:val="32"/>
          <w:szCs w:val="32"/>
        </w:rPr>
        <w:t>第二条</w:t>
      </w:r>
      <w:r>
        <w:rPr>
          <w:rFonts w:ascii="Calibri" w:eastAsia="仿宋" w:hAnsi="Calibri" w:cs="Calibri"/>
          <w:color w:val="333333"/>
          <w:sz w:val="32"/>
          <w:szCs w:val="32"/>
        </w:rPr>
        <w:t>   </w:t>
      </w:r>
      <w:r>
        <w:rPr>
          <w:rFonts w:ascii="仿宋" w:eastAsia="仿宋" w:hAnsi="仿宋" w:hint="eastAsia"/>
          <w:color w:val="333333"/>
          <w:sz w:val="32"/>
          <w:szCs w:val="32"/>
        </w:rPr>
        <w:t xml:space="preserve"> 本办法适用于泰安市城市规划区内建筑垃圾的产生、运输、中转、消纳、利用等处置及相关管理活动。</w:t>
      </w:r>
    </w:p>
    <w:p w14:paraId="527E40E8"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本办法所称建筑垃圾，是指新建、改建、扩建和拆除各类建筑物、构筑物、管网等，以及居民装饰装修房屋过程中产生的弃土、弃料和其他固体废物。</w:t>
      </w:r>
      <w:r>
        <w:rPr>
          <w:rFonts w:ascii="Calibri" w:eastAsia="仿宋" w:hAnsi="Calibri" w:cs="Calibri"/>
          <w:color w:val="333333"/>
          <w:sz w:val="32"/>
          <w:szCs w:val="32"/>
        </w:rPr>
        <w:t> </w:t>
      </w:r>
    </w:p>
    <w:p w14:paraId="508CDFB1"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黑体" w:eastAsia="黑体" w:hAnsi="黑体" w:hint="eastAsia"/>
          <w:color w:val="333333"/>
          <w:sz w:val="32"/>
          <w:szCs w:val="32"/>
        </w:rPr>
        <w:t>第三条</w:t>
      </w:r>
      <w:r>
        <w:rPr>
          <w:rFonts w:ascii="Calibri" w:eastAsia="仿宋" w:hAnsi="Calibri" w:cs="Calibri"/>
          <w:color w:val="333333"/>
          <w:sz w:val="32"/>
          <w:szCs w:val="32"/>
        </w:rPr>
        <w:t>   </w:t>
      </w:r>
      <w:r>
        <w:rPr>
          <w:rFonts w:ascii="仿宋" w:eastAsia="仿宋" w:hAnsi="仿宋" w:hint="eastAsia"/>
          <w:color w:val="333333"/>
          <w:sz w:val="32"/>
          <w:szCs w:val="32"/>
        </w:rPr>
        <w:t xml:space="preserve"> 市、区人民政府应当建立健全建筑垃圾管理协调机制，及时研究解决建筑垃圾管理中的重大事项，协调和督促有关部门依法履行监督管理职责。</w:t>
      </w:r>
      <w:r>
        <w:rPr>
          <w:rFonts w:ascii="Calibri" w:eastAsia="仿宋" w:hAnsi="Calibri" w:cs="Calibri"/>
          <w:color w:val="333333"/>
          <w:sz w:val="32"/>
          <w:szCs w:val="32"/>
        </w:rPr>
        <w:t> </w:t>
      </w:r>
    </w:p>
    <w:p w14:paraId="476E7A38"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黑体" w:eastAsia="黑体" w:hAnsi="黑体" w:hint="eastAsia"/>
          <w:color w:val="333333"/>
          <w:sz w:val="32"/>
          <w:szCs w:val="32"/>
        </w:rPr>
        <w:lastRenderedPageBreak/>
        <w:t>第四条</w:t>
      </w:r>
      <w:r>
        <w:rPr>
          <w:rFonts w:ascii="Calibri" w:eastAsia="仿宋" w:hAnsi="Calibri" w:cs="Calibri"/>
          <w:color w:val="333333"/>
          <w:sz w:val="32"/>
          <w:szCs w:val="32"/>
        </w:rPr>
        <w:t>   </w:t>
      </w:r>
      <w:r>
        <w:rPr>
          <w:rFonts w:ascii="仿宋" w:eastAsia="仿宋" w:hAnsi="仿宋" w:hint="eastAsia"/>
          <w:color w:val="333333"/>
          <w:sz w:val="32"/>
          <w:szCs w:val="32"/>
        </w:rPr>
        <w:t xml:space="preserve"> 市城市管理行政主管部门负责建筑垃圾的统一监督管理工作；区城市管理行政主管部门依照职责分工负责本辖区内建筑垃圾的具体管理工作。</w:t>
      </w:r>
    </w:p>
    <w:p w14:paraId="745385EA"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市、区建筑垃圾的管理职责按照市政府</w:t>
      </w:r>
      <w:proofErr w:type="gramStart"/>
      <w:r>
        <w:rPr>
          <w:rFonts w:ascii="仿宋" w:eastAsia="仿宋" w:hAnsi="仿宋" w:hint="eastAsia"/>
          <w:color w:val="333333"/>
          <w:sz w:val="32"/>
          <w:szCs w:val="32"/>
        </w:rPr>
        <w:t>关于泰城城市</w:t>
      </w:r>
      <w:proofErr w:type="gramEnd"/>
      <w:r>
        <w:rPr>
          <w:rFonts w:ascii="仿宋" w:eastAsia="仿宋" w:hAnsi="仿宋" w:hint="eastAsia"/>
          <w:color w:val="333333"/>
          <w:sz w:val="32"/>
          <w:szCs w:val="32"/>
        </w:rPr>
        <w:t>管理工作分工有关规定执行。</w:t>
      </w:r>
    </w:p>
    <w:p w14:paraId="43455E77"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发展改革、公安、财政、自然资源和规划、生态环境、住房城乡建设、交通运输、行政审批服务等部门应当按照各自职责，做好建筑垃圾管理相关工作。</w:t>
      </w:r>
    </w:p>
    <w:p w14:paraId="5745C9D4"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街道办事处、乡镇人民政府负责做好本区域范围内建筑垃圾处置的源头管理及协调配合工作。</w:t>
      </w:r>
      <w:r>
        <w:rPr>
          <w:rFonts w:ascii="Calibri" w:eastAsia="仿宋" w:hAnsi="Calibri" w:cs="Calibri"/>
          <w:color w:val="333333"/>
          <w:sz w:val="32"/>
          <w:szCs w:val="32"/>
        </w:rPr>
        <w:t> </w:t>
      </w:r>
    </w:p>
    <w:p w14:paraId="2B5CB89D"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黑体" w:eastAsia="黑体" w:hAnsi="黑体" w:hint="eastAsia"/>
          <w:color w:val="333333"/>
          <w:sz w:val="32"/>
          <w:szCs w:val="32"/>
        </w:rPr>
        <w:t>第五条</w:t>
      </w:r>
      <w:r>
        <w:rPr>
          <w:rFonts w:ascii="Calibri" w:eastAsia="仿宋" w:hAnsi="Calibri" w:cs="Calibri"/>
          <w:color w:val="333333"/>
          <w:sz w:val="32"/>
          <w:szCs w:val="32"/>
        </w:rPr>
        <w:t>   </w:t>
      </w:r>
      <w:r>
        <w:rPr>
          <w:rFonts w:ascii="仿宋" w:eastAsia="仿宋" w:hAnsi="仿宋" w:hint="eastAsia"/>
          <w:color w:val="333333"/>
          <w:sz w:val="32"/>
          <w:szCs w:val="32"/>
        </w:rPr>
        <w:t xml:space="preserve"> 建筑垃圾处置应当遵循减量化、资源化、无害化和谁产生、谁承担处置责任的原则。</w:t>
      </w:r>
      <w:r>
        <w:rPr>
          <w:rFonts w:ascii="Calibri" w:eastAsia="仿宋" w:hAnsi="Calibri" w:cs="Calibri"/>
          <w:color w:val="333333"/>
          <w:sz w:val="32"/>
          <w:szCs w:val="32"/>
        </w:rPr>
        <w:t> </w:t>
      </w:r>
    </w:p>
    <w:p w14:paraId="1F231669"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黑体" w:eastAsia="黑体" w:hAnsi="黑体" w:hint="eastAsia"/>
          <w:color w:val="333333"/>
          <w:sz w:val="32"/>
          <w:szCs w:val="32"/>
        </w:rPr>
        <w:t>第六条</w:t>
      </w:r>
      <w:r>
        <w:rPr>
          <w:rFonts w:ascii="Calibri" w:eastAsia="仿宋" w:hAnsi="Calibri" w:cs="Calibri"/>
          <w:color w:val="333333"/>
          <w:sz w:val="32"/>
          <w:szCs w:val="32"/>
        </w:rPr>
        <w:t>   </w:t>
      </w:r>
      <w:r>
        <w:rPr>
          <w:rFonts w:ascii="仿宋" w:eastAsia="仿宋" w:hAnsi="仿宋" w:hint="eastAsia"/>
          <w:color w:val="333333"/>
          <w:sz w:val="32"/>
          <w:szCs w:val="32"/>
        </w:rPr>
        <w:t xml:space="preserve"> 建筑垃圾实行分类管理制度。市城市管理行政主管部门应当研究制定建筑垃圾分类规范，明确分类标准和管理措施，并向社会公布。</w:t>
      </w:r>
      <w:r>
        <w:rPr>
          <w:rFonts w:ascii="Calibri" w:eastAsia="仿宋" w:hAnsi="Calibri" w:cs="Calibri"/>
          <w:color w:val="333333"/>
          <w:sz w:val="32"/>
          <w:szCs w:val="32"/>
        </w:rPr>
        <w:t> </w:t>
      </w:r>
    </w:p>
    <w:p w14:paraId="201F768A"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黑体" w:eastAsia="黑体" w:hAnsi="黑体" w:hint="eastAsia"/>
          <w:color w:val="333333"/>
          <w:sz w:val="32"/>
          <w:szCs w:val="32"/>
        </w:rPr>
        <w:t>第七条</w:t>
      </w:r>
      <w:r>
        <w:rPr>
          <w:rFonts w:ascii="Calibri" w:eastAsia="仿宋" w:hAnsi="Calibri" w:cs="Calibri"/>
          <w:color w:val="333333"/>
          <w:sz w:val="32"/>
          <w:szCs w:val="32"/>
        </w:rPr>
        <w:t>   </w:t>
      </w:r>
      <w:r>
        <w:rPr>
          <w:rFonts w:ascii="仿宋" w:eastAsia="仿宋" w:hAnsi="仿宋" w:hint="eastAsia"/>
          <w:color w:val="333333"/>
          <w:sz w:val="32"/>
          <w:szCs w:val="32"/>
        </w:rPr>
        <w:t xml:space="preserve"> 建筑垃圾处置实行收费制度。具体收费标准由市价格行政主管部门依照国家和省有关规定制定。</w:t>
      </w:r>
    </w:p>
    <w:p w14:paraId="72134F0B"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建筑垃圾处置费专项用于建筑垃圾的处置管理以及处置设施的建设、运营和管理等。</w:t>
      </w:r>
      <w:r>
        <w:rPr>
          <w:rFonts w:ascii="Calibri" w:eastAsia="仿宋" w:hAnsi="Calibri" w:cs="Calibri"/>
          <w:color w:val="333333"/>
          <w:sz w:val="32"/>
          <w:szCs w:val="32"/>
        </w:rPr>
        <w:t> </w:t>
      </w:r>
    </w:p>
    <w:p w14:paraId="69CC3AB3"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黑体" w:eastAsia="黑体" w:hAnsi="黑体" w:hint="eastAsia"/>
          <w:color w:val="333333"/>
          <w:sz w:val="32"/>
          <w:szCs w:val="32"/>
        </w:rPr>
        <w:lastRenderedPageBreak/>
        <w:t>第八条</w:t>
      </w:r>
      <w:r>
        <w:rPr>
          <w:rFonts w:ascii="Calibri" w:eastAsia="仿宋" w:hAnsi="Calibri" w:cs="Calibri"/>
          <w:color w:val="333333"/>
          <w:sz w:val="32"/>
          <w:szCs w:val="32"/>
        </w:rPr>
        <w:t>   </w:t>
      </w:r>
      <w:r>
        <w:rPr>
          <w:rFonts w:ascii="仿宋" w:eastAsia="仿宋" w:hAnsi="仿宋" w:hint="eastAsia"/>
          <w:color w:val="333333"/>
          <w:sz w:val="32"/>
          <w:szCs w:val="32"/>
        </w:rPr>
        <w:t xml:space="preserve"> 任何单位和个人不得随意倾倒、抛撒或者堆放建筑垃圾，不得将危险废物、工业垃圾、生活垃圾以及其他有毒有害垃圾混入建筑垃圾。</w:t>
      </w:r>
      <w:r>
        <w:rPr>
          <w:rFonts w:ascii="Calibri" w:eastAsia="仿宋" w:hAnsi="Calibri" w:cs="Calibri"/>
          <w:color w:val="333333"/>
          <w:sz w:val="32"/>
          <w:szCs w:val="32"/>
        </w:rPr>
        <w:t> </w:t>
      </w:r>
    </w:p>
    <w:p w14:paraId="5AF4DFD5"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黑体" w:eastAsia="黑体" w:hAnsi="黑体" w:hint="eastAsia"/>
          <w:color w:val="333333"/>
          <w:sz w:val="32"/>
          <w:szCs w:val="32"/>
        </w:rPr>
        <w:t>第九条</w:t>
      </w:r>
      <w:r>
        <w:rPr>
          <w:rFonts w:ascii="Calibri" w:eastAsia="仿宋" w:hAnsi="Calibri" w:cs="Calibri"/>
          <w:color w:val="333333"/>
          <w:sz w:val="32"/>
          <w:szCs w:val="32"/>
        </w:rPr>
        <w:t>   </w:t>
      </w:r>
      <w:r>
        <w:rPr>
          <w:rFonts w:ascii="仿宋" w:eastAsia="仿宋" w:hAnsi="仿宋" w:hint="eastAsia"/>
          <w:color w:val="333333"/>
          <w:sz w:val="32"/>
          <w:szCs w:val="32"/>
        </w:rPr>
        <w:t xml:space="preserve"> 处置建筑垃圾的单位，应当在工程开工前向行政审批服务部门提出申请，并提交建筑垃圾处置方案等相关材料，获得建筑垃圾处置核准后方可处置，居民家庭装饰装修除外。</w:t>
      </w:r>
      <w:r>
        <w:rPr>
          <w:rFonts w:ascii="Calibri" w:eastAsia="仿宋" w:hAnsi="Calibri" w:cs="Calibri"/>
          <w:color w:val="333333"/>
          <w:sz w:val="32"/>
          <w:szCs w:val="32"/>
        </w:rPr>
        <w:t> </w:t>
      </w:r>
    </w:p>
    <w:p w14:paraId="7F3BE36A"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黑体" w:eastAsia="黑体" w:hAnsi="黑体" w:hint="eastAsia"/>
          <w:color w:val="333333"/>
          <w:sz w:val="32"/>
          <w:szCs w:val="32"/>
        </w:rPr>
        <w:t>第十条</w:t>
      </w:r>
      <w:r>
        <w:rPr>
          <w:rFonts w:ascii="Calibri" w:eastAsia="仿宋" w:hAnsi="Calibri" w:cs="Calibri"/>
          <w:color w:val="333333"/>
          <w:sz w:val="32"/>
          <w:szCs w:val="32"/>
        </w:rPr>
        <w:t>   </w:t>
      </w:r>
      <w:r>
        <w:rPr>
          <w:rFonts w:ascii="仿宋" w:eastAsia="仿宋" w:hAnsi="仿宋" w:hint="eastAsia"/>
          <w:color w:val="333333"/>
          <w:sz w:val="32"/>
          <w:szCs w:val="32"/>
        </w:rPr>
        <w:t xml:space="preserve"> 行政审批服务部门应当自受理申请之日起十日内</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是否核准的决定。对予以核准的，发放建筑垃圾处置核准手续；不予核准的，书面告知申请人并说明理由。</w:t>
      </w:r>
    </w:p>
    <w:p w14:paraId="37904F12"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对需要现场就地消</w:t>
      </w:r>
      <w:proofErr w:type="gramStart"/>
      <w:r>
        <w:rPr>
          <w:rFonts w:ascii="仿宋" w:eastAsia="仿宋" w:hAnsi="仿宋" w:hint="eastAsia"/>
          <w:color w:val="333333"/>
          <w:sz w:val="32"/>
          <w:szCs w:val="32"/>
        </w:rPr>
        <w:t>纳建筑</w:t>
      </w:r>
      <w:proofErr w:type="gramEnd"/>
      <w:r>
        <w:rPr>
          <w:rFonts w:ascii="仿宋" w:eastAsia="仿宋" w:hAnsi="仿宋" w:hint="eastAsia"/>
          <w:color w:val="333333"/>
          <w:sz w:val="32"/>
          <w:szCs w:val="32"/>
        </w:rPr>
        <w:t>垃圾的，予以核减相应建筑垃圾排放量。</w:t>
      </w:r>
      <w:r>
        <w:rPr>
          <w:rFonts w:ascii="Calibri" w:eastAsia="仿宋" w:hAnsi="Calibri" w:cs="Calibri"/>
          <w:color w:val="333333"/>
          <w:sz w:val="32"/>
          <w:szCs w:val="32"/>
        </w:rPr>
        <w:t> </w:t>
      </w:r>
    </w:p>
    <w:p w14:paraId="36363F3B"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黑体" w:eastAsia="黑体" w:hAnsi="黑体" w:hint="eastAsia"/>
          <w:color w:val="333333"/>
          <w:sz w:val="32"/>
          <w:szCs w:val="32"/>
        </w:rPr>
        <w:t>第十一条</w:t>
      </w:r>
      <w:r>
        <w:rPr>
          <w:rFonts w:ascii="Calibri" w:eastAsia="仿宋" w:hAnsi="Calibri" w:cs="Calibri"/>
          <w:color w:val="333333"/>
          <w:sz w:val="32"/>
          <w:szCs w:val="32"/>
        </w:rPr>
        <w:t>   </w:t>
      </w:r>
      <w:r>
        <w:rPr>
          <w:rFonts w:ascii="仿宋" w:eastAsia="仿宋" w:hAnsi="仿宋" w:hint="eastAsia"/>
          <w:color w:val="333333"/>
          <w:sz w:val="32"/>
          <w:szCs w:val="32"/>
        </w:rPr>
        <w:t xml:space="preserve"> 建筑垃圾处置核准内容发生变化的，应当及时向原核准机关提出变更申请。</w:t>
      </w:r>
      <w:r>
        <w:rPr>
          <w:rFonts w:ascii="Calibri" w:eastAsia="仿宋" w:hAnsi="Calibri" w:cs="Calibri"/>
          <w:color w:val="333333"/>
          <w:sz w:val="32"/>
          <w:szCs w:val="32"/>
        </w:rPr>
        <w:t> </w:t>
      </w:r>
    </w:p>
    <w:p w14:paraId="5A247E2B"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黑体" w:eastAsia="黑体" w:hAnsi="黑体" w:hint="eastAsia"/>
          <w:color w:val="333333"/>
          <w:sz w:val="32"/>
          <w:szCs w:val="32"/>
        </w:rPr>
        <w:t>第十二条</w:t>
      </w:r>
      <w:r>
        <w:rPr>
          <w:rFonts w:ascii="Calibri" w:eastAsia="仿宋" w:hAnsi="Calibri" w:cs="Calibri"/>
          <w:color w:val="333333"/>
          <w:sz w:val="32"/>
          <w:szCs w:val="32"/>
        </w:rPr>
        <w:t>   </w:t>
      </w:r>
      <w:r>
        <w:rPr>
          <w:rFonts w:ascii="仿宋" w:eastAsia="仿宋" w:hAnsi="仿宋" w:hint="eastAsia"/>
          <w:color w:val="333333"/>
          <w:sz w:val="32"/>
          <w:szCs w:val="32"/>
        </w:rPr>
        <w:t xml:space="preserve"> 实行建筑垃圾处置管理相关许可事项联合办理制度，优化审批流程，为建筑垃圾处置申请单位提供便利。</w:t>
      </w:r>
      <w:r>
        <w:rPr>
          <w:rFonts w:ascii="Calibri" w:eastAsia="仿宋" w:hAnsi="Calibri" w:cs="Calibri"/>
          <w:color w:val="333333"/>
          <w:sz w:val="32"/>
          <w:szCs w:val="32"/>
        </w:rPr>
        <w:t> </w:t>
      </w:r>
    </w:p>
    <w:p w14:paraId="45091941"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黑体" w:eastAsia="黑体" w:hAnsi="黑体" w:hint="eastAsia"/>
          <w:color w:val="333333"/>
          <w:sz w:val="32"/>
          <w:szCs w:val="32"/>
        </w:rPr>
        <w:t>第十三条</w:t>
      </w:r>
      <w:r>
        <w:rPr>
          <w:rFonts w:ascii="Calibri" w:eastAsia="仿宋" w:hAnsi="Calibri" w:cs="Calibri"/>
          <w:color w:val="333333"/>
          <w:sz w:val="32"/>
          <w:szCs w:val="32"/>
        </w:rPr>
        <w:t>   </w:t>
      </w:r>
      <w:r>
        <w:rPr>
          <w:rFonts w:ascii="仿宋" w:eastAsia="仿宋" w:hAnsi="仿宋" w:hint="eastAsia"/>
          <w:color w:val="333333"/>
          <w:sz w:val="32"/>
          <w:szCs w:val="32"/>
        </w:rPr>
        <w:t xml:space="preserve"> 建设单位在工程招标或者直接发包时，应当在招标文件或者承包合同中明确施工单位对建筑垃圾管理的具体要求和相关措施，并监督施工单位按照要求文明施工。</w:t>
      </w:r>
      <w:r>
        <w:rPr>
          <w:rFonts w:ascii="Calibri" w:eastAsia="仿宋" w:hAnsi="Calibri" w:cs="Calibri"/>
          <w:color w:val="333333"/>
          <w:sz w:val="32"/>
          <w:szCs w:val="32"/>
        </w:rPr>
        <w:t> </w:t>
      </w:r>
    </w:p>
    <w:p w14:paraId="091AA018"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黑体" w:eastAsia="黑体" w:hAnsi="黑体" w:hint="eastAsia"/>
          <w:color w:val="333333"/>
          <w:sz w:val="32"/>
          <w:szCs w:val="32"/>
        </w:rPr>
        <w:lastRenderedPageBreak/>
        <w:t>第十四条</w:t>
      </w:r>
      <w:r>
        <w:rPr>
          <w:rFonts w:ascii="Calibri" w:eastAsia="仿宋" w:hAnsi="Calibri" w:cs="Calibri"/>
          <w:color w:val="333333"/>
          <w:sz w:val="32"/>
          <w:szCs w:val="32"/>
        </w:rPr>
        <w:t>   </w:t>
      </w:r>
      <w:r>
        <w:rPr>
          <w:rFonts w:ascii="仿宋" w:eastAsia="仿宋" w:hAnsi="仿宋" w:hint="eastAsia"/>
          <w:color w:val="333333"/>
          <w:sz w:val="32"/>
          <w:szCs w:val="32"/>
        </w:rPr>
        <w:t xml:space="preserve"> 产生建筑垃圾的施工工地应当遵守下列规定：</w:t>
      </w:r>
    </w:p>
    <w:p w14:paraId="5D7C6526"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（一）设置符合标准的硬质围挡、公示牌；</w:t>
      </w:r>
    </w:p>
    <w:p w14:paraId="084157FF"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（二）现场配备洒水降尘设备并有效使用；</w:t>
      </w:r>
    </w:p>
    <w:p w14:paraId="4DD98869"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（三）配备车辆冲洗设施并有效使用，保持驶离工地车辆清洁；</w:t>
      </w:r>
    </w:p>
    <w:p w14:paraId="2D52F585"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（四）工地进出路口、车行道路路面硬化处理；</w:t>
      </w:r>
    </w:p>
    <w:p w14:paraId="62A1ACD5"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（五）施工中产生的建筑垃圾在施工现场范围内及时分类清运，暂时不能清运的应当采取覆盖、压实、临时绿化等防尘措施；</w:t>
      </w:r>
    </w:p>
    <w:p w14:paraId="6F704616"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（六）建筑垃圾运输车辆全程密闭运输；</w:t>
      </w:r>
    </w:p>
    <w:p w14:paraId="413DAA9C"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（七）按照规定安装在线视频监控设备；</w:t>
      </w:r>
    </w:p>
    <w:p w14:paraId="75C6FCCF"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（八）按照规定安装扬尘在线监测设备；</w:t>
      </w:r>
    </w:p>
    <w:p w14:paraId="6DDD7EBE"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（九）配备专人负责工地内的保洁作业；</w:t>
      </w:r>
    </w:p>
    <w:p w14:paraId="65542E71"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（十）建筑单体外立面和主体每楼层内外积</w:t>
      </w:r>
      <w:proofErr w:type="gramStart"/>
      <w:r>
        <w:rPr>
          <w:rFonts w:ascii="仿宋" w:eastAsia="仿宋" w:hAnsi="仿宋" w:hint="eastAsia"/>
          <w:color w:val="333333"/>
          <w:sz w:val="32"/>
          <w:szCs w:val="32"/>
        </w:rPr>
        <w:t>尘</w:t>
      </w:r>
      <w:proofErr w:type="gramEnd"/>
      <w:r>
        <w:rPr>
          <w:rFonts w:ascii="仿宋" w:eastAsia="仿宋" w:hAnsi="仿宋" w:hint="eastAsia"/>
          <w:color w:val="333333"/>
          <w:sz w:val="32"/>
          <w:szCs w:val="32"/>
        </w:rPr>
        <w:t>冲洗洁净后，撤除遮挡防护网。</w:t>
      </w:r>
    </w:p>
    <w:p w14:paraId="698682C9"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建设工程在竣工验收前，应当将工程所产生的建筑垃圾全部清运。</w:t>
      </w:r>
      <w:r>
        <w:rPr>
          <w:rFonts w:ascii="Calibri" w:eastAsia="仿宋" w:hAnsi="Calibri" w:cs="Calibri"/>
          <w:color w:val="333333"/>
          <w:sz w:val="32"/>
          <w:szCs w:val="32"/>
        </w:rPr>
        <w:t> </w:t>
      </w:r>
    </w:p>
    <w:p w14:paraId="68543BC6"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黑体" w:eastAsia="黑体" w:hAnsi="黑体" w:hint="eastAsia"/>
          <w:color w:val="333333"/>
          <w:sz w:val="32"/>
          <w:szCs w:val="32"/>
        </w:rPr>
        <w:t>第十五条</w:t>
      </w:r>
      <w:r>
        <w:rPr>
          <w:rFonts w:ascii="Calibri" w:eastAsia="仿宋" w:hAnsi="Calibri" w:cs="Calibri"/>
          <w:color w:val="333333"/>
          <w:sz w:val="32"/>
          <w:szCs w:val="32"/>
        </w:rPr>
        <w:t>   </w:t>
      </w:r>
      <w:r>
        <w:rPr>
          <w:rFonts w:ascii="仿宋" w:eastAsia="仿宋" w:hAnsi="仿宋" w:hint="eastAsia"/>
          <w:color w:val="333333"/>
          <w:sz w:val="32"/>
          <w:szCs w:val="32"/>
        </w:rPr>
        <w:t xml:space="preserve"> 居民家庭装饰装修实行投放管理责任人制度。</w:t>
      </w:r>
    </w:p>
    <w:p w14:paraId="02860435"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lastRenderedPageBreak/>
        <w:t>实施物业管理的住宅小区，物业服务企业为责任人；未实施物业管理的，社区居民委员会、村民委员会为责任人。</w:t>
      </w:r>
      <w:r>
        <w:rPr>
          <w:rFonts w:ascii="Calibri" w:eastAsia="仿宋" w:hAnsi="Calibri" w:cs="Calibri"/>
          <w:color w:val="333333"/>
          <w:sz w:val="32"/>
          <w:szCs w:val="32"/>
        </w:rPr>
        <w:t> </w:t>
      </w:r>
    </w:p>
    <w:p w14:paraId="6A5C2098"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黑体" w:eastAsia="黑体" w:hAnsi="黑体" w:hint="eastAsia"/>
          <w:color w:val="333333"/>
          <w:sz w:val="32"/>
          <w:szCs w:val="32"/>
        </w:rPr>
        <w:t>第十六条</w:t>
      </w:r>
      <w:r>
        <w:rPr>
          <w:rFonts w:ascii="Calibri" w:eastAsia="仿宋" w:hAnsi="Calibri" w:cs="Calibri"/>
          <w:color w:val="333333"/>
          <w:sz w:val="32"/>
          <w:szCs w:val="32"/>
        </w:rPr>
        <w:t>   </w:t>
      </w:r>
      <w:r>
        <w:rPr>
          <w:rFonts w:ascii="仿宋" w:eastAsia="仿宋" w:hAnsi="仿宋" w:hint="eastAsia"/>
          <w:color w:val="333333"/>
          <w:sz w:val="32"/>
          <w:szCs w:val="32"/>
        </w:rPr>
        <w:t xml:space="preserve"> 投放管理责任人应当履行下列义务：</w:t>
      </w:r>
    </w:p>
    <w:p w14:paraId="6B5B6207"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（一）设置或指定专门的装修垃圾堆放场所；</w:t>
      </w:r>
    </w:p>
    <w:p w14:paraId="2BCC8C39"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（二）采取措施保持装修垃圾堆放场所整洁；</w:t>
      </w:r>
    </w:p>
    <w:p w14:paraId="612C2CEA"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（三）明确装修垃圾投放规范、投放时间、监督投诉方式等事项；</w:t>
      </w:r>
    </w:p>
    <w:p w14:paraId="76C3EE69"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（四）对现场堆放的装修垃圾进行覆盖，防止污染环境；</w:t>
      </w:r>
    </w:p>
    <w:p w14:paraId="559E3771"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（五）将其管理范围内产生的装修垃圾，交由专门的建筑垃圾运输企业进行清运。</w:t>
      </w:r>
    </w:p>
    <w:p w14:paraId="31C1C949"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居民家庭装饰装修垃圾应当进行袋装，并投放至指定的堆放场所。</w:t>
      </w:r>
      <w:r>
        <w:rPr>
          <w:rFonts w:ascii="Calibri" w:eastAsia="仿宋" w:hAnsi="Calibri" w:cs="Calibri"/>
          <w:color w:val="333333"/>
          <w:sz w:val="32"/>
          <w:szCs w:val="32"/>
        </w:rPr>
        <w:t> </w:t>
      </w:r>
    </w:p>
    <w:p w14:paraId="7253CA30"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黑体" w:eastAsia="黑体" w:hAnsi="黑体" w:hint="eastAsia"/>
          <w:color w:val="333333"/>
          <w:sz w:val="32"/>
          <w:szCs w:val="32"/>
        </w:rPr>
        <w:t>第十七条</w:t>
      </w:r>
      <w:r>
        <w:rPr>
          <w:rFonts w:ascii="Calibri" w:eastAsia="仿宋" w:hAnsi="Calibri" w:cs="Calibri"/>
          <w:color w:val="333333"/>
          <w:sz w:val="32"/>
          <w:szCs w:val="32"/>
        </w:rPr>
        <w:t>   </w:t>
      </w:r>
      <w:r>
        <w:rPr>
          <w:rFonts w:ascii="仿宋" w:eastAsia="仿宋" w:hAnsi="仿宋" w:hint="eastAsia"/>
          <w:color w:val="333333"/>
          <w:sz w:val="32"/>
          <w:szCs w:val="32"/>
        </w:rPr>
        <w:t xml:space="preserve"> 从事建筑垃圾运输的企业应当符合以下条件：</w:t>
      </w:r>
    </w:p>
    <w:p w14:paraId="13807705"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（一）有适度规模运输车辆，且符合本市建筑垃圾运输车辆技术及运输管理要求;</w:t>
      </w:r>
    </w:p>
    <w:p w14:paraId="4262BDBA"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（二）运输车辆具备全密闭运输装置，安装车辆卫星定位和视频监控设备等，并逐步与数字化监管系统对接；</w:t>
      </w:r>
    </w:p>
    <w:p w14:paraId="61156A46"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（三）有固定的办公场所和与经营规模相适应的停车场。</w:t>
      </w:r>
      <w:r>
        <w:rPr>
          <w:rFonts w:ascii="Calibri" w:eastAsia="仿宋" w:hAnsi="Calibri" w:cs="Calibri"/>
          <w:color w:val="333333"/>
          <w:sz w:val="32"/>
          <w:szCs w:val="32"/>
        </w:rPr>
        <w:t> </w:t>
      </w:r>
    </w:p>
    <w:p w14:paraId="0D9AFA3E"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黑体" w:eastAsia="黑体" w:hAnsi="黑体" w:hint="eastAsia"/>
          <w:color w:val="333333"/>
          <w:sz w:val="32"/>
          <w:szCs w:val="32"/>
        </w:rPr>
        <w:t>第十八条</w:t>
      </w:r>
      <w:r>
        <w:rPr>
          <w:rFonts w:ascii="Calibri" w:eastAsia="仿宋" w:hAnsi="Calibri" w:cs="Calibri"/>
          <w:color w:val="333333"/>
          <w:sz w:val="32"/>
          <w:szCs w:val="32"/>
        </w:rPr>
        <w:t>   </w:t>
      </w:r>
      <w:r>
        <w:rPr>
          <w:rFonts w:ascii="仿宋" w:eastAsia="仿宋" w:hAnsi="仿宋" w:hint="eastAsia"/>
          <w:color w:val="333333"/>
          <w:sz w:val="32"/>
          <w:szCs w:val="32"/>
        </w:rPr>
        <w:t xml:space="preserve"> 建筑垃圾的运输，应当遵守下列规定：</w:t>
      </w:r>
    </w:p>
    <w:p w14:paraId="0D7EC4D7"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lastRenderedPageBreak/>
        <w:t>（一）不得承运未经核准处置的建筑垃圾；</w:t>
      </w:r>
    </w:p>
    <w:p w14:paraId="535214F1"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（二）不得将承运的建筑垃圾转包或者分包；</w:t>
      </w:r>
    </w:p>
    <w:p w14:paraId="0EFA3B2B"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（三）不得私自停用、拆除或者故意损坏卫星定位装置和视频监控设备；</w:t>
      </w:r>
    </w:p>
    <w:p w14:paraId="30BC9D64"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（四）按照公安机关和城市管理行政主管部门共同确定的运输路线、时间运行；</w:t>
      </w:r>
    </w:p>
    <w:p w14:paraId="4EEEC4B8"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（五）保持车身清洁，严禁带泥上路、污染路面；</w:t>
      </w:r>
    </w:p>
    <w:p w14:paraId="38FD93F2"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（六）装载适量，全程密闭运输，不得遗撒、泄漏；</w:t>
      </w:r>
    </w:p>
    <w:p w14:paraId="7321813B"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（七）在指定的消纳场倾卸建筑垃圾，服从场地人员管理，并取得回执。</w:t>
      </w:r>
      <w:r>
        <w:rPr>
          <w:rFonts w:ascii="Calibri" w:eastAsia="仿宋" w:hAnsi="Calibri" w:cs="Calibri"/>
          <w:color w:val="333333"/>
          <w:sz w:val="32"/>
          <w:szCs w:val="32"/>
        </w:rPr>
        <w:t> </w:t>
      </w:r>
    </w:p>
    <w:p w14:paraId="676797DD"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黑体" w:eastAsia="黑体" w:hAnsi="黑体" w:hint="eastAsia"/>
          <w:color w:val="333333"/>
          <w:sz w:val="32"/>
          <w:szCs w:val="32"/>
        </w:rPr>
        <w:t>第十九条</w:t>
      </w:r>
      <w:r>
        <w:rPr>
          <w:rFonts w:ascii="Calibri" w:eastAsia="仿宋" w:hAnsi="Calibri" w:cs="Calibri"/>
          <w:color w:val="333333"/>
          <w:sz w:val="32"/>
          <w:szCs w:val="32"/>
        </w:rPr>
        <w:t>   </w:t>
      </w:r>
      <w:r>
        <w:rPr>
          <w:rFonts w:ascii="仿宋" w:eastAsia="仿宋" w:hAnsi="仿宋" w:hint="eastAsia"/>
          <w:color w:val="333333"/>
          <w:sz w:val="32"/>
          <w:szCs w:val="32"/>
        </w:rPr>
        <w:t xml:space="preserve"> 建筑垃圾运输企业应当建立健全运输车辆安全管理和运输规范等制度，对所属运输车辆及驾驶员实行动态管理，加强运输车辆维修养护和驾驶员培训，保证运输安全、规范。</w:t>
      </w:r>
    </w:p>
    <w:p w14:paraId="0C39D4A0"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鼓励建筑垃圾运输企业采用新型环保智能运输车辆。</w:t>
      </w:r>
      <w:r>
        <w:rPr>
          <w:rFonts w:ascii="Calibri" w:eastAsia="仿宋" w:hAnsi="Calibri" w:cs="Calibri"/>
          <w:color w:val="333333"/>
          <w:sz w:val="32"/>
          <w:szCs w:val="32"/>
        </w:rPr>
        <w:t> </w:t>
      </w:r>
    </w:p>
    <w:p w14:paraId="219EC1B6"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黑体" w:eastAsia="黑体" w:hAnsi="黑体" w:hint="eastAsia"/>
          <w:color w:val="333333"/>
          <w:sz w:val="32"/>
          <w:szCs w:val="32"/>
        </w:rPr>
        <w:t>第二十条</w:t>
      </w:r>
      <w:r>
        <w:rPr>
          <w:rFonts w:ascii="Calibri" w:eastAsia="仿宋" w:hAnsi="Calibri" w:cs="Calibri"/>
          <w:color w:val="333333"/>
          <w:sz w:val="32"/>
          <w:szCs w:val="32"/>
        </w:rPr>
        <w:t>   </w:t>
      </w:r>
      <w:r>
        <w:rPr>
          <w:rFonts w:ascii="仿宋" w:eastAsia="仿宋" w:hAnsi="仿宋" w:hint="eastAsia"/>
          <w:color w:val="333333"/>
          <w:sz w:val="32"/>
          <w:szCs w:val="32"/>
        </w:rPr>
        <w:t xml:space="preserve"> 市城市管理行政主管部门应当会同市发展改革、财政、自然资源和规划、生态环境、住房城乡建设、行政审批服务等部门及相关区人民政府，将建筑垃圾消纳场、综合</w:t>
      </w:r>
      <w:r>
        <w:rPr>
          <w:rFonts w:ascii="仿宋" w:eastAsia="仿宋" w:hAnsi="仿宋" w:hint="eastAsia"/>
          <w:color w:val="333333"/>
          <w:sz w:val="32"/>
          <w:szCs w:val="32"/>
        </w:rPr>
        <w:lastRenderedPageBreak/>
        <w:t>利用等设施的设置，纳入城市市容环境卫生专项规划，明确建筑垃圾消纳场设置布局、规模及建设计划等内容。</w:t>
      </w:r>
    </w:p>
    <w:p w14:paraId="627A36CF"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建筑垃圾临时消纳场应当符合国土空间规划、环境保护的要求，由区人民政府确定，并告知市城市管理行政主管部门。</w:t>
      </w:r>
    </w:p>
    <w:p w14:paraId="05959F49"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鼓励社会资本投资建设和经营建筑垃圾长期消纳场和临时消纳场。</w:t>
      </w:r>
    </w:p>
    <w:p w14:paraId="580C5F34"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任何单位和个人不得擅自设立消纳场受</w:t>
      </w:r>
      <w:proofErr w:type="gramStart"/>
      <w:r>
        <w:rPr>
          <w:rFonts w:ascii="仿宋" w:eastAsia="仿宋" w:hAnsi="仿宋" w:hint="eastAsia"/>
          <w:color w:val="333333"/>
          <w:sz w:val="32"/>
          <w:szCs w:val="32"/>
        </w:rPr>
        <w:t>纳建筑</w:t>
      </w:r>
      <w:proofErr w:type="gramEnd"/>
      <w:r>
        <w:rPr>
          <w:rFonts w:ascii="仿宋" w:eastAsia="仿宋" w:hAnsi="仿宋" w:hint="eastAsia"/>
          <w:color w:val="333333"/>
          <w:sz w:val="32"/>
          <w:szCs w:val="32"/>
        </w:rPr>
        <w:t>垃圾。</w:t>
      </w:r>
      <w:r>
        <w:rPr>
          <w:rFonts w:ascii="Calibri" w:eastAsia="仿宋" w:hAnsi="Calibri" w:cs="Calibri"/>
          <w:color w:val="333333"/>
          <w:sz w:val="32"/>
          <w:szCs w:val="32"/>
        </w:rPr>
        <w:t> </w:t>
      </w:r>
    </w:p>
    <w:p w14:paraId="6DAD23C2"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黑体" w:eastAsia="黑体" w:hAnsi="黑体" w:hint="eastAsia"/>
          <w:color w:val="333333"/>
          <w:sz w:val="32"/>
          <w:szCs w:val="32"/>
        </w:rPr>
        <w:t>第二十一条</w:t>
      </w:r>
      <w:r>
        <w:rPr>
          <w:rFonts w:ascii="Calibri" w:eastAsia="仿宋" w:hAnsi="Calibri" w:cs="Calibri"/>
          <w:color w:val="333333"/>
          <w:sz w:val="32"/>
          <w:szCs w:val="32"/>
        </w:rPr>
        <w:t>   </w:t>
      </w:r>
      <w:r>
        <w:rPr>
          <w:rFonts w:ascii="仿宋" w:eastAsia="仿宋" w:hAnsi="仿宋" w:hint="eastAsia"/>
          <w:color w:val="333333"/>
          <w:sz w:val="32"/>
          <w:szCs w:val="32"/>
        </w:rPr>
        <w:t xml:space="preserve"> 建筑垃圾消纳场的设置，应当符合下列要求：</w:t>
      </w:r>
    </w:p>
    <w:p w14:paraId="2641A976"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（一）四周设置硬质围挡或者围墙，路面硬化；</w:t>
      </w:r>
    </w:p>
    <w:p w14:paraId="400EE191"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（二）配备摊铺、碾压、除尘、冲洗、照明、计量、排水、消防、喷淋等设备设施；</w:t>
      </w:r>
    </w:p>
    <w:p w14:paraId="15F05F61"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（三）建筑垃圾按可利用和不可利用分类堆放，不得受</w:t>
      </w:r>
      <w:proofErr w:type="gramStart"/>
      <w:r>
        <w:rPr>
          <w:rFonts w:ascii="仿宋" w:eastAsia="仿宋" w:hAnsi="仿宋" w:hint="eastAsia"/>
          <w:color w:val="333333"/>
          <w:sz w:val="32"/>
          <w:szCs w:val="32"/>
        </w:rPr>
        <w:t>纳工业</w:t>
      </w:r>
      <w:proofErr w:type="gramEnd"/>
      <w:r>
        <w:rPr>
          <w:rFonts w:ascii="仿宋" w:eastAsia="仿宋" w:hAnsi="仿宋" w:hint="eastAsia"/>
          <w:color w:val="333333"/>
          <w:sz w:val="32"/>
          <w:szCs w:val="32"/>
        </w:rPr>
        <w:t>垃圾、生活垃圾和有毒有害垃圾；</w:t>
      </w:r>
    </w:p>
    <w:p w14:paraId="4187CEB3"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（四）安装视频监控和扬尘在线监测设备，并保持正常使用；</w:t>
      </w:r>
    </w:p>
    <w:p w14:paraId="1211874A"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（五）有健全的环境卫生和安全管理等现场运行管理制度和完整的制度执行情况的原始记录。</w:t>
      </w:r>
      <w:r>
        <w:rPr>
          <w:rFonts w:ascii="Calibri" w:eastAsia="仿宋" w:hAnsi="Calibri" w:cs="Calibri"/>
          <w:color w:val="333333"/>
          <w:sz w:val="32"/>
          <w:szCs w:val="32"/>
        </w:rPr>
        <w:t> </w:t>
      </w:r>
    </w:p>
    <w:p w14:paraId="457FE8B1"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黑体" w:eastAsia="黑体" w:hAnsi="黑体" w:hint="eastAsia"/>
          <w:color w:val="333333"/>
          <w:sz w:val="32"/>
          <w:szCs w:val="32"/>
        </w:rPr>
        <w:lastRenderedPageBreak/>
        <w:t>第二十二条</w:t>
      </w:r>
      <w:r>
        <w:rPr>
          <w:rFonts w:ascii="Calibri" w:eastAsia="仿宋" w:hAnsi="Calibri" w:cs="Calibri"/>
          <w:color w:val="333333"/>
          <w:sz w:val="32"/>
          <w:szCs w:val="32"/>
        </w:rPr>
        <w:t>   </w:t>
      </w:r>
      <w:r>
        <w:rPr>
          <w:rFonts w:ascii="仿宋" w:eastAsia="仿宋" w:hAnsi="仿宋" w:hint="eastAsia"/>
          <w:color w:val="333333"/>
          <w:sz w:val="32"/>
          <w:szCs w:val="32"/>
        </w:rPr>
        <w:t xml:space="preserve"> 建筑垃圾消纳</w:t>
      </w:r>
      <w:proofErr w:type="gramStart"/>
      <w:r>
        <w:rPr>
          <w:rFonts w:ascii="仿宋" w:eastAsia="仿宋" w:hAnsi="仿宋" w:hint="eastAsia"/>
          <w:color w:val="333333"/>
          <w:sz w:val="32"/>
          <w:szCs w:val="32"/>
        </w:rPr>
        <w:t>场不得</w:t>
      </w:r>
      <w:proofErr w:type="gramEnd"/>
      <w:r>
        <w:rPr>
          <w:rFonts w:ascii="仿宋" w:eastAsia="仿宋" w:hAnsi="仿宋" w:hint="eastAsia"/>
          <w:color w:val="333333"/>
          <w:sz w:val="32"/>
          <w:szCs w:val="32"/>
        </w:rPr>
        <w:t>擅自关闭或者拒绝受</w:t>
      </w:r>
      <w:proofErr w:type="gramStart"/>
      <w:r>
        <w:rPr>
          <w:rFonts w:ascii="仿宋" w:eastAsia="仿宋" w:hAnsi="仿宋" w:hint="eastAsia"/>
          <w:color w:val="333333"/>
          <w:sz w:val="32"/>
          <w:szCs w:val="32"/>
        </w:rPr>
        <w:t>纳建筑</w:t>
      </w:r>
      <w:proofErr w:type="gramEnd"/>
      <w:r>
        <w:rPr>
          <w:rFonts w:ascii="仿宋" w:eastAsia="仿宋" w:hAnsi="仿宋" w:hint="eastAsia"/>
          <w:color w:val="333333"/>
          <w:sz w:val="32"/>
          <w:szCs w:val="32"/>
        </w:rPr>
        <w:t>垃圾。建筑垃圾消纳</w:t>
      </w:r>
      <w:proofErr w:type="gramStart"/>
      <w:r>
        <w:rPr>
          <w:rFonts w:ascii="仿宋" w:eastAsia="仿宋" w:hAnsi="仿宋" w:hint="eastAsia"/>
          <w:color w:val="333333"/>
          <w:sz w:val="32"/>
          <w:szCs w:val="32"/>
        </w:rPr>
        <w:t>场达到</w:t>
      </w:r>
      <w:proofErr w:type="gramEnd"/>
      <w:r>
        <w:rPr>
          <w:rFonts w:ascii="仿宋" w:eastAsia="仿宋" w:hAnsi="仿宋" w:hint="eastAsia"/>
          <w:color w:val="333333"/>
          <w:sz w:val="32"/>
          <w:szCs w:val="32"/>
        </w:rPr>
        <w:t>原设计容量或者其他原因无法继续消纳的，应当提前三个月告知市城市管理行政主管部门。</w:t>
      </w:r>
    </w:p>
    <w:p w14:paraId="570E9ABA"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建筑垃圾消纳场停止使用时，应当覆盖还田、绿化，或者按照生态环境保护的相关要求进行处理。</w:t>
      </w:r>
      <w:r>
        <w:rPr>
          <w:rFonts w:ascii="Calibri" w:eastAsia="仿宋" w:hAnsi="Calibri" w:cs="Calibri"/>
          <w:color w:val="333333"/>
          <w:sz w:val="32"/>
          <w:szCs w:val="32"/>
        </w:rPr>
        <w:t> </w:t>
      </w:r>
    </w:p>
    <w:p w14:paraId="6652B5E6"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黑体" w:eastAsia="黑体" w:hAnsi="黑体" w:hint="eastAsia"/>
          <w:color w:val="333333"/>
          <w:sz w:val="32"/>
          <w:szCs w:val="32"/>
        </w:rPr>
        <w:t>第二十三条</w:t>
      </w:r>
      <w:r>
        <w:rPr>
          <w:rFonts w:ascii="Calibri" w:eastAsia="仿宋" w:hAnsi="Calibri" w:cs="Calibri"/>
          <w:color w:val="333333"/>
          <w:sz w:val="32"/>
          <w:szCs w:val="32"/>
        </w:rPr>
        <w:t>   </w:t>
      </w:r>
      <w:r>
        <w:rPr>
          <w:rFonts w:ascii="仿宋" w:eastAsia="仿宋" w:hAnsi="仿宋" w:hint="eastAsia"/>
          <w:color w:val="333333"/>
          <w:sz w:val="32"/>
          <w:szCs w:val="32"/>
        </w:rPr>
        <w:t xml:space="preserve"> 市、区人民政府应当在产业、财政、金融等方面对建筑垃圾综合利用给予扶持，鼓励和引导社会资本参与建筑垃圾综合利用项目，鼓励和支持建筑垃圾再生产品的研发、生产和使用。</w:t>
      </w:r>
      <w:r>
        <w:rPr>
          <w:rFonts w:ascii="Calibri" w:eastAsia="仿宋" w:hAnsi="Calibri" w:cs="Calibri"/>
          <w:color w:val="333333"/>
          <w:sz w:val="32"/>
          <w:szCs w:val="32"/>
        </w:rPr>
        <w:t> </w:t>
      </w:r>
    </w:p>
    <w:p w14:paraId="0E191AB7"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黑体" w:eastAsia="黑体" w:hAnsi="黑体" w:hint="eastAsia"/>
          <w:color w:val="333333"/>
          <w:sz w:val="32"/>
          <w:szCs w:val="32"/>
        </w:rPr>
        <w:t>第二十四条</w:t>
      </w:r>
      <w:r>
        <w:rPr>
          <w:rFonts w:ascii="Calibri" w:eastAsia="仿宋" w:hAnsi="Calibri" w:cs="Calibri"/>
          <w:color w:val="333333"/>
          <w:sz w:val="32"/>
          <w:szCs w:val="32"/>
        </w:rPr>
        <w:t>   </w:t>
      </w:r>
      <w:r>
        <w:rPr>
          <w:rFonts w:ascii="仿宋" w:eastAsia="仿宋" w:hAnsi="仿宋" w:hint="eastAsia"/>
          <w:color w:val="333333"/>
          <w:sz w:val="32"/>
          <w:szCs w:val="32"/>
        </w:rPr>
        <w:t xml:space="preserve"> 建筑垃圾应当资源化利用和减量化处理。</w:t>
      </w:r>
    </w:p>
    <w:p w14:paraId="74229001"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城市管理行政主管部门应当及时汇总并公布建筑垃圾消纳场、建设工程开挖、回填建筑垃圾以及建筑垃圾综合利用需求等信息，并根据本区域建筑垃圾的排放情况，合理安排建设单位、施工单位和建筑垃圾综合利用企业交换利用建筑垃圾。</w:t>
      </w:r>
    </w:p>
    <w:p w14:paraId="6CFB7909"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鼓励建设单位、施工单位在地形整理、工程填垫等环节充分利用建筑垃圾。</w:t>
      </w:r>
    </w:p>
    <w:p w14:paraId="065F4615"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建筑垃圾资源化利用单位应当采取措施，有效处理生产过程中产生的废水、废气、固体废物、噪声等，防止污染环境。</w:t>
      </w:r>
      <w:r>
        <w:rPr>
          <w:rFonts w:ascii="Calibri" w:eastAsia="仿宋" w:hAnsi="Calibri" w:cs="Calibri"/>
          <w:color w:val="333333"/>
          <w:sz w:val="32"/>
          <w:szCs w:val="32"/>
        </w:rPr>
        <w:t> </w:t>
      </w:r>
    </w:p>
    <w:p w14:paraId="10105831"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黑体" w:eastAsia="黑体" w:hAnsi="黑体" w:hint="eastAsia"/>
          <w:color w:val="333333"/>
          <w:sz w:val="32"/>
          <w:szCs w:val="32"/>
        </w:rPr>
        <w:lastRenderedPageBreak/>
        <w:t>第二十五条</w:t>
      </w:r>
      <w:r>
        <w:rPr>
          <w:rFonts w:ascii="Calibri" w:eastAsia="仿宋" w:hAnsi="Calibri" w:cs="Calibri"/>
          <w:color w:val="333333"/>
          <w:sz w:val="32"/>
          <w:szCs w:val="32"/>
        </w:rPr>
        <w:t>   </w:t>
      </w:r>
      <w:r>
        <w:rPr>
          <w:rFonts w:ascii="仿宋" w:eastAsia="仿宋" w:hAnsi="仿宋" w:hint="eastAsia"/>
          <w:color w:val="333333"/>
          <w:sz w:val="32"/>
          <w:szCs w:val="32"/>
        </w:rPr>
        <w:t xml:space="preserve"> 政府投资的公共建筑、保障性安居工程、建筑节能与绿色建筑示范性工程、城市基础设施建设等项目，应当优先采用符合国家、省相关标准的建筑垃圾再生利用产品。</w:t>
      </w:r>
      <w:r>
        <w:rPr>
          <w:rFonts w:ascii="Calibri" w:eastAsia="仿宋" w:hAnsi="Calibri" w:cs="Calibri"/>
          <w:color w:val="333333"/>
          <w:sz w:val="32"/>
          <w:szCs w:val="32"/>
        </w:rPr>
        <w:t> </w:t>
      </w:r>
    </w:p>
    <w:p w14:paraId="5E140AFE"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黑体" w:eastAsia="黑体" w:hAnsi="黑体" w:hint="eastAsia"/>
          <w:color w:val="333333"/>
          <w:sz w:val="32"/>
          <w:szCs w:val="32"/>
        </w:rPr>
        <w:t>第二十六条</w:t>
      </w:r>
      <w:r>
        <w:rPr>
          <w:rFonts w:ascii="Calibri" w:eastAsia="仿宋" w:hAnsi="Calibri" w:cs="Calibri"/>
          <w:color w:val="333333"/>
          <w:sz w:val="32"/>
          <w:szCs w:val="32"/>
        </w:rPr>
        <w:t>   </w:t>
      </w:r>
      <w:r>
        <w:rPr>
          <w:rFonts w:ascii="仿宋" w:eastAsia="仿宋" w:hAnsi="仿宋" w:hint="eastAsia"/>
          <w:color w:val="333333"/>
          <w:sz w:val="32"/>
          <w:szCs w:val="32"/>
        </w:rPr>
        <w:t xml:space="preserve"> 城市管理行政主管部门应当加强对建筑垃圾产生、运输、中转、消纳、利用等处置活动的日常监管，并会同相关部门建立建设单位、施工单位、运输企业、消纳场的考核评价机制，依法纳入行业监管平台和社会信用体系。</w:t>
      </w:r>
      <w:r>
        <w:rPr>
          <w:rFonts w:ascii="Calibri" w:eastAsia="仿宋" w:hAnsi="Calibri" w:cs="Calibri"/>
          <w:color w:val="333333"/>
          <w:sz w:val="32"/>
          <w:szCs w:val="32"/>
        </w:rPr>
        <w:t> </w:t>
      </w:r>
    </w:p>
    <w:p w14:paraId="41F69F25"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黑体" w:eastAsia="黑体" w:hAnsi="黑体" w:hint="eastAsia"/>
          <w:color w:val="333333"/>
          <w:sz w:val="32"/>
          <w:szCs w:val="32"/>
        </w:rPr>
        <w:t>第二十七条</w:t>
      </w:r>
      <w:r>
        <w:rPr>
          <w:rFonts w:ascii="Calibri" w:eastAsia="仿宋" w:hAnsi="Calibri" w:cs="Calibri"/>
          <w:color w:val="333333"/>
          <w:sz w:val="32"/>
          <w:szCs w:val="32"/>
        </w:rPr>
        <w:t>   </w:t>
      </w:r>
      <w:r>
        <w:rPr>
          <w:rFonts w:ascii="仿宋" w:eastAsia="仿宋" w:hAnsi="仿宋" w:hint="eastAsia"/>
          <w:color w:val="333333"/>
          <w:sz w:val="32"/>
          <w:szCs w:val="32"/>
        </w:rPr>
        <w:t xml:space="preserve"> 市城市管理行政主管部门应当将建筑垃圾监督管理工作纳入数字化城市管理系统，并向社会公开下列信息：</w:t>
      </w:r>
    </w:p>
    <w:p w14:paraId="2D44255C"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（一）建筑垃圾排放量核算标准及排放处置核准情况；</w:t>
      </w:r>
    </w:p>
    <w:p w14:paraId="2A5A08E0"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（二）运输企业名录及运输车辆信息；</w:t>
      </w:r>
    </w:p>
    <w:p w14:paraId="5B1333AB"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（三）临时消纳场、长期消纳场的地点、容量信息；</w:t>
      </w:r>
    </w:p>
    <w:p w14:paraId="0AB20D1A"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（四）建筑垃圾消纳供需和综合利用信息；</w:t>
      </w:r>
    </w:p>
    <w:p w14:paraId="6BAD5A16"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（五）建筑垃圾处置违法行为查处情况；</w:t>
      </w:r>
    </w:p>
    <w:p w14:paraId="7465EE4F"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（六）其他应当公开的信息。</w:t>
      </w:r>
    </w:p>
    <w:p w14:paraId="05743155"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仿宋" w:eastAsia="仿宋" w:hAnsi="仿宋" w:hint="eastAsia"/>
          <w:color w:val="333333"/>
          <w:sz w:val="32"/>
          <w:szCs w:val="32"/>
        </w:rPr>
        <w:t>公安、住房城乡建设、交通运输、行政审批服务等部门应当及时提供建筑垃圾管理相关信息，实现信息互通共享。</w:t>
      </w:r>
      <w:r>
        <w:rPr>
          <w:rFonts w:ascii="Calibri" w:eastAsia="仿宋" w:hAnsi="Calibri" w:cs="Calibri"/>
          <w:color w:val="333333"/>
          <w:sz w:val="32"/>
          <w:szCs w:val="32"/>
        </w:rPr>
        <w:t> </w:t>
      </w:r>
    </w:p>
    <w:p w14:paraId="55953B41"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黑体" w:eastAsia="黑体" w:hAnsi="黑体" w:hint="eastAsia"/>
          <w:color w:val="333333"/>
          <w:sz w:val="32"/>
          <w:szCs w:val="32"/>
        </w:rPr>
        <w:lastRenderedPageBreak/>
        <w:t>第二十八条</w:t>
      </w:r>
      <w:r>
        <w:rPr>
          <w:rFonts w:ascii="Calibri" w:eastAsia="仿宋" w:hAnsi="Calibri" w:cs="Calibri"/>
          <w:color w:val="333333"/>
          <w:sz w:val="32"/>
          <w:szCs w:val="32"/>
        </w:rPr>
        <w:t>   </w:t>
      </w:r>
      <w:r>
        <w:rPr>
          <w:rFonts w:ascii="仿宋" w:eastAsia="仿宋" w:hAnsi="仿宋" w:hint="eastAsia"/>
          <w:color w:val="333333"/>
          <w:sz w:val="32"/>
          <w:szCs w:val="32"/>
        </w:rPr>
        <w:t xml:space="preserve"> 城市管理行政主管部门应当与公安、住房城乡建设、生态环境、交通运输等部门建立执法联动工作机制，开展建筑垃圾管理联合执法，及时发现和查处违法违规行为。</w:t>
      </w:r>
      <w:r>
        <w:rPr>
          <w:rFonts w:ascii="Calibri" w:eastAsia="仿宋" w:hAnsi="Calibri" w:cs="Calibri"/>
          <w:color w:val="333333"/>
          <w:sz w:val="32"/>
          <w:szCs w:val="32"/>
        </w:rPr>
        <w:t> </w:t>
      </w:r>
    </w:p>
    <w:p w14:paraId="590F215A"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黑体" w:eastAsia="黑体" w:hAnsi="黑体" w:hint="eastAsia"/>
          <w:color w:val="333333"/>
          <w:sz w:val="32"/>
          <w:szCs w:val="32"/>
        </w:rPr>
        <w:t>第二十九条</w:t>
      </w:r>
      <w:r>
        <w:rPr>
          <w:rFonts w:ascii="Calibri" w:eastAsia="仿宋" w:hAnsi="Calibri" w:cs="Calibri"/>
          <w:color w:val="333333"/>
          <w:sz w:val="32"/>
          <w:szCs w:val="32"/>
        </w:rPr>
        <w:t>   </w:t>
      </w:r>
      <w:r>
        <w:rPr>
          <w:rFonts w:ascii="仿宋" w:eastAsia="仿宋" w:hAnsi="仿宋" w:hint="eastAsia"/>
          <w:color w:val="333333"/>
          <w:sz w:val="32"/>
          <w:szCs w:val="32"/>
        </w:rPr>
        <w:t xml:space="preserve"> 对违反本办法规定的行为，法律、法规已经规定法律责任的，适用其规定。</w:t>
      </w:r>
      <w:r>
        <w:rPr>
          <w:rFonts w:ascii="Calibri" w:eastAsia="仿宋" w:hAnsi="Calibri" w:cs="Calibri"/>
          <w:color w:val="333333"/>
          <w:sz w:val="32"/>
          <w:szCs w:val="32"/>
        </w:rPr>
        <w:t> </w:t>
      </w:r>
    </w:p>
    <w:p w14:paraId="347F5363"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黑体" w:eastAsia="黑体" w:hAnsi="黑体" w:hint="eastAsia"/>
          <w:color w:val="333333"/>
          <w:sz w:val="32"/>
          <w:szCs w:val="32"/>
        </w:rPr>
        <w:t>第三十条</w:t>
      </w:r>
      <w:r>
        <w:rPr>
          <w:rFonts w:ascii="Calibri" w:eastAsia="仿宋" w:hAnsi="Calibri" w:cs="Calibri"/>
          <w:color w:val="333333"/>
          <w:sz w:val="32"/>
          <w:szCs w:val="32"/>
        </w:rPr>
        <w:t>   </w:t>
      </w:r>
      <w:r>
        <w:rPr>
          <w:rFonts w:ascii="仿宋" w:eastAsia="仿宋" w:hAnsi="仿宋" w:hint="eastAsia"/>
          <w:color w:val="333333"/>
          <w:sz w:val="32"/>
          <w:szCs w:val="32"/>
        </w:rPr>
        <w:t xml:space="preserve"> 各县（市）建筑垃圾的管理工作，参照本办法执行。</w:t>
      </w:r>
      <w:r>
        <w:rPr>
          <w:rFonts w:ascii="Calibri" w:eastAsia="仿宋" w:hAnsi="Calibri" w:cs="Calibri"/>
          <w:color w:val="333333"/>
          <w:sz w:val="32"/>
          <w:szCs w:val="32"/>
        </w:rPr>
        <w:t> </w:t>
      </w:r>
    </w:p>
    <w:p w14:paraId="13AEC0B4" w14:textId="77777777" w:rsidR="00BB170F" w:rsidRDefault="00BB170F" w:rsidP="00BB170F">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黑体" w:eastAsia="黑体" w:hAnsi="黑体" w:hint="eastAsia"/>
          <w:color w:val="333333"/>
          <w:sz w:val="32"/>
          <w:szCs w:val="32"/>
        </w:rPr>
        <w:t>第三十一条</w:t>
      </w:r>
      <w:r>
        <w:rPr>
          <w:rFonts w:ascii="Calibri" w:eastAsia="仿宋" w:hAnsi="Calibri" w:cs="Calibri"/>
          <w:color w:val="333333"/>
          <w:sz w:val="32"/>
          <w:szCs w:val="32"/>
        </w:rPr>
        <w:t>   </w:t>
      </w:r>
      <w:r>
        <w:rPr>
          <w:rFonts w:ascii="仿宋" w:eastAsia="仿宋" w:hAnsi="仿宋" w:hint="eastAsia"/>
          <w:color w:val="333333"/>
          <w:sz w:val="32"/>
          <w:szCs w:val="32"/>
        </w:rPr>
        <w:t xml:space="preserve"> 本办法自2021年4月1日起施行。</w:t>
      </w:r>
    </w:p>
    <w:p w14:paraId="29D2021F" w14:textId="4527D04B" w:rsidR="001D46DC" w:rsidRPr="00BB170F" w:rsidRDefault="001D46DC">
      <w:pPr>
        <w:ind w:firstLineChars="200" w:firstLine="640"/>
        <w:rPr>
          <w:rFonts w:ascii="仿宋_GB2312" w:eastAsia="仿宋_GB2312" w:hAnsi="仿宋_GB2312" w:cs="仿宋_GB2312"/>
          <w:color w:val="333333"/>
          <w:sz w:val="32"/>
          <w:szCs w:val="32"/>
          <w:shd w:val="clear" w:color="auto" w:fill="FFFFFF"/>
        </w:rPr>
      </w:pPr>
    </w:p>
    <w:sectPr w:rsidR="001D46DC" w:rsidRPr="00BB170F">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4A4DB" w14:textId="77777777" w:rsidR="00C87911" w:rsidRDefault="00C87911">
      <w:r>
        <w:separator/>
      </w:r>
    </w:p>
  </w:endnote>
  <w:endnote w:type="continuationSeparator" w:id="0">
    <w:p w14:paraId="42F1ED0F" w14:textId="77777777" w:rsidR="00C87911" w:rsidRDefault="00C8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ZXBSJW">
    <w:altName w:val="Cambria"/>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2DB3" w14:textId="77777777" w:rsidR="001D46DC" w:rsidRDefault="005D6A29">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14:anchorId="4AB561EE" wp14:editId="2B7AC6D9">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91D591B" w14:textId="77777777" w:rsidR="001D46DC" w:rsidRDefault="005D6A2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AB561E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791D591B" w14:textId="77777777" w:rsidR="001D46DC" w:rsidRDefault="005D6A2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2228FBE7" w14:textId="230FA2F3" w:rsidR="001D46DC" w:rsidRDefault="005D6A29">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14:anchorId="202B2F14" wp14:editId="33B9C73E">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88ECD0"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977098">
      <w:rPr>
        <w:rFonts w:ascii="宋体" w:eastAsia="宋体" w:hAnsi="宋体" w:cs="宋体" w:hint="eastAsia"/>
        <w:b/>
        <w:bCs/>
        <w:color w:val="005192"/>
        <w:sz w:val="28"/>
        <w:szCs w:val="44"/>
      </w:rPr>
      <w:t>泰安</w:t>
    </w:r>
    <w:r>
      <w:rPr>
        <w:rFonts w:ascii="宋体" w:eastAsia="宋体" w:hAnsi="宋体" w:cs="宋体" w:hint="eastAsia"/>
        <w:b/>
        <w:bCs/>
        <w:color w:val="005192"/>
        <w:sz w:val="28"/>
        <w:szCs w:val="44"/>
      </w:rPr>
      <w:t xml:space="preserve">市人民政府发布     </w:t>
    </w:r>
  </w:p>
  <w:p w14:paraId="19549886" w14:textId="77777777" w:rsidR="001D46DC" w:rsidRDefault="001D46DC">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85E87" w14:textId="77777777" w:rsidR="00C87911" w:rsidRDefault="00C87911">
      <w:r>
        <w:separator/>
      </w:r>
    </w:p>
  </w:footnote>
  <w:footnote w:type="continuationSeparator" w:id="0">
    <w:p w14:paraId="3D87212F" w14:textId="77777777" w:rsidR="00C87911" w:rsidRDefault="00C87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13D5" w14:textId="77777777" w:rsidR="001D46DC" w:rsidRDefault="005D6A29">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14:anchorId="0E5E86DE" wp14:editId="5B68A8F8">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10590A"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1B84AFE5" w14:textId="5FEE4AC3" w:rsidR="001D46DC" w:rsidRDefault="005D6A29">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59272662" wp14:editId="4DF853D8">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4144CC">
      <w:rPr>
        <w:rFonts w:ascii="宋体" w:eastAsia="宋体" w:hAnsi="宋体" w:cs="宋体" w:hint="eastAsia"/>
        <w:b/>
        <w:bCs/>
        <w:color w:val="005192"/>
        <w:sz w:val="32"/>
        <w:szCs w:val="32"/>
      </w:rPr>
      <w:t>泰安</w:t>
    </w:r>
    <w:r>
      <w:rPr>
        <w:rFonts w:ascii="宋体" w:eastAsia="宋体" w:hAnsi="宋体" w:cs="宋体" w:hint="eastAsia"/>
        <w:b/>
        <w:bCs/>
        <w:color w:val="005192"/>
        <w:sz w:val="32"/>
        <w:szCs w:val="32"/>
      </w:rPr>
      <w:t>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72A27"/>
    <w:rsid w:val="001D46DC"/>
    <w:rsid w:val="004144CC"/>
    <w:rsid w:val="005D6A29"/>
    <w:rsid w:val="00977098"/>
    <w:rsid w:val="00A00869"/>
    <w:rsid w:val="00A92AEA"/>
    <w:rsid w:val="00BB170F"/>
    <w:rsid w:val="00C87911"/>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4D17F6"/>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A11CB"/>
  <w15:docId w15:val="{F4AE059A-5214-4053-8E16-095F6879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link w:val="30"/>
    <w:uiPriority w:val="9"/>
    <w:qFormat/>
    <w:rsid w:val="00BB170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30">
    <w:name w:val="标题 3 字符"/>
    <w:basedOn w:val="a0"/>
    <w:link w:val="3"/>
    <w:uiPriority w:val="9"/>
    <w:rsid w:val="00BB170F"/>
    <w:rPr>
      <w:rFonts w:ascii="宋体" w:hAnsi="宋体" w:cs="宋体"/>
      <w:b/>
      <w:bCs/>
      <w:sz w:val="27"/>
      <w:szCs w:val="27"/>
    </w:rPr>
  </w:style>
  <w:style w:type="paragraph" w:styleId="a6">
    <w:name w:val="Normal (Web)"/>
    <w:basedOn w:val="a"/>
    <w:uiPriority w:val="99"/>
    <w:unhideWhenUsed/>
    <w:rsid w:val="00BB170F"/>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5139">
      <w:bodyDiv w:val="1"/>
      <w:marLeft w:val="0"/>
      <w:marRight w:val="0"/>
      <w:marTop w:val="0"/>
      <w:marBottom w:val="0"/>
      <w:divBdr>
        <w:top w:val="none" w:sz="0" w:space="0" w:color="auto"/>
        <w:left w:val="none" w:sz="0" w:space="0" w:color="auto"/>
        <w:bottom w:val="none" w:sz="0" w:space="0" w:color="auto"/>
        <w:right w:val="none" w:sz="0" w:space="0" w:color="auto"/>
      </w:divBdr>
    </w:div>
    <w:div w:id="223494111">
      <w:bodyDiv w:val="1"/>
      <w:marLeft w:val="0"/>
      <w:marRight w:val="0"/>
      <w:marTop w:val="0"/>
      <w:marBottom w:val="0"/>
      <w:divBdr>
        <w:top w:val="none" w:sz="0" w:space="0" w:color="auto"/>
        <w:left w:val="none" w:sz="0" w:space="0" w:color="auto"/>
        <w:bottom w:val="none" w:sz="0" w:space="0" w:color="auto"/>
        <w:right w:val="none" w:sz="0" w:space="0" w:color="auto"/>
      </w:divBdr>
    </w:div>
    <w:div w:id="496773811">
      <w:bodyDiv w:val="1"/>
      <w:marLeft w:val="0"/>
      <w:marRight w:val="0"/>
      <w:marTop w:val="0"/>
      <w:marBottom w:val="0"/>
      <w:divBdr>
        <w:top w:val="none" w:sz="0" w:space="0" w:color="auto"/>
        <w:left w:val="none" w:sz="0" w:space="0" w:color="auto"/>
        <w:bottom w:val="none" w:sz="0" w:space="0" w:color="auto"/>
        <w:right w:val="none" w:sz="0" w:space="0" w:color="auto"/>
      </w:divBdr>
    </w:div>
    <w:div w:id="1374891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王 永民</cp:lastModifiedBy>
  <cp:revision>3</cp:revision>
  <cp:lastPrinted>2021-10-26T03:30:00Z</cp:lastPrinted>
  <dcterms:created xsi:type="dcterms:W3CDTF">2021-12-07T07:02:00Z</dcterms:created>
  <dcterms:modified xsi:type="dcterms:W3CDTF">2021-12-07T07:02:00Z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48C61CB29D3F4D9384F5922CF0F7FFB4</vt:lpwstr>
  </property>
</Properties>
</file>