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bookmarkEnd w:id="0"/>
    </w:p>
    <w:p>
      <w:pPr>
        <w:spacing w:after="0"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关于提振消费的实施方案</w:t>
      </w:r>
    </w:p>
    <w:p>
      <w:pPr>
        <w:spacing w:after="0" w:line="600" w:lineRule="exact"/>
        <w:jc w:val="center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（讨论稿）</w:t>
      </w:r>
    </w:p>
    <w:p>
      <w:pPr>
        <w:spacing w:after="0" w:line="580" w:lineRule="exact"/>
        <w:ind w:firstLine="880" w:firstLineChars="200"/>
        <w:jc w:val="both"/>
        <w:rPr>
          <w:rFonts w:ascii="Times New Roman" w:hAnsi="Times New Roman" w:eastAsia="方正小标宋_GBK"/>
          <w:kern w:val="0"/>
          <w:sz w:val="44"/>
          <w:szCs w:val="44"/>
        </w:rPr>
      </w:pPr>
    </w:p>
    <w:p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《山东省人民政府印发〈关于提振消费的实施方案〉的通知》（鲁政字〔2025〕23号），为全方位推动我市消费扩量提质增效，统筹推进消费体制机制建设，更好发挥消费对经济发展的基础性作用，制定本实施方案。</w:t>
      </w:r>
    </w:p>
    <w:p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一、总体要求</w:t>
      </w:r>
    </w:p>
    <w:p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深入贯彻落实党中央、国务院和省委、省政府关于“深入实施提振消费行动”的决策部署。</w:t>
      </w:r>
      <w:r>
        <w:rPr>
          <w:rFonts w:ascii="Times New Roman" w:hAnsi="Times New Roman" w:eastAsia="楷体_GB2312"/>
          <w:kern w:val="0"/>
          <w:sz w:val="32"/>
          <w:szCs w:val="32"/>
        </w:rPr>
        <w:t>着力推进供需协同发力，</w:t>
      </w:r>
      <w:r>
        <w:rPr>
          <w:rFonts w:ascii="Times New Roman" w:hAnsi="Times New Roman" w:eastAsia="仿宋_GB2312"/>
          <w:kern w:val="0"/>
          <w:sz w:val="32"/>
          <w:szCs w:val="32"/>
        </w:rPr>
        <w:t>建立以市场需求为导向的创业生态，创造新需求、培育新市场，精准挖掘需求潜力，推进有效供给，激发和释放新的消费增长潜力。</w:t>
      </w:r>
      <w:r>
        <w:rPr>
          <w:rFonts w:ascii="Times New Roman" w:hAnsi="Times New Roman" w:eastAsia="楷体_GB2312"/>
          <w:kern w:val="0"/>
          <w:sz w:val="32"/>
          <w:szCs w:val="32"/>
        </w:rPr>
        <w:t>着力推进上下一体联动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集聚政府、企业优势资源，市县一体构建客流共享、活动共联、载体共建的“商文旅体健”促消费融合大格局，充分激发消费市场活力。</w:t>
      </w:r>
      <w:r>
        <w:rPr>
          <w:rFonts w:ascii="Times New Roman" w:hAnsi="Times New Roman" w:eastAsia="楷体_GB2312"/>
          <w:kern w:val="0"/>
          <w:sz w:val="32"/>
          <w:szCs w:val="32"/>
        </w:rPr>
        <w:t>着力推进“政策+活动”双驱</w:t>
      </w:r>
      <w:r>
        <w:rPr>
          <w:rFonts w:ascii="Times New Roman" w:hAnsi="Times New Roman" w:eastAsia="楷体_GB2312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在商务、教育、民政、文旅、体育等领域推出一批新政策和促销活动，政策引导、活动推进，不断满足居民消费日益增长的多样化、多层次、高品质需求。</w:t>
      </w:r>
      <w:r>
        <w:rPr>
          <w:rFonts w:ascii="Times New Roman" w:hAnsi="Times New Roman" w:eastAsia="楷体_GB2312"/>
          <w:kern w:val="0"/>
          <w:sz w:val="32"/>
          <w:szCs w:val="32"/>
        </w:rPr>
        <w:t>着力推进消费环境优化</w:t>
      </w:r>
      <w:r>
        <w:rPr>
          <w:rFonts w:ascii="Times New Roman" w:hAnsi="Times New Roman" w:eastAsia="楷体_GB2312"/>
          <w:bCs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让消费者敢消费、愿消费、能消费，乐享高品质消费，提升人民群众从消费中感受到的获得感、幸福感、安全感。 </w:t>
      </w:r>
    </w:p>
    <w:p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2025年，全市消费规模稳步壮大，实现社会消费品零售总额增长超过全省平均水平，增长幅度力争达到8%。文旅消费提质增量，国内旅游收入增幅达到8%，推动消费市场繁荣向好。</w:t>
      </w:r>
    </w:p>
    <w:p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二、重点任务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1.丰富标志性促消费活动。</w:t>
      </w:r>
      <w:r>
        <w:rPr>
          <w:rFonts w:ascii="Times New Roman" w:hAnsi="Times New Roman" w:eastAsia="仿宋_GB2312"/>
          <w:kern w:val="0"/>
          <w:sz w:val="32"/>
          <w:szCs w:val="32"/>
        </w:rPr>
        <w:t>把握四季消费和节庆消费特点，每季突出一个消费亮点、每月确定一个消费主题，全年开展重点促消费活动200场次以上，</w:t>
      </w:r>
      <w:r>
        <w:rPr>
          <w:rFonts w:ascii="Times New Roman" w:hAnsi="Times New Roman" w:eastAsia="仿宋_GB2312"/>
          <w:sz w:val="32"/>
          <w:szCs w:val="32"/>
        </w:rPr>
        <w:t>筹备办好“2025泰安市迎新春消费季”“2025第三届泰山动漫节”“第三十九届泰山国际登山节”“泰山商贸大集”等系列活动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争取2025年全国文化和旅游消费季主场活动在泰安举办</w:t>
      </w:r>
      <w:r>
        <w:rPr>
          <w:rFonts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推出一批</w:t>
      </w:r>
      <w:r>
        <w:rPr>
          <w:rFonts w:ascii="Times New Roman" w:hAnsi="Times New Roman" w:eastAsia="仿宋_GB2312"/>
          <w:kern w:val="0"/>
          <w:sz w:val="32"/>
          <w:szCs w:val="32"/>
        </w:rPr>
        <w:t>跨部门合作、跨行业联动的亮点促消费活动，打造全省全国具有重大影响力的泰山“吃住玩游娱购”消费品牌。全年围绕文旅、餐饮、购物、体育等领域，以市场化方式推出减免、折扣、补贴等多种促销优惠措施，</w:t>
      </w:r>
      <w:r>
        <w:rPr>
          <w:rFonts w:ascii="Times New Roman" w:hAnsi="Times New Roman" w:eastAsia="仿宋_GB2312"/>
          <w:sz w:val="32"/>
          <w:szCs w:val="32"/>
        </w:rPr>
        <w:t>市级（含功能区）发放各类消费券2000万元以上，各县市区发放消费券不低于500万元。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（牵头单位：市商务局；责任单位：市委宣传部、市财政局、市文化和旅游局、市体育局，各县市区政府、功能区管委会）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2.加大消费品以旧换新力度。</w:t>
      </w:r>
      <w:r>
        <w:rPr>
          <w:rFonts w:ascii="Times New Roman" w:hAnsi="Times New Roman" w:eastAsia="仿宋_GB2312"/>
          <w:kern w:val="0"/>
          <w:sz w:val="32"/>
          <w:szCs w:val="32"/>
        </w:rPr>
        <w:t>继续实施汽车、家电、家装、电动自行车等换新政策，新增净水器、洗碗机、电饭煲、微波炉４类家电产品以旧换新，实施手机、平板、智能手表（手环）等数码产品购新补贴。加大对上争取力度，最大限度争取国家和省级消费品以旧换新补贴资金。根据需要和市场情况，适时扩大补贴范围和标准，鼓励各县市区、功能区自主扩大补贴范围。提高支付效率和便民化程度，满足消费者换新需求。发挥政策资金引导作用，与企业让利促销有机结合，与金融优化赋能相互促进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（牵头单位：市商务局；责任单位：市发展改革委、市财政局，各县市区政府、功能区管委会）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3.多载体推进文旅消费升级。</w:t>
      </w:r>
      <w:r>
        <w:rPr>
          <w:rFonts w:ascii="Times New Roman" w:hAnsi="Times New Roman" w:eastAsia="仿宋_GB2312"/>
          <w:kern w:val="0"/>
          <w:sz w:val="32"/>
          <w:szCs w:val="32"/>
        </w:rPr>
        <w:t>积极组织参加省“沿着黄河遇见海”宣传推广活动，全年举办文旅节庆和推广活动30场以上。通过市场化方式，对3A级（含）以上景区、三星级（含）以上旅游饭店、温泉、等级民宿、旅行社等场景消费，享受银行卡支付减免优惠。根据需要，适时完善各类景区景点优惠政策。探索“知名景区＋工业旅游”结对模式，培育优质工业旅游目的地7处。全年开展30场以上“乡村好时节”系列主题活动，推介4条以上休闲农业精品路线。借助旅游专线列车展示平台，宣传泰安文旅新形象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（牵头单位：市委宣传部、市文化和旅游局；责任单位：市工业和信息化局、市交通运输局、市农业农村局、市财政局，各县市区政府、功能区管委会）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4.挖掘释放餐饮住宿活力。</w:t>
      </w:r>
      <w:r>
        <w:rPr>
          <w:rFonts w:ascii="Times New Roman" w:hAnsi="Times New Roman" w:eastAsia="仿宋_GB2312"/>
          <w:kern w:val="0"/>
          <w:sz w:val="32"/>
          <w:szCs w:val="32"/>
        </w:rPr>
        <w:t>开展泰安市“名菜”“名厨”“名店”“名小吃”评选，打造特色餐饮品牌。举办“泰山美食季”活动，市县联动全年组织不少于12场餐饮促消费活动。宣传推介“泰山豆腐宴”“东平粥”“随河船鱼宴”等非遗“地标美食”。推进落实“乐宿山东”提升行动，支持各县市区及功能区引入国际、国内高端品牌酒店，对新建、新评、升级改造的高星级旅游饭店及等级旅游民宿落实政策资金奖励，实现县市区高星级饭店全覆盖，2025年底全市星级旅游饭店（等级旅游民宿）数量达到57家以上。开展好客山东精品酒店、乡村酒店评定工作，对通过评定性复核的高星级饭店落实资金奖励。市县两级适时发放住宿餐饮消费券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（牵头单位：市商务局；责任单位：市文化和旅游局，各县市区政府、功能区管委会）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5.丰富养老托幼产品供给。</w:t>
      </w:r>
      <w:r>
        <w:rPr>
          <w:rFonts w:ascii="Times New Roman" w:hAnsi="Times New Roman" w:eastAsia="仿宋_GB2312"/>
          <w:kern w:val="0"/>
          <w:sz w:val="32"/>
          <w:szCs w:val="32"/>
        </w:rPr>
        <w:t>增加养老服务设施有效供给，大力推行老年助餐、助浴、助医、助洁等服务。研究制定有关政策，充分激发市场潜力，大力度增加高品质医养结合服务供给。2025年实施特殊老年人家庭适老化改造1000户，建设社区嵌入式养老服务机构12家，两证齐全的医养结合机构达到68个，每千人口3岁以下婴幼儿托位数达到4.6个。大力发展员工制家政企业，推行电子版“居家上门服务证”，推广家政领域智能设备，培育2家以上“潮享新家政”体验中心。推动高等院校、科研机构、社会组织开放优质教育资源，打造“老年夜校”和中小学非学科类优质公益课后服务，丰富“一老一小”文化生活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（牵头单位：市民政局、市卫生健康委；责任单位：市教育局、市商务局，各县市区政府、功能区管委会）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6.增强首发经济带动力。</w:t>
      </w:r>
      <w:r>
        <w:rPr>
          <w:rFonts w:ascii="Times New Roman" w:hAnsi="Times New Roman" w:eastAsia="仿宋_GB2312"/>
          <w:kern w:val="0"/>
          <w:sz w:val="32"/>
          <w:szCs w:val="32"/>
        </w:rPr>
        <w:t>充分利用我市支持发展首店首发经济的政策措施，聚焦重要商圈，围绕零售餐饮、文体娱乐等业态，招引全球性、全国性和区域性的品牌、旗舰等首店20家以上入驻。开展夜间文旅消费集聚区品质提升行动，支持集聚区打造2-3个精品演艺项目和沉浸式体验项目。鼓励引导文创企业积极参与创意市集活动，依托全市文创旅游商品大赛、精品旅游文创大赛等，引导文创企业开发“潮品”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（牵头单位：市商务局；责任单位：市委宣传部、市发展改革委、市文化和旅游局，各县市区政府、功能区管委会）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7.打造数智消费新场景。</w:t>
      </w:r>
      <w:r>
        <w:rPr>
          <w:rFonts w:ascii="Times New Roman" w:hAnsi="Times New Roman" w:eastAsia="仿宋_GB2312"/>
          <w:kern w:val="0"/>
          <w:sz w:val="32"/>
          <w:szCs w:val="32"/>
        </w:rPr>
        <w:t>发挥财源智慧商圈的引领示范作用，引导企业探索“人工智能+消费”，打造数字化景观展示、沉浸式体验、智能支付等智慧消费生态体系，全年打造1-2个数字化、智慧化水平较高的区域性商圈，建设数字农业应用场景8个以上。加快社交电商、私域电商、内容电商、即时零售等新模式发展，培育引进一批链主型电商企业，打造6个“泰安好品”电商直播中心。依托MCN机构、网红达人等资源，市县联动开展大型电商直播促销活动12场以上。引导文博场馆、A级景区、旅游休闲街区和夜间文旅消费集聚区等场景打造沉浸式体验空间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（牵头单位：市商务局；责任单位：市工业和信息化局、市财政局、市交通运输局、市农业农村局、市文化和旅游局，各县市区政府、功能区管委会）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8.激发绿色消费潜力。</w:t>
      </w:r>
      <w:r>
        <w:rPr>
          <w:rFonts w:ascii="Times New Roman" w:hAnsi="Times New Roman" w:eastAsia="仿宋_GB2312"/>
          <w:kern w:val="0"/>
          <w:sz w:val="32"/>
          <w:szCs w:val="32"/>
        </w:rPr>
        <w:t>借力汽车、家电和家装以旧换新政策，持续开展新能源汽车、绿色智能家电和绿色建材等系列下乡活动，全年打造20家以上绿色（无废）商场、绿色（无废）饭店。支持建设国家新能源汽车县域充换电设施补短板试点县。加强废弃物有效分类回收、废弃物资源化再利用、重点废弃物循环利用、资源循环利用产业发展，2025年年底前初步建成覆盖各领域、各环节的废弃物循环利用体系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（牵头单位：市商务局；责任单位：市工业和信息化局、市财政局、市住房城乡建设局、市交通运输局，各县市区政府、功能区管委会）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9.拓展健康消费领域。</w:t>
      </w:r>
      <w:r>
        <w:rPr>
          <w:rFonts w:ascii="Times New Roman" w:hAnsi="Times New Roman" w:eastAsia="仿宋_GB2312"/>
          <w:kern w:val="0"/>
          <w:sz w:val="32"/>
          <w:szCs w:val="32"/>
        </w:rPr>
        <w:t>深化“互联网+医疗健康”惠民便民服务，围绕“智慧保险+普惠生活”，开展“商业健康保险就医费用一站式结算”。健全完善基层中医药服务网络，实现全市100%乡镇卫生院设置中医馆（国医堂），100%村卫生室提供中医药服务。大力发展“中医药+”新业态，加快“鲁十味”首批齐鲁康养打卡地培育项目建设，推动中医药向养生保健、健康食品、康养旅游等领域跨界延伸。聚焦医药产业发展，支持打造泰山药谷产业园，鼓励企业积极参与打造“美妆山东”品牌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（牵头单位：市卫生健康委；责任单位：市工业和信息化局、市民政局、市商务局、市文化和旅游局，各县市区政府、功能区管委会）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10.创新体育赛事经济。</w:t>
      </w:r>
      <w:r>
        <w:rPr>
          <w:rFonts w:ascii="Times New Roman" w:hAnsi="Times New Roman" w:eastAsia="仿宋_GB2312"/>
          <w:kern w:val="0"/>
          <w:sz w:val="32"/>
          <w:szCs w:val="32"/>
        </w:rPr>
        <w:t>依托全市优质山水陆空户外运动资源，积极发展山地、水上、冰雪、汽摩、攀岩等户外运动项目，积极争创国家和省级户外运动休闲旅游线路、运动营地和体育旅游目的地。依托泰山IP，建设打造“中华泰山、国泰民安”赛事体系，全年举办参与人数千人以上的大型赛事50场以上，省级及以上高水平赛事60场以上，决战泰山之巅系列赛、“体总杯”系列赛、社区家门口运动会等各类群众性赛事活动5000场以上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（牵头单位：市体育局；责任单位：市商务局、市文化和旅游局，各县市区政府、功能区管委会）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11.推动城市商业转型升级。</w:t>
      </w:r>
      <w:r>
        <w:rPr>
          <w:rFonts w:ascii="Times New Roman" w:hAnsi="Times New Roman" w:eastAsia="仿宋_GB2312"/>
          <w:kern w:val="0"/>
          <w:sz w:val="32"/>
          <w:szCs w:val="32"/>
        </w:rPr>
        <w:t>创新发展零售业，全年改造存量零售商业设施5家以上。大力发展品牌连锁经营，培育壮大5家以上省内有较大影响力的标准化、规模化骨干企业，建设一批购物、餐饮、社交、娱乐等“一站式”城市消费新地标。打造6条以上特色步行街，支持商业综合体、商圈、景区、街区、文化产业园区等嵌入文创、剧场、展览、特色书店、运动健身、文化主题餐饮等业态，提升一刻钟便民生活圈水平。</w:t>
      </w:r>
      <w:r>
        <w:rPr>
          <w:rFonts w:ascii="Times New Roman" w:hAnsi="Times New Roman" w:eastAsia="楷体_GB2312"/>
          <w:kern w:val="0"/>
          <w:sz w:val="32"/>
          <w:szCs w:val="32"/>
        </w:rPr>
        <w:t xml:space="preserve">（牵头单位：市商务局；责任单位：市文化和旅游局，各县市区政府、功能区管委会） 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12.加快县域商业改造提升。实</w:t>
      </w:r>
      <w:r>
        <w:rPr>
          <w:rFonts w:ascii="Times New Roman" w:hAnsi="Times New Roman" w:eastAsia="仿宋_GB2312"/>
          <w:kern w:val="0"/>
          <w:sz w:val="32"/>
          <w:szCs w:val="32"/>
        </w:rPr>
        <w:t>施县域商业建设行动，重点支持改造县域商业项目5个以上，争创全国县域商业“领跑县”。打造省级乡村振兴片区4个，建设宜居宜业和美乡村，大力发展乡村特色游。深入实施电子商务乡村示范行动，组织开展电商示范村镇、乡村电商达人等评选活动，启动“优秀村干部直播带货”活动，打造县域电商直播中心和村播学院，搭建农产品直播供应链，助力特色优势农产品上行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（牵头单位：市商务局；责任单位：市农业农村局，各县市区政府、功能区管委会）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13.完善现代商贸流通体系。</w:t>
      </w:r>
      <w:r>
        <w:rPr>
          <w:rFonts w:ascii="Times New Roman" w:hAnsi="Times New Roman" w:eastAsia="仿宋_GB2312"/>
          <w:kern w:val="0"/>
          <w:sz w:val="32"/>
          <w:szCs w:val="32"/>
        </w:rPr>
        <w:t>加快市县物流配送中心、乡镇商贸中心建设，发展共同配送、仓配一体等集约化模式，建设数智化、规模化电商云仓7个以上，有效降低电商快递成本。引进国家5A级物流企业2个以上。推动物流业与制造业“两业融合”，发展“公铁水”多式联运，发挥泰山内陆港、泰安港（东平港）物流节点功能，提升城乡消费品进出效率，打造生活性消费品物流成本洼地。积极申建国家第二批现代商贸流通体系试点城市。落实省级农村客货邮融合发展奖补政策，同一县（市、区）最高补贴10条线路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（牵头单位：市商务局；责任单位：市财政局、市交通运输局、市邮政管理局，各县市区政府、功能区管委会）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14.优化提升产品品质。</w:t>
      </w:r>
      <w:r>
        <w:rPr>
          <w:rFonts w:ascii="Times New Roman" w:hAnsi="Times New Roman" w:eastAsia="仿宋_GB2312"/>
          <w:kern w:val="0"/>
          <w:sz w:val="32"/>
          <w:szCs w:val="32"/>
        </w:rPr>
        <w:t>大力培育“泰好品”质量公共品牌，积极争创“好品山东”品牌5个以上。</w:t>
      </w:r>
      <w:r>
        <w:rPr>
          <w:rFonts w:ascii="Times New Roman" w:hAnsi="Times New Roman" w:eastAsia="仿宋_GB2312"/>
          <w:sz w:val="32"/>
          <w:szCs w:val="32"/>
        </w:rPr>
        <w:t>持续打造“泰好吃”区域公用品牌，年内新授权“泰好吃”企业10家以上。</w:t>
      </w:r>
      <w:r>
        <w:rPr>
          <w:rFonts w:ascii="Times New Roman" w:hAnsi="Times New Roman" w:eastAsia="仿宋_GB2312"/>
          <w:kern w:val="0"/>
          <w:sz w:val="32"/>
          <w:szCs w:val="32"/>
        </w:rPr>
        <w:t>鼓励企业参与“泰山品质”认证促消费活动，发展有机产品、绿色产品等高端品质认证22个以上。深化内外贸产品“同线同标同质”，增加优质产品和服务供给。</w:t>
      </w:r>
      <w:r>
        <w:rPr>
          <w:rFonts w:ascii="Times New Roman" w:hAnsi="Times New Roman" w:eastAsia="仿宋_GB2312"/>
          <w:sz w:val="32"/>
          <w:szCs w:val="32"/>
        </w:rPr>
        <w:t>实施农机购置和应用补贴， 引导报废老旧农机4000台（套）以上，新购置农机具１万台（套）以上， 新发展绿色食品、有机食品数量20个以上。</w:t>
      </w:r>
      <w:r>
        <w:rPr>
          <w:rFonts w:ascii="Times New Roman" w:hAnsi="Times New Roman" w:eastAsia="仿宋_GB2312"/>
          <w:kern w:val="0"/>
          <w:sz w:val="32"/>
          <w:szCs w:val="32"/>
        </w:rPr>
        <w:t>推动57个市级以上“老字号”传承创新，打造一批服务消费“新字号”。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（牵头单位：市市场监管局、市农业农村局；责任单位：市商务局，各县市区政府、功能区管委会）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15.实施放心消费行动。</w:t>
      </w:r>
      <w:r>
        <w:rPr>
          <w:rFonts w:ascii="Times New Roman" w:hAnsi="Times New Roman" w:eastAsia="仿宋_GB2312"/>
          <w:kern w:val="0"/>
          <w:sz w:val="32"/>
          <w:szCs w:val="32"/>
        </w:rPr>
        <w:t>建立放心消费培育库，培育放心商店、放心市场、放心网店等1000家以上，动态发展线下购物无理由退货单位4.5万家、在线纠纷解决机制单位3800家以上，探索异地异店无理由退货。打造放心消费直播间10家，开展放心消费教育进社区、进企业、进学校活动。强化跨部门联合监管，严厉打击虚假违法广告、网络欺诈、泄露信息等行为，促进消费纠纷源头解决。探索恶意索赔处置工作机制，打击以投诉举报为名的敲诈勒索行为，维护良好营商环境和经营者合法权益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（牵头单位：市市场监管局；责任单位：市公安局、市商务局，各县市区政府、功能区管委会）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16.强化就业服务保障。</w:t>
      </w:r>
      <w:r>
        <w:rPr>
          <w:rFonts w:ascii="Times New Roman" w:hAnsi="Times New Roman" w:eastAsia="仿宋_GB2312"/>
          <w:kern w:val="0"/>
          <w:sz w:val="32"/>
          <w:szCs w:val="32"/>
        </w:rPr>
        <w:t>为用人单位和求职者搭建精准高效对接平台，线下开展“春风行动”“民营企业服务月”等招聘活动，线上利用“泰山集结号”等平台，及时发布岗位信息。深入开展“社区微业·乐业泰山”三年行动，建设15分钟就业服务圈，持续打造高质量充分就业社区。做好高校毕业生、农民工等重点人群就业工作，推进建设驻泰高校大学生就业创业赋能中心2个，实施齐鲁绿色低碳职业技能培训项目，组织开展职业技能培训2万人次。实施创业泰山行动，推进市级创业街区建设，到2025年底培育10家以上市级创业街区。实施重点群体就业创业税费优惠、创业担保贷款等政策，完善促进创业带动就业的保障制度。健全企业工资收入分配体系，完善最低工资标准调整机制，发布人力资源市场工资价位，推动企业开展集体协商，促进企业职工工资合理增长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（牵头单位：市人力资源社会保障局；责任单位：市教育局、市财政局、中国人民银行泰安市分行、市税务局，各县市区政府、功能区管委会）</w:t>
      </w:r>
    </w:p>
    <w:p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17.构筑消费支撑体系。</w:t>
      </w:r>
      <w:r>
        <w:rPr>
          <w:rFonts w:ascii="Times New Roman" w:hAnsi="Times New Roman" w:eastAsia="仿宋_GB2312"/>
          <w:kern w:val="0"/>
          <w:sz w:val="32"/>
          <w:szCs w:val="32"/>
        </w:rPr>
        <w:t>适时适度提高退休人员基本养老金、居民基础养老金、工伤保险定期待遇和城乡居民医保财政补助标准，扩大企业年金覆盖面，落实失业保险援企稳岗政策， 组织开展“社会保障卡·惠享山东行”和“一卡通·泰好用”惠民消费活动，发展多层次、多支柱社会保险体系。开展保障农民工工资支付制度落实年活动，强化源头治理，保障农民工按时足额获得劳动报酬。促进和引导进城农民工在常住地参加企业职工基本养老保险。实施困难家庭毕业生、长期失业青年等关爱工程，分层分类做好社会救助帮扶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（牵头单位：市人力资源社会保障局；责任单位：市民政局、市财政局、市医保局，各县市区政府、功能区管委会）</w:t>
      </w:r>
    </w:p>
    <w:p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18.激发住房市场活力。</w:t>
      </w:r>
      <w:r>
        <w:rPr>
          <w:rFonts w:ascii="Times New Roman" w:hAnsi="Times New Roman" w:eastAsia="仿宋_GB2312"/>
          <w:kern w:val="0"/>
          <w:sz w:val="32"/>
          <w:szCs w:val="32"/>
        </w:rPr>
        <w:t>常态化组织房交会、精品楼盘推介会、外销展示会及团购活动，年内全市组织住房促消费活动不低于20场。推进高品质住宅开发建设，年内争创2个以上省级高品质住宅试点项目，新开工5个以上市级高品质住宅试点项目。严格落实换购住房阶段性个人所得税退税政策，2025年12月底前，对出售自有住房后1年内在泰安市范围内重新购买住房的纳税人，对出售现住房已缴纳的个人所得税予以退税优惠。主城区各区政府、功能区管委会积极落实《泰安市促进房地产市场平稳健康发展的若干措施》政策要求，给予符合标准的二孩家庭8万元、三孩家庭10万元购房补贴，各县（市）根据实际情况参照执行。鼓励各县市区根据各自情况出台相关住房消费优惠政策。</w:t>
      </w:r>
      <w:r>
        <w:rPr>
          <w:rFonts w:ascii="Times New Roman" w:hAnsi="Times New Roman" w:eastAsia="楷体_GB2312"/>
          <w:kern w:val="0"/>
          <w:sz w:val="32"/>
          <w:szCs w:val="32"/>
        </w:rPr>
        <w:t>（牵头单位：市住房城乡建设局；责任单位：市教育局、市工业和信息化局、市民政局、市财政局、市自然资源和规划局、市卫生健康委、市税务局，各县市区政府、功能区管委会）</w:t>
      </w:r>
    </w:p>
    <w:p>
      <w:pPr>
        <w:adjustRightInd w:val="0"/>
        <w:snapToGrid w:val="0"/>
        <w:spacing w:after="0" w:line="580" w:lineRule="exact"/>
        <w:ind w:firstLine="640" w:firstLineChars="200"/>
        <w:jc w:val="both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三、组织保障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加强组织领导。</w:t>
      </w:r>
      <w:r>
        <w:rPr>
          <w:rFonts w:ascii="Times New Roman" w:hAnsi="Times New Roman" w:eastAsia="仿宋_GB2312"/>
          <w:kern w:val="0"/>
          <w:sz w:val="32"/>
          <w:szCs w:val="32"/>
        </w:rPr>
        <w:t>各有关部门要结合自身职责，围绕消费品以旧换新、服务消费、文化旅游消费、农业农村消费、健康消费、住房消费、体育消费、养老消费、稳产优供、消费环境等方面出台具体配套措施。各县市区要落实主体责任，紧盯目标任务，推进方案深入实施，务求取得实效。</w:t>
      </w:r>
      <w:r>
        <w:rPr>
          <w:rFonts w:ascii="Times New Roman" w:hAnsi="Times New Roman" w:eastAsia="楷体_GB2312"/>
          <w:kern w:val="0"/>
          <w:sz w:val="32"/>
          <w:szCs w:val="32"/>
        </w:rPr>
        <w:t>加强财政保障。</w:t>
      </w:r>
      <w:r>
        <w:rPr>
          <w:rFonts w:ascii="Times New Roman" w:hAnsi="Times New Roman" w:eastAsia="仿宋_GB2312"/>
          <w:kern w:val="0"/>
          <w:sz w:val="32"/>
          <w:szCs w:val="32"/>
        </w:rPr>
        <w:t>强化部门统筹协调，加大财政投入力度，加强对财政资金监督管理，创造性抓好贯彻落实。鼓励各县市区结合实际，列支专项资金，加大对消费促进工作的支持。</w:t>
      </w:r>
      <w:r>
        <w:rPr>
          <w:rFonts w:ascii="Times New Roman" w:hAnsi="Times New Roman" w:eastAsia="楷体_GB2312"/>
          <w:kern w:val="0"/>
          <w:sz w:val="32"/>
          <w:szCs w:val="32"/>
        </w:rPr>
        <w:t>加强宣传推广。</w:t>
      </w:r>
      <w:r>
        <w:rPr>
          <w:rFonts w:ascii="Times New Roman" w:hAnsi="Times New Roman" w:eastAsia="仿宋_GB2312"/>
          <w:kern w:val="0"/>
          <w:sz w:val="32"/>
          <w:szCs w:val="32"/>
        </w:rPr>
        <w:t>加强政策解读宣传，充分发挥电视、报刊和手机公众号、短视频等媒体作用，广泛宣传消费新业态、新模式、新导向。及时总结推广各部门、各县市区先进做法和典型经验，营造全社会关注消费、支持消费、参与消费的浓厚氛围。</w:t>
      </w:r>
      <w:r>
        <w:rPr>
          <w:rFonts w:ascii="Times New Roman" w:hAnsi="Times New Roman" w:eastAsia="楷体_GB2312"/>
          <w:kern w:val="0"/>
          <w:sz w:val="32"/>
          <w:szCs w:val="32"/>
        </w:rPr>
        <w:t>加强督导落实。</w:t>
      </w:r>
      <w:r>
        <w:rPr>
          <w:rFonts w:ascii="Times New Roman" w:hAnsi="Times New Roman" w:eastAsia="仿宋_GB2312"/>
          <w:kern w:val="0"/>
          <w:sz w:val="32"/>
          <w:szCs w:val="32"/>
        </w:rPr>
        <w:t>坚持目标导向、问题导向、结果导向，加大对各县市区、各部门消费促进工作进展和成效的督导力度。及时梳理解决消费领域堵点、卡点问题，及时回应消费者意见诉求，推动形成供需良性互动、消费潜力持续释放的生动局面。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701" w:right="1588" w:bottom="1701" w:left="1588" w:header="851" w:footer="124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宋简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spacing w:after="0"/>
      <w:jc w:val="right"/>
      <w:rPr>
        <w:rFonts w:hint="eastAsia"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after="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10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73"/>
    <w:rsid w:val="00007236"/>
    <w:rsid w:val="000211F8"/>
    <w:rsid w:val="00024BD9"/>
    <w:rsid w:val="00025760"/>
    <w:rsid w:val="00031999"/>
    <w:rsid w:val="00045A00"/>
    <w:rsid w:val="000546F9"/>
    <w:rsid w:val="0006466F"/>
    <w:rsid w:val="00074271"/>
    <w:rsid w:val="00096410"/>
    <w:rsid w:val="000A224A"/>
    <w:rsid w:val="000C148E"/>
    <w:rsid w:val="000D1214"/>
    <w:rsid w:val="000F03EA"/>
    <w:rsid w:val="000F3FDB"/>
    <w:rsid w:val="00105A51"/>
    <w:rsid w:val="001271AA"/>
    <w:rsid w:val="00157EE8"/>
    <w:rsid w:val="001C0E79"/>
    <w:rsid w:val="001C145F"/>
    <w:rsid w:val="001D166F"/>
    <w:rsid w:val="001F0940"/>
    <w:rsid w:val="001F36C5"/>
    <w:rsid w:val="0020201C"/>
    <w:rsid w:val="002037BE"/>
    <w:rsid w:val="002106B3"/>
    <w:rsid w:val="002128D6"/>
    <w:rsid w:val="002249F9"/>
    <w:rsid w:val="0023645D"/>
    <w:rsid w:val="0024175C"/>
    <w:rsid w:val="00263792"/>
    <w:rsid w:val="002A3C19"/>
    <w:rsid w:val="002B4172"/>
    <w:rsid w:val="002B7D98"/>
    <w:rsid w:val="002D1A0F"/>
    <w:rsid w:val="002E216D"/>
    <w:rsid w:val="002E4B4C"/>
    <w:rsid w:val="002F4EE2"/>
    <w:rsid w:val="002F6BEF"/>
    <w:rsid w:val="00306E9B"/>
    <w:rsid w:val="003319F3"/>
    <w:rsid w:val="00334E09"/>
    <w:rsid w:val="00364002"/>
    <w:rsid w:val="00372AE2"/>
    <w:rsid w:val="003753D2"/>
    <w:rsid w:val="00393A28"/>
    <w:rsid w:val="003A5616"/>
    <w:rsid w:val="003C0493"/>
    <w:rsid w:val="003C30C7"/>
    <w:rsid w:val="003D05D2"/>
    <w:rsid w:val="003D6A84"/>
    <w:rsid w:val="003E718F"/>
    <w:rsid w:val="00406B1B"/>
    <w:rsid w:val="00422F6E"/>
    <w:rsid w:val="004443C6"/>
    <w:rsid w:val="0046270B"/>
    <w:rsid w:val="0046439C"/>
    <w:rsid w:val="00465758"/>
    <w:rsid w:val="004A36F2"/>
    <w:rsid w:val="004C488E"/>
    <w:rsid w:val="004D45E2"/>
    <w:rsid w:val="004D7528"/>
    <w:rsid w:val="00505AA6"/>
    <w:rsid w:val="005273FE"/>
    <w:rsid w:val="00533DAF"/>
    <w:rsid w:val="00550F09"/>
    <w:rsid w:val="00552830"/>
    <w:rsid w:val="005879AB"/>
    <w:rsid w:val="00593849"/>
    <w:rsid w:val="005A0882"/>
    <w:rsid w:val="005A5820"/>
    <w:rsid w:val="005D2E4D"/>
    <w:rsid w:val="005D6ADB"/>
    <w:rsid w:val="00601440"/>
    <w:rsid w:val="00611671"/>
    <w:rsid w:val="00613AC1"/>
    <w:rsid w:val="006249B8"/>
    <w:rsid w:val="00653A3A"/>
    <w:rsid w:val="00655D99"/>
    <w:rsid w:val="00657660"/>
    <w:rsid w:val="006A258C"/>
    <w:rsid w:val="006A33A6"/>
    <w:rsid w:val="006B0E72"/>
    <w:rsid w:val="006B22EC"/>
    <w:rsid w:val="006D653B"/>
    <w:rsid w:val="006D7B44"/>
    <w:rsid w:val="00733DC6"/>
    <w:rsid w:val="00745F7A"/>
    <w:rsid w:val="00775936"/>
    <w:rsid w:val="00780DF3"/>
    <w:rsid w:val="007C4D5F"/>
    <w:rsid w:val="007C537F"/>
    <w:rsid w:val="007C694B"/>
    <w:rsid w:val="007E7418"/>
    <w:rsid w:val="00806FA9"/>
    <w:rsid w:val="008211AC"/>
    <w:rsid w:val="008503E6"/>
    <w:rsid w:val="00855D2D"/>
    <w:rsid w:val="008561DA"/>
    <w:rsid w:val="00892509"/>
    <w:rsid w:val="008A5CB7"/>
    <w:rsid w:val="008D5F39"/>
    <w:rsid w:val="008D6CAB"/>
    <w:rsid w:val="0091575C"/>
    <w:rsid w:val="00922DD1"/>
    <w:rsid w:val="00926DA8"/>
    <w:rsid w:val="009615F9"/>
    <w:rsid w:val="00971DF4"/>
    <w:rsid w:val="009A2BA0"/>
    <w:rsid w:val="009B7203"/>
    <w:rsid w:val="009D62A9"/>
    <w:rsid w:val="009D658E"/>
    <w:rsid w:val="009E02BA"/>
    <w:rsid w:val="009E5429"/>
    <w:rsid w:val="009F0CB6"/>
    <w:rsid w:val="009F3410"/>
    <w:rsid w:val="00A27DDE"/>
    <w:rsid w:val="00A47CEE"/>
    <w:rsid w:val="00A52335"/>
    <w:rsid w:val="00A61BB9"/>
    <w:rsid w:val="00A670BB"/>
    <w:rsid w:val="00A8728D"/>
    <w:rsid w:val="00A90518"/>
    <w:rsid w:val="00AA0019"/>
    <w:rsid w:val="00AB7E15"/>
    <w:rsid w:val="00B00447"/>
    <w:rsid w:val="00B02E63"/>
    <w:rsid w:val="00B07C19"/>
    <w:rsid w:val="00B6237C"/>
    <w:rsid w:val="00B726B2"/>
    <w:rsid w:val="00B85B36"/>
    <w:rsid w:val="00BB1338"/>
    <w:rsid w:val="00BB6550"/>
    <w:rsid w:val="00BC4161"/>
    <w:rsid w:val="00BD047D"/>
    <w:rsid w:val="00BD37D5"/>
    <w:rsid w:val="00BF61A6"/>
    <w:rsid w:val="00C02049"/>
    <w:rsid w:val="00C03AE7"/>
    <w:rsid w:val="00C155F6"/>
    <w:rsid w:val="00C277D7"/>
    <w:rsid w:val="00C607F4"/>
    <w:rsid w:val="00C61520"/>
    <w:rsid w:val="00C67A73"/>
    <w:rsid w:val="00C73079"/>
    <w:rsid w:val="00C73CF9"/>
    <w:rsid w:val="00CB2CBB"/>
    <w:rsid w:val="00CC2887"/>
    <w:rsid w:val="00CE2C3A"/>
    <w:rsid w:val="00CE2D1C"/>
    <w:rsid w:val="00CE5070"/>
    <w:rsid w:val="00D27EA8"/>
    <w:rsid w:val="00D401FB"/>
    <w:rsid w:val="00D44789"/>
    <w:rsid w:val="00D452E8"/>
    <w:rsid w:val="00D53B9E"/>
    <w:rsid w:val="00D67417"/>
    <w:rsid w:val="00D67455"/>
    <w:rsid w:val="00DB1CCC"/>
    <w:rsid w:val="00DD7A24"/>
    <w:rsid w:val="00DE5D6D"/>
    <w:rsid w:val="00E03E4F"/>
    <w:rsid w:val="00E1098C"/>
    <w:rsid w:val="00E614BE"/>
    <w:rsid w:val="00E7251A"/>
    <w:rsid w:val="00EA4CAD"/>
    <w:rsid w:val="00EA57C4"/>
    <w:rsid w:val="00EA7F34"/>
    <w:rsid w:val="00EB0A7B"/>
    <w:rsid w:val="00EC67D2"/>
    <w:rsid w:val="00EE46FC"/>
    <w:rsid w:val="00EE669B"/>
    <w:rsid w:val="00F043CF"/>
    <w:rsid w:val="00F31020"/>
    <w:rsid w:val="00F32B34"/>
    <w:rsid w:val="00F35ABD"/>
    <w:rsid w:val="00F41605"/>
    <w:rsid w:val="00F440D9"/>
    <w:rsid w:val="00F6757F"/>
    <w:rsid w:val="00F7798A"/>
    <w:rsid w:val="00FB69BE"/>
    <w:rsid w:val="00FD2576"/>
    <w:rsid w:val="00FF6428"/>
    <w:rsid w:val="01DFE951"/>
    <w:rsid w:val="1E5B84CA"/>
    <w:rsid w:val="23286CDE"/>
    <w:rsid w:val="2FAF1F3B"/>
    <w:rsid w:val="35CFB12A"/>
    <w:rsid w:val="379EC00C"/>
    <w:rsid w:val="3ABA8D05"/>
    <w:rsid w:val="3DBBED89"/>
    <w:rsid w:val="3DC304B6"/>
    <w:rsid w:val="3F790EB7"/>
    <w:rsid w:val="5AFE77D0"/>
    <w:rsid w:val="5E9D57B6"/>
    <w:rsid w:val="5FE77091"/>
    <w:rsid w:val="673FEEDD"/>
    <w:rsid w:val="6EB844CF"/>
    <w:rsid w:val="73FA990C"/>
    <w:rsid w:val="751D4C92"/>
    <w:rsid w:val="75EDC54B"/>
    <w:rsid w:val="76CFADB5"/>
    <w:rsid w:val="7D154A5A"/>
    <w:rsid w:val="7EFF892E"/>
    <w:rsid w:val="7F2F511D"/>
    <w:rsid w:val="7FEF17A7"/>
    <w:rsid w:val="BDDFED11"/>
    <w:rsid w:val="DE785ACC"/>
    <w:rsid w:val="DFDEB506"/>
    <w:rsid w:val="EF7FCF6F"/>
    <w:rsid w:val="F7E001E2"/>
    <w:rsid w:val="F7ED8A85"/>
    <w:rsid w:val="F7EF7B9C"/>
    <w:rsid w:val="FEBDF35F"/>
    <w:rsid w:val="FF75DBA2"/>
    <w:rsid w:val="FF7CCCFA"/>
    <w:rsid w:val="FFAEA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kern w:val="0"/>
      <w:sz w:val="48"/>
      <w:szCs w:val="48"/>
      <w:lang w:val="zh-CN" w:eastAsia="zh-CN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kern w:val="0"/>
      <w:sz w:val="40"/>
      <w:szCs w:val="40"/>
      <w:lang w:val="zh-CN" w:eastAsia="zh-CN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kern w:val="0"/>
      <w:sz w:val="28"/>
      <w:szCs w:val="28"/>
      <w:lang w:val="zh-CN" w:eastAsia="zh-CN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kern w:val="0"/>
      <w:sz w:val="24"/>
      <w:szCs w:val="20"/>
      <w:lang w:val="zh-CN" w:eastAsia="zh-CN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b/>
      <w:bCs/>
      <w:color w:val="0F4761"/>
      <w:kern w:val="0"/>
      <w:sz w:val="20"/>
      <w:szCs w:val="20"/>
      <w:lang w:val="zh-CN" w:eastAsia="zh-CN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b/>
      <w:bCs/>
      <w:color w:val="595959"/>
      <w:kern w:val="0"/>
      <w:sz w:val="20"/>
      <w:szCs w:val="20"/>
      <w:lang w:val="zh-CN" w:eastAsia="zh-CN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color w:val="595959"/>
      <w:kern w:val="0"/>
      <w:sz w:val="20"/>
      <w:szCs w:val="20"/>
      <w:lang w:val="zh-CN" w:eastAsia="zh-CN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="等线 Light"/>
      <w:color w:val="595959"/>
      <w:kern w:val="0"/>
      <w:sz w:val="20"/>
      <w:szCs w:val="20"/>
      <w:lang w:val="zh-CN" w:eastAsia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  <w:lang w:val="zh-CN" w:eastAsia="zh-CN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="等线 Light" w:hAnsi="等线 Light" w:eastAsia="等线 Light"/>
      <w:color w:val="595959"/>
      <w:spacing w:val="15"/>
      <w:kern w:val="0"/>
      <w:sz w:val="28"/>
      <w:szCs w:val="28"/>
      <w:lang w:val="zh-CN" w:eastAsia="zh-CN"/>
    </w:rPr>
  </w:style>
  <w:style w:type="paragraph" w:styleId="14">
    <w:name w:val="HTML Preformatted"/>
    <w:basedOn w:val="1"/>
    <w:link w:val="4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eastAsia="宋体"/>
      <w:kern w:val="0"/>
      <w:sz w:val="24"/>
      <w:szCs w:val="20"/>
      <w:lang w:val="zh-CN" w:eastAsia="zh-CN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  <w:lang w:val="zh-CN" w:eastAsia="zh-CN"/>
    </w:rPr>
  </w:style>
  <w:style w:type="paragraph" w:customStyle="1" w:styleId="18">
    <w:name w:val="目录 11"/>
    <w:basedOn w:val="1"/>
    <w:next w:val="1"/>
    <w:semiHidden/>
    <w:unhideWhenUsed/>
    <w:qFormat/>
    <w:uiPriority w:val="39"/>
  </w:style>
  <w:style w:type="character" w:customStyle="1" w:styleId="19">
    <w:name w:val="标题 1 Char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20">
    <w:name w:val="标题 2 Char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1">
    <w:name w:val="标题 3 Char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2">
    <w:name w:val="标题 4 Char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3">
    <w:name w:val="标题 5 Char"/>
    <w:link w:val="6"/>
    <w:semiHidden/>
    <w:qFormat/>
    <w:uiPriority w:val="9"/>
    <w:rPr>
      <w:rFonts w:cs="Times New Roman"/>
      <w:color w:val="0F4761"/>
      <w:sz w:val="24"/>
    </w:rPr>
  </w:style>
  <w:style w:type="character" w:customStyle="1" w:styleId="24">
    <w:name w:val="标题 6 Char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25">
    <w:name w:val="标题 7 Char"/>
    <w:link w:val="8"/>
    <w:semiHidden/>
    <w:qFormat/>
    <w:uiPriority w:val="9"/>
    <w:rPr>
      <w:rFonts w:cs="Times New Roman"/>
      <w:b/>
      <w:bCs/>
      <w:color w:val="595959"/>
    </w:rPr>
  </w:style>
  <w:style w:type="character" w:customStyle="1" w:styleId="26">
    <w:name w:val="标题 8 Char"/>
    <w:link w:val="9"/>
    <w:semiHidden/>
    <w:qFormat/>
    <w:uiPriority w:val="9"/>
    <w:rPr>
      <w:rFonts w:cs="Times New Roman"/>
      <w:color w:val="595959"/>
    </w:rPr>
  </w:style>
  <w:style w:type="character" w:customStyle="1" w:styleId="27">
    <w:name w:val="标题 9 Char"/>
    <w:link w:val="10"/>
    <w:semiHidden/>
    <w:qFormat/>
    <w:uiPriority w:val="9"/>
    <w:rPr>
      <w:rFonts w:eastAsia="等线 Light" w:cs="Times New Roman"/>
      <w:color w:val="595959"/>
    </w:rPr>
  </w:style>
  <w:style w:type="character" w:customStyle="1" w:styleId="28">
    <w:name w:val="标题 Char"/>
    <w:link w:val="15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29">
    <w:name w:val="副标题 Char"/>
    <w:link w:val="13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/>
      <w:kern w:val="0"/>
      <w:sz w:val="20"/>
      <w:szCs w:val="20"/>
      <w:lang w:val="zh-CN" w:eastAsia="zh-CN"/>
    </w:rPr>
  </w:style>
  <w:style w:type="character" w:customStyle="1" w:styleId="31">
    <w:name w:val="引用 Char"/>
    <w:link w:val="30"/>
    <w:qFormat/>
    <w:uiPriority w:val="29"/>
    <w:rPr>
      <w:i/>
      <w:iCs/>
      <w:color w:val="404040"/>
    </w:rPr>
  </w:style>
  <w:style w:type="paragraph" w:customStyle="1" w:styleId="32">
    <w:name w:val="列出段落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qFormat/>
    <w:uiPriority w:val="21"/>
    <w:rPr>
      <w:i/>
      <w:iCs/>
      <w:color w:val="0F4761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  <w:kern w:val="0"/>
      <w:sz w:val="20"/>
      <w:szCs w:val="20"/>
      <w:lang w:val="zh-CN" w:eastAsia="zh-CN"/>
    </w:rPr>
  </w:style>
  <w:style w:type="character" w:customStyle="1" w:styleId="35">
    <w:name w:val="明显引用 Char"/>
    <w:link w:val="34"/>
    <w:qFormat/>
    <w:uiPriority w:val="30"/>
    <w:rPr>
      <w:i/>
      <w:iCs/>
      <w:color w:val="0F4761"/>
    </w:rPr>
  </w:style>
  <w:style w:type="character" w:customStyle="1" w:styleId="36">
    <w:name w:val="明显参考1"/>
    <w:qFormat/>
    <w:uiPriority w:val="32"/>
    <w:rPr>
      <w:b/>
      <w:bCs/>
      <w:smallCaps/>
      <w:color w:val="0F4761"/>
      <w:spacing w:val="5"/>
    </w:rPr>
  </w:style>
  <w:style w:type="character" w:customStyle="1" w:styleId="37">
    <w:name w:val="页眉 Char"/>
    <w:link w:val="12"/>
    <w:qFormat/>
    <w:uiPriority w:val="99"/>
    <w:rPr>
      <w:sz w:val="18"/>
      <w:szCs w:val="18"/>
    </w:rPr>
  </w:style>
  <w:style w:type="character" w:customStyle="1" w:styleId="38">
    <w:name w:val="页脚 Char"/>
    <w:link w:val="11"/>
    <w:qFormat/>
    <w:uiPriority w:val="99"/>
    <w:rPr>
      <w:sz w:val="18"/>
      <w:szCs w:val="18"/>
    </w:rPr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character" w:customStyle="1" w:styleId="40">
    <w:name w:val="HTML 预设格式 Char"/>
    <w:link w:val="14"/>
    <w:semiHidden/>
    <w:qFormat/>
    <w:uiPriority w:val="99"/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7333</Words>
  <Characters>7483</Characters>
  <Lines>53</Lines>
  <Paragraphs>15</Paragraphs>
  <TotalTime>3</TotalTime>
  <ScaleCrop>false</ScaleCrop>
  <LinksUpToDate>false</LinksUpToDate>
  <CharactersWithSpaces>7491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2025-02-06T19:44:00Z</dcterms:created>
  <dc:creator>xbany</dc:creator>
  <cp:lastModifiedBy>uos</cp:lastModifiedBy>
  <cp:lastPrinted>2025-02-06T09:35:00Z</cp:lastPrinted>
  <dcterms:modified xsi:type="dcterms:W3CDTF">2025-02-08T09:08:50Z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27F5E23F449225B5FC63A367D60A031B_43</vt:lpwstr>
  </property>
  <property fmtid="{D5CDD505-2E9C-101B-9397-08002B2CF9AE}" pid="4" name="KSOTemplateDocerSaveRecord">
    <vt:lpwstr>eyJoZGlkIjoiNTU0ZmIwYTQ3NzlmZGUxZmU3Zjk0M2IyZTNmM2IxNjAiLCJ1c2VySWQiOiI3NDQyODUyMTQifQ==</vt:lpwstr>
  </property>
</Properties>
</file>