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AA1499">
        <w:rPr>
          <w:rFonts w:ascii="Times New Roman" w:eastAsia="方正小标宋简体" w:hAnsi="Times New Roman" w:cs="Times New Roman"/>
          <w:kern w:val="0"/>
          <w:sz w:val="44"/>
          <w:szCs w:val="44"/>
        </w:rPr>
        <w:t>泰安市政府顾问工作实施细则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为规范市政府顾问工作运行机制，全面提升政府科学决策、民主决策、依法决策水平，根据《泰安市政府顾问聘任管理办法》（泰政办发〔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2019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号，以下简称《管理办法》），结合我市实际，制定本实施细则。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第一章</w:t>
      </w:r>
      <w:r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工作方式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第一条</w:t>
      </w:r>
      <w:r w:rsidR="00AA1499"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助推发展。把顾问建在产业上、嵌入企业中，以助推产业振兴、经济发展作为市政府顾问工作的主旋律，以推进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“10+1”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产业发展和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双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强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企业发展为主战场，建立市政府顾问与企业交流机制，推动市政府顾问与市内企业交流互动，助推企业转型升级、产业发展壮大，加快新旧动能转换。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充分发挥市政府顾问在文旅融合、科技创新、项目建设等方面的优势，积极推进社会治理、行政管理、生态保护、文化建设等重点领域的发展。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第二条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宣传推介。市政府顾问利用个人以及个人拥有的社会资源，在国内外宣传推介泰安，参与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双招双引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工作，提供有意向投资的企业和项目信息，介绍或组织客商来泰考察、寻求合作，帮助引进资金、技术、项目、人才，引进高层论坛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及各类展销会、订货会等会议和活动，推进开展国内外经济合作、文化旅游交流活动。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第三条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决策咨询。市政府顾问为政府科学决策提供咨询建议，主要包括例行组织重大事项咨询、紧急重大事项咨询和顾问专题建议三种方式。重大事项咨询，主要对全市重要战略规划、重要改革方案、重大项目建设和市政府重大决策、重要政策及其他重大事项，以及市政府工作报告起草，以书面形式征求市政府顾问的意见和建议。紧急重大事项咨询，对事关全市重要战略规划、重要改革方案、重大项目建设和市政府重大决策、重要政策及其他重大事项等在推进过程中，需要进行重大临时调整的事宜进行咨询。顾问专题建议，市政府顾问对全市改革发展中的重点、难点、热点问题提出意见建议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第四条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授课培训。结合市委、市政府中心工作，受邀在市政府党组理论学习中心组授课；按照市干部教育培训计划，受邀为市委党校（行政学院）中青年干部班、专题培训班等授课培训；受县（市、区）政府、功能区管委、市政府部门（单位）邀请，以不同形式授课培训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第五条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课题研究。受市政府或市政府部门委托，主持或参与重大课题研究。课题提出方式：市政府常务会议确定或市政府领导同志交办的事项；市政府部门（单位）提请市政府研究，且需要决策咨询的重要事项。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AA1499">
      <w:pPr>
        <w:shd w:val="clear" w:color="auto" w:fill="FFFFFF"/>
        <w:spacing w:line="60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lastRenderedPageBreak/>
        <w:t>第二章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组织实施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第六条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建立沟通机制。聘任关系确定后，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“10+1”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产业、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双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强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企业培植牵头部门自动转换为市政府顾问服务管理部门（单位）（以下简称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服务管理部门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服务管理部门要与市政府顾问建立联络沟通制度，保持经常性联系，单位负责同志要定期走访，交流互动。市政府顾问来泰开展调研、洽谈项目、参加会议、授课培训、组织活动等，服务管理部门要主动对接，做好接待服务工作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第七条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建立咨询问政机制。服务管理部门要积极对接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“10+1”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产业、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双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强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企业，根据企业发展和政府决策需求，每年至少召开两次专题会议，明确主题和目标，提高咨询问政工作实效；要积极支持相关企业就发展战略、重大投资、重大技改等开展专题咨询活动，提高企业决策科学化水平。市政府办公室要定期汇总咨询问政开展情况，报市政府领导同志参阅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第八条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严格办理程序。市政府顾问所提意见建议，由服务管理部门负责收集、整理和反馈，市政府办公室负责协调通知承办主体。市政府办公室要定期汇总意见建议，形成专题报告，报市政府领导同志参阅。市政府领导同志有批示意见的，由市政府办公室协调督促有关部门办理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第九条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组织课题实施。符合第五条规定的研究课题，由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服务管理部门负责与市政府顾问对接沟通。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市政府常务会议确定或市政府领导同志交办的课题，由相关服务管理部门按照政府采购有关规定组织实施。市政府部门（单位）提出的课题由该部门（单位）按照政府采购有关规定组织实施。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课题实施部门（单位）负责课题全过程管理及经费保障工作，对相关研究成果和资料统一归档。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AA1499">
      <w:pPr>
        <w:shd w:val="clear" w:color="auto" w:fill="FFFFFF"/>
        <w:spacing w:line="60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第三章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服务与管理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第十条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建立遴选机制。市政府顾问选聘按照《管理办法》规定程序进行。提报顾问人选坚持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少而精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，原则上在企业提报后，由主管部门遴选拟聘人选，确有必要部门也可以直接提报。顾问拟聘人选提报后，市政府办公室进行综合审核，聘请第三方机构遴选论证，形成推荐意见，提交市政府常务会议研究。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市长、副市长在对外交往活动中，对符合市政府顾问人选条件的知名人士可提议聘任市政府顾问。相关部门履行聘任有关程序，提交市政府常务会议研究通过后，可聘为市政府顾问。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第十一条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完善顾问待遇。市政府顾问除享受《管理办法》规定的待遇外，享受以下待遇：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（一）列席市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两会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、市政府常务会、全市经济工作会等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重要会议，以特邀嘉宾身份参加泰山国际登山节等重大文化旅游体育活动，由我市提供食宿、交通等服务。享受《泰安市高层次人才服务绿色通道实施办法（试行）》（泰人才字〔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号）规定的相关优惠政策和便利服务。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（二）市政府统一设计颁发市政府顾问证件。市政府办公室牵头办理，服务管理部门分送。市政府顾问持证可带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1-3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名工作人员，享受免费到国有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级市内景区、景点参观考察，乘坐景区旅游车辆、索道等优惠政策。各服务管理部门负责对接落实，市文化和旅游局、泰山景区、泰山索道运营中心等单位配合执行。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（三）市政府领导陪同活动。市政府顾问来泰，由服务管理部门提报申请，按程序报市政府批准后组织实施，市政府领导同志视情陪同活动。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第十二条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开展工作评估。次年年初，市政府办公室按照《管理办法》规定，牵头成立评审工作组，对服务管理部门开展市政府顾问工作情况进行评估，形成评估报告。对充分发挥市政府顾问作用，在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双招双引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、产业带动、企业发展等工作中成绩突出的服务管理部门，进行通报表扬；对工作开展成效不突出、与顾问联系不密切、发挥顾问作用不明显的服务管理部门，给予通报批评。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第十三条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完善聘任制度。市政府顾问实行聘任制，每届任期三年，届满自动解聘，可以连续聘任。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建立动态调整机制，根据工作需要，可适时增补。出现下列情况的，及时予以调整或解聘。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（一）因工作岗位或职务变动，不宜再担任市政府顾问的；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（二）因身体健康原因，无法履行市政府顾问工作的；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（三）一年内不参加相关活动的；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（四）因个人原因自愿退出的。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第十四条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经费保障。市政府顾问聘任、邀请授课、决策咨询、课题研究等经费，由市财政纳入相关部门预算，统筹解决。服务管理部门要制定对市政府顾问经费使用内部管理规定，接受财政、审计部门的监督检查。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AA1499">
      <w:pPr>
        <w:shd w:val="clear" w:color="auto" w:fill="FFFFFF"/>
        <w:spacing w:line="60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第四章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附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则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黑体" w:hAnsi="黑体" w:cs="Times New Roman"/>
          <w:kern w:val="0"/>
          <w:sz w:val="32"/>
          <w:szCs w:val="32"/>
        </w:rPr>
        <w:t>第十五条</w:t>
      </w:r>
      <w:r w:rsidR="00AA1499" w:rsidRPr="00AA1499"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本实施细则自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日起施行。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A1499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8A7C0E" w:rsidRPr="00AA1499" w:rsidRDefault="008A7C0E" w:rsidP="008A7C0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B3545" w:rsidRPr="00AA1499" w:rsidRDefault="008B3545" w:rsidP="008A7C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8B3545" w:rsidRPr="00AA1499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E28" w:rsidRDefault="00AA2E28" w:rsidP="00AC30C6">
      <w:r>
        <w:separator/>
      </w:r>
    </w:p>
  </w:endnote>
  <w:endnote w:type="continuationSeparator" w:id="1">
    <w:p w:rsidR="00AA2E28" w:rsidRDefault="00AA2E28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CC3636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C3636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1499" w:rsidRPr="00AA149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6</w:t>
        </w:r>
        <w:r w:rsidR="00CC3636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CC3636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C3636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1499" w:rsidRPr="00AA149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="00CC3636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E28" w:rsidRDefault="00AA2E28" w:rsidP="00AC30C6">
      <w:r>
        <w:separator/>
      </w:r>
    </w:p>
  </w:footnote>
  <w:footnote w:type="continuationSeparator" w:id="1">
    <w:p w:rsidR="00AA2E28" w:rsidRDefault="00AA2E28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1347E4"/>
    <w:rsid w:val="00150291"/>
    <w:rsid w:val="001671DB"/>
    <w:rsid w:val="001F637D"/>
    <w:rsid w:val="002B57D0"/>
    <w:rsid w:val="00320908"/>
    <w:rsid w:val="00324308"/>
    <w:rsid w:val="003A2D98"/>
    <w:rsid w:val="00403B39"/>
    <w:rsid w:val="00436682"/>
    <w:rsid w:val="004D3E5E"/>
    <w:rsid w:val="004E217D"/>
    <w:rsid w:val="004E36AB"/>
    <w:rsid w:val="004F64D4"/>
    <w:rsid w:val="00572994"/>
    <w:rsid w:val="00594896"/>
    <w:rsid w:val="005C0BA3"/>
    <w:rsid w:val="00613330"/>
    <w:rsid w:val="006A3F93"/>
    <w:rsid w:val="006A60E1"/>
    <w:rsid w:val="006A75FE"/>
    <w:rsid w:val="006B74A8"/>
    <w:rsid w:val="006F0E30"/>
    <w:rsid w:val="0079427F"/>
    <w:rsid w:val="007A0B3E"/>
    <w:rsid w:val="007B4783"/>
    <w:rsid w:val="007F7668"/>
    <w:rsid w:val="00856CB7"/>
    <w:rsid w:val="00856FC3"/>
    <w:rsid w:val="00861589"/>
    <w:rsid w:val="008A7C0E"/>
    <w:rsid w:val="008B3545"/>
    <w:rsid w:val="008E64C9"/>
    <w:rsid w:val="008E7ABF"/>
    <w:rsid w:val="009439BC"/>
    <w:rsid w:val="009D3071"/>
    <w:rsid w:val="00A12A33"/>
    <w:rsid w:val="00A245D5"/>
    <w:rsid w:val="00A54287"/>
    <w:rsid w:val="00A94A53"/>
    <w:rsid w:val="00AA1499"/>
    <w:rsid w:val="00AA2E28"/>
    <w:rsid w:val="00AC30C6"/>
    <w:rsid w:val="00B020B5"/>
    <w:rsid w:val="00B7058F"/>
    <w:rsid w:val="00BA4124"/>
    <w:rsid w:val="00BC7C5F"/>
    <w:rsid w:val="00C56DC2"/>
    <w:rsid w:val="00C73183"/>
    <w:rsid w:val="00CC3636"/>
    <w:rsid w:val="00D0744E"/>
    <w:rsid w:val="00D312EA"/>
    <w:rsid w:val="00D57962"/>
    <w:rsid w:val="00DB2F66"/>
    <w:rsid w:val="00DB3861"/>
    <w:rsid w:val="00DC7DA5"/>
    <w:rsid w:val="00DD6F51"/>
    <w:rsid w:val="00E03190"/>
    <w:rsid w:val="00E6003A"/>
    <w:rsid w:val="00EF56F3"/>
    <w:rsid w:val="00F514E6"/>
    <w:rsid w:val="00F64229"/>
    <w:rsid w:val="00F775F4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1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124"/>
  </w:style>
  <w:style w:type="paragraph" w:styleId="a6">
    <w:name w:val="Balloon Text"/>
    <w:basedOn w:val="a"/>
    <w:link w:val="Char2"/>
    <w:uiPriority w:val="99"/>
    <w:semiHidden/>
    <w:unhideWhenUsed/>
    <w:rsid w:val="007F766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F76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27</cp:revision>
  <dcterms:created xsi:type="dcterms:W3CDTF">2020-12-14T08:11:00Z</dcterms:created>
  <dcterms:modified xsi:type="dcterms:W3CDTF">2020-12-17T07:01:00Z</dcterms:modified>
</cp:coreProperties>
</file>