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F036F8">
      <w:pPr>
        <w:spacing w:beforeLines="0" w:afterLines="0" w:line="20" w:lineRule="exact"/>
        <w:jc w:val="left"/>
        <w:outlineLvl w:val="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p>
    <w:p w14:paraId="4BC774E8">
      <w:pPr>
        <w:spacing w:beforeLines="0" w:afterLines="0" w:line="20" w:lineRule="exact"/>
        <w:jc w:val="left"/>
        <w:outlineLvl w:val="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p>
    <w:p w14:paraId="05E9F59D">
      <w:pPr>
        <w:spacing w:beforeLines="0" w:afterLines="0" w:line="580" w:lineRule="exact"/>
        <w:jc w:val="left"/>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附件</w:t>
      </w:r>
    </w:p>
    <w:p w14:paraId="5AB9262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p>
    <w:p w14:paraId="3CEAA297">
      <w:pPr>
        <w:spacing w:beforeLines="0" w:afterLines="0" w:line="580" w:lineRule="exact"/>
        <w:ind w:firstLine="0"/>
        <w:jc w:val="center"/>
        <w:rPr>
          <w:rFonts w:hint="default" w:ascii="Times New Roman" w:hAnsi="Times New Roman" w:eastAsia="方正小标宋简体" w:cs="Times New Roman"/>
          <w:color w:val="auto"/>
          <w:spacing w:val="-6"/>
          <w:kern w:val="0"/>
          <w:sz w:val="44"/>
          <w:szCs w:val="44"/>
          <w:highlight w:val="none"/>
        </w:rPr>
      </w:pPr>
      <w:r>
        <w:rPr>
          <w:rFonts w:hint="default" w:ascii="Times New Roman" w:hAnsi="Times New Roman" w:eastAsia="方正小标宋简体" w:cs="Times New Roman"/>
          <w:color w:val="auto"/>
          <w:spacing w:val="-6"/>
          <w:kern w:val="0"/>
          <w:sz w:val="44"/>
          <w:szCs w:val="44"/>
          <w:highlight w:val="none"/>
        </w:rPr>
        <w:t>泰安市贯彻落实第三轮省级生态环境保护</w:t>
      </w:r>
    </w:p>
    <w:p w14:paraId="2BE3395B">
      <w:pPr>
        <w:spacing w:beforeLines="0" w:afterLines="0" w:line="580" w:lineRule="exact"/>
        <w:ind w:firstLine="0"/>
        <w:jc w:val="center"/>
        <w:rPr>
          <w:rFonts w:hint="default" w:ascii="Times New Roman" w:hAnsi="Times New Roman" w:eastAsia="方正小标宋简体" w:cs="Times New Roman"/>
          <w:color w:val="auto"/>
          <w:spacing w:val="-6"/>
          <w:kern w:val="0"/>
          <w:sz w:val="44"/>
          <w:szCs w:val="44"/>
          <w:highlight w:val="none"/>
        </w:rPr>
      </w:pPr>
      <w:r>
        <w:rPr>
          <w:rFonts w:hint="default" w:ascii="Times New Roman" w:hAnsi="Times New Roman" w:eastAsia="方正小标宋简体" w:cs="Times New Roman"/>
          <w:color w:val="auto"/>
          <w:spacing w:val="-6"/>
          <w:kern w:val="0"/>
          <w:sz w:val="44"/>
          <w:szCs w:val="44"/>
          <w:highlight w:val="none"/>
        </w:rPr>
        <w:t>督察报告问题整改措施清单</w:t>
      </w:r>
    </w:p>
    <w:p w14:paraId="32113041">
      <w:pPr>
        <w:spacing w:beforeLines="0" w:afterLines="0" w:line="580" w:lineRule="exact"/>
        <w:jc w:val="both"/>
        <w:rPr>
          <w:rFonts w:hint="default" w:ascii="Times New Roman" w:hAnsi="Times New Roman" w:eastAsia="仿宋_GB2312" w:cs="Times New Roman"/>
          <w:color w:val="auto"/>
          <w:spacing w:val="-6"/>
          <w:kern w:val="0"/>
          <w:sz w:val="32"/>
          <w:szCs w:val="32"/>
          <w:highlight w:val="none"/>
        </w:rPr>
      </w:pPr>
    </w:p>
    <w:p w14:paraId="055F14FC">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一、贯彻落实习近平生态文明思想还不到位。一些地方和部门对生态文明建设和生态环境保护工作重视程度还不够，对绿色低碳转型发展的重要性、紧迫性认识不足，对本区域本行业生态环境问题的复杂性、工作任务的艰巨性和长期性缺乏深刻认识，抓生态环境保护的定力不足、力度不大，部分重点工作仍未形成合力。</w:t>
      </w:r>
    </w:p>
    <w:p w14:paraId="7515C81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责任单位：市生态环境保护工作委员会各成员单位，各县（市、区）党委和人民政府、功能区党工委和管委会</w:t>
      </w:r>
    </w:p>
    <w:p w14:paraId="3EC8FA9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督导单位：市生态环境局</w:t>
      </w:r>
    </w:p>
    <w:p w14:paraId="1F6E8E3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38B8F4F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整改目标：提高政治站位，深化思想认识，压紧压实各级各有关部门单位生态环境保护工作责任，形成工作合力，按序时进度推进各级生态环境保护督察问题整改。</w:t>
      </w:r>
    </w:p>
    <w:p w14:paraId="765A336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1CBF4F1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提高思想认识。深入贯彻习近平生态文明思想，将习近平总书记关于生态文明建设、黄河流域生态保护和高质量发展的重要论述以及中央相关决策部署纳入全市各级党委理论学习计划。</w:t>
      </w:r>
    </w:p>
    <w:p w14:paraId="797CC779">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压实工作责任。各级党委、政府认真落实生态环境保护</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党政同责、一岗双责</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每季度至少研究部署一次生态文明建设和生态环境保护工作，及时分析形势，研究解决重大生态环境问题。市、县人民政府每年向同级人大常委会汇报生态文明建设和生态环境保护目标完成情况，自觉接受人大监督。市直有关部门单位全面落实</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管发展必须管环保、管生产必须管环保、管行业必须管环保</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要求，按照生态环境保护责任清单全面履职尽责，每年公开年度生态环境保护责任落实情况。</w:t>
      </w:r>
    </w:p>
    <w:p w14:paraId="449DD05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（三）</w:t>
      </w:r>
      <w:r>
        <w:rPr>
          <w:rFonts w:hint="default" w:ascii="Times New Roman" w:hAnsi="Times New Roman" w:eastAsia="仿宋_GB2312" w:cs="Times New Roman"/>
          <w:color w:val="auto"/>
          <w:spacing w:val="-6"/>
          <w:kern w:val="0"/>
          <w:sz w:val="32"/>
          <w:szCs w:val="32"/>
          <w:highlight w:val="none"/>
        </w:rPr>
        <w:t>凝聚工作合力。充分发挥市、县两级生态环境保护工作委员会统筹协调作用，每年至少召开一次全体会议，根据工作需要及时召开专项会议，推动各级各部门各单位坚定不移贯彻落实党中央、国务院关于生态环境保护的决策部署，统筹推进生态环境高水平保护与经济社会高质量发展。生态环境保护工作委员会成员单位每年1月底前向本级生态环境保护工作委员会办公室报告上年度生态环境保护职责履行情况。</w:t>
      </w:r>
    </w:p>
    <w:p w14:paraId="0803C5C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（四）</w:t>
      </w:r>
      <w:r>
        <w:rPr>
          <w:rFonts w:hint="default" w:ascii="Times New Roman" w:hAnsi="Times New Roman" w:eastAsia="仿宋_GB2312" w:cs="Times New Roman"/>
          <w:color w:val="auto"/>
          <w:spacing w:val="-6"/>
          <w:kern w:val="0"/>
          <w:sz w:val="32"/>
          <w:szCs w:val="32"/>
          <w:highlight w:val="none"/>
        </w:rPr>
        <w:t>推进问题整改。对各级生态环境保护督察反馈问题整改情况实施清单化调度，综合采用调度、督导、预警、督办、约谈、问责等措施，推进各项问题按序时进度整改。对重点工作建立会商机制，协调推动问题整改。</w:t>
      </w:r>
    </w:p>
    <w:p w14:paraId="784822F1">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二、有的部门对结构性污染问题认识不到位，</w:t>
      </w:r>
      <w:r>
        <w:rPr>
          <w:rFonts w:hint="eastAsia" w:eastAsia="黑体" w:cs="Times New Roman"/>
          <w:color w:val="auto"/>
          <w:spacing w:val="-6"/>
          <w:kern w:val="0"/>
          <w:sz w:val="32"/>
          <w:szCs w:val="32"/>
          <w:highlight w:val="none"/>
          <w:lang w:eastAsia="zh-CN"/>
        </w:rPr>
        <w:t>“</w:t>
      </w:r>
      <w:r>
        <w:rPr>
          <w:rFonts w:hint="default" w:ascii="Times New Roman" w:hAnsi="Times New Roman" w:eastAsia="黑体" w:cs="Times New Roman"/>
          <w:color w:val="auto"/>
          <w:spacing w:val="-6"/>
          <w:kern w:val="0"/>
          <w:sz w:val="32"/>
          <w:szCs w:val="32"/>
          <w:highlight w:val="none"/>
          <w:lang w:eastAsia="zh-CN"/>
        </w:rPr>
        <w:t>两高</w:t>
      </w:r>
      <w:r>
        <w:rPr>
          <w:rFonts w:hint="eastAsia" w:eastAsia="黑体" w:cs="Times New Roman"/>
          <w:color w:val="auto"/>
          <w:spacing w:val="-6"/>
          <w:kern w:val="0"/>
          <w:sz w:val="32"/>
          <w:szCs w:val="32"/>
          <w:highlight w:val="none"/>
          <w:lang w:eastAsia="zh-CN"/>
        </w:rPr>
        <w:t>”</w:t>
      </w:r>
      <w:r>
        <w:rPr>
          <w:rFonts w:hint="default" w:ascii="Times New Roman" w:hAnsi="Times New Roman" w:eastAsia="黑体" w:cs="Times New Roman"/>
          <w:color w:val="auto"/>
          <w:spacing w:val="-6"/>
          <w:kern w:val="0"/>
          <w:sz w:val="32"/>
          <w:szCs w:val="32"/>
          <w:highlight w:val="none"/>
          <w:lang w:eastAsia="zh-CN"/>
        </w:rPr>
        <w:t>项目管理存在漏洞，</w:t>
      </w:r>
      <w:r>
        <w:rPr>
          <w:rFonts w:hint="eastAsia" w:eastAsia="黑体" w:cs="Times New Roman"/>
          <w:color w:val="auto"/>
          <w:spacing w:val="-6"/>
          <w:kern w:val="0"/>
          <w:sz w:val="32"/>
          <w:szCs w:val="32"/>
          <w:highlight w:val="none"/>
          <w:lang w:eastAsia="zh-CN"/>
        </w:rPr>
        <w:t>“</w:t>
      </w:r>
      <w:r>
        <w:rPr>
          <w:rFonts w:hint="default" w:ascii="Times New Roman" w:hAnsi="Times New Roman" w:eastAsia="黑体" w:cs="Times New Roman"/>
          <w:color w:val="auto"/>
          <w:spacing w:val="-6"/>
          <w:kern w:val="0"/>
          <w:sz w:val="32"/>
          <w:szCs w:val="32"/>
          <w:highlight w:val="none"/>
          <w:lang w:eastAsia="zh-CN"/>
        </w:rPr>
        <w:t>两高</w:t>
      </w:r>
      <w:r>
        <w:rPr>
          <w:rFonts w:hint="eastAsia" w:eastAsia="黑体" w:cs="Times New Roman"/>
          <w:color w:val="auto"/>
          <w:spacing w:val="-6"/>
          <w:kern w:val="0"/>
          <w:sz w:val="32"/>
          <w:szCs w:val="32"/>
          <w:highlight w:val="none"/>
          <w:lang w:eastAsia="zh-CN"/>
        </w:rPr>
        <w:t>”</w:t>
      </w:r>
      <w:r>
        <w:rPr>
          <w:rFonts w:hint="default" w:ascii="Times New Roman" w:hAnsi="Times New Roman" w:eastAsia="黑体" w:cs="Times New Roman"/>
          <w:color w:val="auto"/>
          <w:spacing w:val="-6"/>
          <w:kern w:val="0"/>
          <w:sz w:val="32"/>
          <w:szCs w:val="32"/>
          <w:highlight w:val="none"/>
          <w:lang w:eastAsia="zh-CN"/>
        </w:rPr>
        <w:t>项目管理存在漏洞。</w:t>
      </w:r>
    </w:p>
    <w:p w14:paraId="2D96BC67">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两高</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项目梳理核查工作专班各成员单位，岱岳区党委和人民政府，其他各县（市、区）党委和人民政府、功能区党工委和管委会</w:t>
      </w:r>
    </w:p>
    <w:p w14:paraId="28D1090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督导单位：市发展改革委</w:t>
      </w:r>
    </w:p>
    <w:p w14:paraId="4F9B095D">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1546FFDA">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整改目标：存量</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两高</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项目全部纳入台账管理。</w:t>
      </w:r>
    </w:p>
    <w:p w14:paraId="2E68C261">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整改措施：2025年3月底前，</w:t>
      </w:r>
      <w:r>
        <w:rPr>
          <w:rFonts w:hint="default" w:ascii="Times New Roman" w:hAnsi="Times New Roman" w:eastAsia="仿宋_GB2312" w:cs="Times New Roman"/>
          <w:color w:val="auto"/>
          <w:spacing w:val="-6"/>
          <w:kern w:val="0"/>
          <w:sz w:val="32"/>
          <w:szCs w:val="32"/>
          <w:highlight w:val="none"/>
          <w:lang w:eastAsia="zh-CN"/>
        </w:rPr>
        <w:t>已</w:t>
      </w:r>
      <w:r>
        <w:rPr>
          <w:rFonts w:hint="default" w:ascii="Times New Roman" w:hAnsi="Times New Roman" w:eastAsia="仿宋_GB2312" w:cs="Times New Roman"/>
          <w:color w:val="auto"/>
          <w:spacing w:val="-6"/>
          <w:kern w:val="0"/>
          <w:sz w:val="32"/>
          <w:szCs w:val="32"/>
          <w:highlight w:val="none"/>
        </w:rPr>
        <w:t>组织对全市</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两高</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项目进行全方位摸底排查，全面彻底查清</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两高</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项目底数。2025年6月底前，存量</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两高</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项目全部纳入台账管理。</w:t>
      </w:r>
    </w:p>
    <w:p w14:paraId="20D1CCF9">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三、个别已实施超低排放的焦化企业未按要求保存相关电子记录数据。</w:t>
      </w:r>
    </w:p>
    <w:p w14:paraId="437796F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责任单位：市生态环境局，宁阳县、新泰市党委和人民政府</w:t>
      </w:r>
    </w:p>
    <w:p w14:paraId="400129D9">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督导单位：市生态环境局</w:t>
      </w:r>
    </w:p>
    <w:p w14:paraId="0A5B7A1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整改时限：2025年6月底前</w:t>
      </w:r>
    </w:p>
    <w:p w14:paraId="7AACB2D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整改目标：严格按要求落实国家、省焦化行业综合管控平台数据、DCS系统数据、视频监控数据记录等超低排放改造监测监控措施。</w:t>
      </w:r>
    </w:p>
    <w:p w14:paraId="0B3CDB5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48D95A6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宁阳县、新泰市</w:t>
      </w:r>
      <w:r>
        <w:rPr>
          <w:rFonts w:hint="default" w:ascii="Times New Roman" w:hAnsi="Times New Roman" w:eastAsia="仿宋_GB2312" w:cs="Times New Roman"/>
          <w:color w:val="auto"/>
          <w:spacing w:val="-6"/>
          <w:kern w:val="0"/>
          <w:sz w:val="32"/>
          <w:szCs w:val="32"/>
          <w:highlight w:val="none"/>
          <w:lang w:eastAsia="zh-CN"/>
        </w:rPr>
        <w:t>督促相关企业</w:t>
      </w:r>
      <w:r>
        <w:rPr>
          <w:rFonts w:hint="default" w:ascii="Times New Roman" w:hAnsi="Times New Roman" w:eastAsia="仿宋_GB2312" w:cs="Times New Roman"/>
          <w:color w:val="auto"/>
          <w:spacing w:val="-6"/>
          <w:kern w:val="0"/>
          <w:sz w:val="32"/>
          <w:szCs w:val="32"/>
          <w:highlight w:val="none"/>
        </w:rPr>
        <w:t>完成相关系统修复、扩容，满足电子记录数据保存、视频监控数据保存基础条件，具备完整的数据采集功能。</w:t>
      </w:r>
    </w:p>
    <w:p w14:paraId="60E08041">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严格落实《山东省焦化行业超低排放改造实施方案》，督促企业强化监测监控管理，按要求做好综合管控平台数据、DCS系统数据、视频监控数据记录。</w:t>
      </w:r>
    </w:p>
    <w:p w14:paraId="048F820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（三）</w:t>
      </w:r>
      <w:r>
        <w:rPr>
          <w:rFonts w:hint="default" w:ascii="Times New Roman" w:hAnsi="Times New Roman" w:eastAsia="仿宋_GB2312" w:cs="Times New Roman"/>
          <w:color w:val="auto"/>
          <w:spacing w:val="-6"/>
          <w:kern w:val="0"/>
          <w:sz w:val="32"/>
          <w:szCs w:val="32"/>
          <w:highlight w:val="none"/>
        </w:rPr>
        <w:t>强化现场督导检查，将全市焦化企业综合管控平台数据、DCS系统数据、视频监控数据记录等监测监控管理情况纳入日常监管，满足超低排放要求。</w:t>
      </w:r>
    </w:p>
    <w:p w14:paraId="7DB75212">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四、再生水回用率偏低，泰安市建成区4个污水处理厂回用率仅28.8%。</w:t>
      </w:r>
    </w:p>
    <w:p w14:paraId="681C209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责任单位：市城市管理局，泰山区党委和人民政府</w:t>
      </w:r>
    </w:p>
    <w:p w14:paraId="4CE1FFE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督导单位：市城市管理局</w:t>
      </w:r>
    </w:p>
    <w:p w14:paraId="31F9C9A4">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整改时限：2025年6月底前</w:t>
      </w:r>
    </w:p>
    <w:p w14:paraId="38F1DD0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整改目标：城市生活污水处理厂再生水利用率达到55%。</w:t>
      </w:r>
    </w:p>
    <w:p w14:paraId="670AFEC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212DCB9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强化监管。加强建成区4座城市生活污水处理厂运行管理，定期调度、强化监督指导，保障污水处理厂达标排放，满足城市再生利用相关水质要求。督促4座污水处理厂健全再生水使用台账，详细记录再生水利用方式、用户、水量等。</w:t>
      </w:r>
    </w:p>
    <w:p w14:paraId="2FA3D22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提升再生水利用率。扩大城市杂用、湿地景观、工业企业再生水利用比例，推进城市绿化、道路清扫等优先使用再生水，做好</w:t>
      </w:r>
      <w:r>
        <w:rPr>
          <w:rFonts w:hint="default" w:ascii="Times New Roman" w:hAnsi="Times New Roman" w:eastAsia="仿宋_GB2312" w:cs="Times New Roman"/>
          <w:color w:val="auto"/>
          <w:spacing w:val="-6"/>
          <w:kern w:val="0"/>
          <w:sz w:val="32"/>
          <w:szCs w:val="32"/>
          <w:highlight w:val="none"/>
          <w:lang w:eastAsia="zh-CN"/>
        </w:rPr>
        <w:t>有关</w:t>
      </w:r>
      <w:r>
        <w:rPr>
          <w:rFonts w:hint="default" w:ascii="Times New Roman" w:hAnsi="Times New Roman" w:eastAsia="仿宋_GB2312" w:cs="Times New Roman"/>
          <w:color w:val="auto"/>
          <w:spacing w:val="-6"/>
          <w:kern w:val="0"/>
          <w:sz w:val="32"/>
          <w:szCs w:val="32"/>
          <w:highlight w:val="none"/>
        </w:rPr>
        <w:t>再生水保障。2025年6月底前，城市生活污水处理厂再生水利用率达到55%。</w:t>
      </w:r>
    </w:p>
    <w:p w14:paraId="105B555C">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五、无证取用地下水现象依然存在。</w:t>
      </w:r>
    </w:p>
    <w:p w14:paraId="7C34BFCD">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责任单位：市水利局、市行政审批服务局，各县（市、区）党委和人民政府、功能区党工委和管委会</w:t>
      </w:r>
    </w:p>
    <w:p w14:paraId="696E1AE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督导单位：市水利局</w:t>
      </w:r>
    </w:p>
    <w:p w14:paraId="3361B7C4">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041DA981">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整改目标：强化水资源监管，完善取水许可手续，严厉打击违规取用地下水行为。</w:t>
      </w:r>
    </w:p>
    <w:p w14:paraId="3F9C7774">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500F09D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依法依规查处违规取用水行为。2025年5月底前，</w:t>
      </w:r>
      <w:r>
        <w:rPr>
          <w:rFonts w:hint="default" w:ascii="Times New Roman" w:hAnsi="Times New Roman" w:eastAsia="仿宋_GB2312" w:cs="Times New Roman"/>
          <w:color w:val="auto"/>
          <w:spacing w:val="-6"/>
          <w:kern w:val="0"/>
          <w:sz w:val="32"/>
          <w:szCs w:val="32"/>
          <w:highlight w:val="none"/>
          <w:lang w:eastAsia="zh-CN"/>
        </w:rPr>
        <w:t>对有关</w:t>
      </w:r>
      <w:r>
        <w:rPr>
          <w:rFonts w:hint="default" w:ascii="Times New Roman" w:hAnsi="Times New Roman" w:eastAsia="仿宋_GB2312" w:cs="Times New Roman"/>
          <w:color w:val="auto"/>
          <w:spacing w:val="-6"/>
          <w:kern w:val="0"/>
          <w:sz w:val="32"/>
          <w:szCs w:val="32"/>
          <w:highlight w:val="none"/>
        </w:rPr>
        <w:t>违法行为依法依规处罚到位。</w:t>
      </w:r>
    </w:p>
    <w:p w14:paraId="23E5195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2025年年底前，在全市层面开展水资源专项监管行动，严厉打击违规取用地下水行为。市水利、行政审批部门建立常态化审管信息共享机制，对符合取用地下水要求的无证取水项目，依法依规补办取水许可手续。</w:t>
      </w:r>
    </w:p>
    <w:p w14:paraId="560B6E9C">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六、</w:t>
      </w:r>
      <w:r>
        <w:rPr>
          <w:rFonts w:hint="default" w:ascii="Times New Roman" w:hAnsi="Times New Roman" w:eastAsia="黑体" w:cs="Times New Roman"/>
          <w:color w:val="auto"/>
          <w:spacing w:val="-6"/>
          <w:kern w:val="0"/>
          <w:sz w:val="32"/>
          <w:szCs w:val="32"/>
          <w:highlight w:val="none"/>
        </w:rPr>
        <w:t>部分企业主体责任意识不强，存在废气治理设施不正常运行或擅自闲置、未落实</w:t>
      </w:r>
      <w:r>
        <w:rPr>
          <w:rFonts w:hint="eastAsia" w:eastAsia="黑体" w:cs="Times New Roman"/>
          <w:color w:val="auto"/>
          <w:spacing w:val="-6"/>
          <w:kern w:val="0"/>
          <w:sz w:val="32"/>
          <w:szCs w:val="32"/>
          <w:highlight w:val="none"/>
          <w:lang w:eastAsia="zh-CN"/>
        </w:rPr>
        <w:t>“</w:t>
      </w:r>
      <w:r>
        <w:rPr>
          <w:rFonts w:hint="default" w:ascii="Times New Roman" w:hAnsi="Times New Roman" w:eastAsia="黑体" w:cs="Times New Roman"/>
          <w:color w:val="auto"/>
          <w:spacing w:val="-6"/>
          <w:kern w:val="0"/>
          <w:sz w:val="32"/>
          <w:szCs w:val="32"/>
          <w:highlight w:val="none"/>
        </w:rPr>
        <w:t>三同时</w:t>
      </w:r>
      <w:r>
        <w:rPr>
          <w:rFonts w:hint="eastAsia" w:eastAsia="黑体" w:cs="Times New Roman"/>
          <w:color w:val="auto"/>
          <w:spacing w:val="-6"/>
          <w:kern w:val="0"/>
          <w:sz w:val="32"/>
          <w:szCs w:val="32"/>
          <w:highlight w:val="none"/>
          <w:lang w:eastAsia="zh-CN"/>
        </w:rPr>
        <w:t>”</w:t>
      </w:r>
      <w:r>
        <w:rPr>
          <w:rFonts w:hint="default" w:ascii="Times New Roman" w:hAnsi="Times New Roman" w:eastAsia="黑体" w:cs="Times New Roman"/>
          <w:color w:val="auto"/>
          <w:spacing w:val="-6"/>
          <w:kern w:val="0"/>
          <w:sz w:val="32"/>
          <w:szCs w:val="32"/>
          <w:highlight w:val="none"/>
        </w:rPr>
        <w:t>要求、自行检测不规范、未安装在线监测设备并联网等问题。部分加油站存在气液比检测不合格和油气泄漏问题。</w:t>
      </w:r>
    </w:p>
    <w:p w14:paraId="3B91CF8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责任单位：市生态环境局，各县（市、区）党委和人民政府、功能区党工委和管委会</w:t>
      </w:r>
    </w:p>
    <w:p w14:paraId="28D764A4">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督导单位：市生态环境局</w:t>
      </w:r>
    </w:p>
    <w:p w14:paraId="1EB429B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5A57482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整改目标：督促企业落实治污主体责任，严查违法排污行为。</w:t>
      </w:r>
    </w:p>
    <w:p w14:paraId="62BD102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20D6FEE1">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针对企业废气治理设施不正常运行或擅自闲置、未落实</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三同时</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要求、未按规定开展自行检测、未按要求安装在线监测设备并联网逃避监管行为等问题，立即调查处理，督促企业按要求落实污染防治措施，企业废气治理设施问题立行立改，在线监测违法违规问题2025年6月底前整改到位。</w:t>
      </w:r>
    </w:p>
    <w:p w14:paraId="0339CCA7">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已于2024年11月前对相关加油站液阻压力检测不达标、气液比检测不达标问题依法进行查处，开展油气回收检测，相关加油站均已达标排放。2025年6月底前，组织开展全市加油站油气回收系统专项检查，对气液比不合格、油气泄漏等问题，建立问题台账，依法依规整改到位。</w:t>
      </w:r>
    </w:p>
    <w:p w14:paraId="4D6431CC">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lang w:eastAsia="zh-CN"/>
        </w:rPr>
        <w:t>七、</w:t>
      </w:r>
      <w:r>
        <w:rPr>
          <w:rFonts w:hint="default" w:ascii="Times New Roman" w:hAnsi="Times New Roman" w:eastAsia="黑体" w:cs="Times New Roman"/>
          <w:color w:val="auto"/>
          <w:spacing w:val="-6"/>
          <w:kern w:val="0"/>
          <w:sz w:val="32"/>
          <w:szCs w:val="32"/>
          <w:highlight w:val="none"/>
        </w:rPr>
        <w:t>清洁取暖推进不力。</w:t>
      </w:r>
    </w:p>
    <w:p w14:paraId="017E65F7">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责任单位：市住房城乡建设局、市生态环境局，各县（市、区）党委和人民政府、功能区党工委和管委会</w:t>
      </w:r>
    </w:p>
    <w:p w14:paraId="5ABED124">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督导单位：市住房城乡建设局</w:t>
      </w:r>
    </w:p>
    <w:p w14:paraId="33B1359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整改时限：2026年年底前</w:t>
      </w:r>
    </w:p>
    <w:p w14:paraId="01FB89E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整改目标：因地制宜推进泰城城中村清洁取暖改造，提高清洁取暖设备使用率，有效管控城中村居民燃煤取暖现象。</w:t>
      </w:r>
    </w:p>
    <w:p w14:paraId="35A21CC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22628B7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开展全面摸底调查。2025年3月底前，</w:t>
      </w:r>
      <w:r>
        <w:rPr>
          <w:rFonts w:hint="default" w:ascii="Times New Roman" w:hAnsi="Times New Roman" w:eastAsia="仿宋_GB2312" w:cs="Times New Roman"/>
          <w:color w:val="auto"/>
          <w:spacing w:val="-6"/>
          <w:kern w:val="0"/>
          <w:sz w:val="32"/>
          <w:szCs w:val="32"/>
          <w:highlight w:val="none"/>
          <w:lang w:eastAsia="zh-CN"/>
        </w:rPr>
        <w:t>已</w:t>
      </w:r>
      <w:r>
        <w:rPr>
          <w:rFonts w:hint="default" w:ascii="Times New Roman" w:hAnsi="Times New Roman" w:eastAsia="仿宋_GB2312" w:cs="Times New Roman"/>
          <w:color w:val="auto"/>
          <w:spacing w:val="-6"/>
          <w:kern w:val="0"/>
          <w:sz w:val="32"/>
          <w:szCs w:val="32"/>
          <w:highlight w:val="none"/>
        </w:rPr>
        <w:t>组织属地对城中村取暖现状进行全面摸底，全面摸清城中村现有能源条件和取暖方式，真实掌握各城中村居民当前取暖方式和改造意愿。</w:t>
      </w:r>
    </w:p>
    <w:p w14:paraId="51A6E15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制定详细改造计划。2025年7月底前，组织相关区（功能区）根据城中村实际情况，对不具备清洁取暖条件的用户制定详细的改造计划和实施方案，明确改造方式、资金来源、改造时间表等。2026年12月底前，按制定的计划完成城中村清洁取暖改造。</w:t>
      </w:r>
    </w:p>
    <w:p w14:paraId="74E3CEA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（三）</w:t>
      </w:r>
      <w:r>
        <w:rPr>
          <w:rFonts w:hint="default" w:ascii="Times New Roman" w:hAnsi="Times New Roman" w:eastAsia="仿宋_GB2312" w:cs="Times New Roman"/>
          <w:color w:val="auto"/>
          <w:spacing w:val="-6"/>
          <w:kern w:val="0"/>
          <w:sz w:val="32"/>
          <w:szCs w:val="32"/>
          <w:highlight w:val="none"/>
        </w:rPr>
        <w:t>加强宣传教育。组织属地采取多种形式宣传教育，鼓励城中村群众自发改造和使用清洁取暖设施，减少散煤使用。加大执法检查力度，严格落实禁燃区管控措施，严防禁燃区内散煤复烧。</w:t>
      </w:r>
    </w:p>
    <w:p w14:paraId="767237C7">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（四）</w:t>
      </w:r>
      <w:r>
        <w:rPr>
          <w:rFonts w:hint="default" w:ascii="Times New Roman" w:hAnsi="Times New Roman" w:eastAsia="仿宋_GB2312" w:cs="Times New Roman"/>
          <w:color w:val="auto"/>
          <w:spacing w:val="-6"/>
          <w:kern w:val="0"/>
          <w:sz w:val="32"/>
          <w:szCs w:val="32"/>
          <w:highlight w:val="none"/>
        </w:rPr>
        <w:t>强化政策支持。进一步明确城中村电代煤、气代煤新增用户确认流程，保障新改造用户及时享受相关政策；指导属地制定符合辖区实际的运行补贴政策，提高城中村居民用户的改造和使用积极性。</w:t>
      </w:r>
    </w:p>
    <w:p w14:paraId="01A92318">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lang w:eastAsia="zh-CN"/>
        </w:rPr>
        <w:t>八、</w:t>
      </w:r>
      <w:r>
        <w:rPr>
          <w:rFonts w:hint="default" w:ascii="Times New Roman" w:hAnsi="Times New Roman" w:eastAsia="黑体" w:cs="Times New Roman"/>
          <w:color w:val="auto"/>
          <w:spacing w:val="-6"/>
          <w:kern w:val="0"/>
          <w:sz w:val="32"/>
          <w:szCs w:val="32"/>
          <w:highlight w:val="none"/>
        </w:rPr>
        <w:t>散煤治理推进不力。</w:t>
      </w:r>
    </w:p>
    <w:p w14:paraId="7D6DB72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责任单位：市发展改革委、市市场监管局、市生态环境局，各县（市、区）党委和人民政府、功能区党工委和管委会</w:t>
      </w:r>
    </w:p>
    <w:p w14:paraId="7173F4C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督导单位：市发展改革委</w:t>
      </w:r>
    </w:p>
    <w:p w14:paraId="0486346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747040C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整改目标：强化煤炭质量监管，严肃查处涉煤炭违法案件，提升散煤治理成效。</w:t>
      </w:r>
    </w:p>
    <w:p w14:paraId="14334F3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09F6C1E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已于2024年12月组织对全市散煤销售点逐一摸排核查，依法依规清理取缔无营业执照经营散煤销售点，责令无煤质检测报告的散煤销售点配备煤质检测报告。强化散煤销售点常态化巡察检查，实现无照经营散煤销售点</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动态清零</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w:t>
      </w:r>
    </w:p>
    <w:p w14:paraId="4BA65B6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发展改革、生态环境、市场监管等部门建立涉煤炭违法行为联合执法机制，强化调度督导，加强信息共享、案件移送、联合惩戒等方面沟通协作，推动形成监管合力。取暖季期间组织开展两次专项执法行动，依法打击无照经营煤炭、禁燃区内销售高污染煤、掺杂掺假、以次充好等违法行为。</w:t>
      </w:r>
    </w:p>
    <w:p w14:paraId="5A89A43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（三）</w:t>
      </w:r>
      <w:r>
        <w:rPr>
          <w:rFonts w:hint="default" w:ascii="Times New Roman" w:hAnsi="Times New Roman" w:eastAsia="仿宋_GB2312" w:cs="Times New Roman"/>
          <w:color w:val="auto"/>
          <w:spacing w:val="-6"/>
          <w:kern w:val="0"/>
          <w:sz w:val="32"/>
          <w:szCs w:val="32"/>
          <w:highlight w:val="none"/>
        </w:rPr>
        <w:t>加大民用商品煤质量检验指导力度，规范开展煤炭质量抽检工作。规范民用商品煤配送网点管理，督促网点配齐煤质检测报告，建立健全产品购入、销售流向等台账，引导网点依法依规经营。</w:t>
      </w:r>
    </w:p>
    <w:p w14:paraId="3C37D77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（四）</w:t>
      </w:r>
      <w:r>
        <w:rPr>
          <w:rFonts w:hint="default" w:ascii="Times New Roman" w:hAnsi="Times New Roman" w:eastAsia="仿宋_GB2312" w:cs="Times New Roman"/>
          <w:color w:val="auto"/>
          <w:spacing w:val="-6"/>
          <w:kern w:val="0"/>
          <w:sz w:val="32"/>
          <w:szCs w:val="32"/>
          <w:highlight w:val="none"/>
        </w:rPr>
        <w:t>加强宣传，引导群众使用清洁能源，鼓励举报违规使用、销售散煤等行为，营造良好散煤治理舆论氛围。</w:t>
      </w:r>
    </w:p>
    <w:p w14:paraId="7FCE71A6">
      <w:pPr>
        <w:spacing w:beforeLines="0" w:afterLines="0" w:line="580" w:lineRule="exact"/>
        <w:ind w:firstLine="616" w:firstLineChars="200"/>
        <w:jc w:val="left"/>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lang w:eastAsia="zh-CN"/>
        </w:rPr>
        <w:t>九、</w:t>
      </w:r>
      <w:r>
        <w:rPr>
          <w:rFonts w:hint="default" w:ascii="Times New Roman" w:hAnsi="Times New Roman" w:eastAsia="黑体" w:cs="Times New Roman"/>
          <w:color w:val="auto"/>
          <w:spacing w:val="-6"/>
          <w:kern w:val="0"/>
          <w:sz w:val="32"/>
          <w:szCs w:val="32"/>
          <w:highlight w:val="none"/>
        </w:rPr>
        <w:t>部分土石方工程、道路维修工程扬尘管控措施落实不到位。</w:t>
      </w:r>
    </w:p>
    <w:p w14:paraId="16CE7A0A">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责任单位：市城市管理局，各县（市、区）党委和人民政府、功能区党工委和管委会</w:t>
      </w:r>
    </w:p>
    <w:p w14:paraId="10BE656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督导单位：市城市管理局</w:t>
      </w:r>
    </w:p>
    <w:p w14:paraId="7445374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整改时限：2025年年底前取得阶段性成效，长期坚持</w:t>
      </w:r>
    </w:p>
    <w:p w14:paraId="5E35173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整改目标：扬尘防治沟通协作机制不断完善，城区建筑施工工地扬尘管控成效不断提升。</w:t>
      </w:r>
    </w:p>
    <w:p w14:paraId="14D93BEA">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71B9062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（一）依法对</w:t>
      </w:r>
      <w:r>
        <w:rPr>
          <w:rFonts w:hint="default" w:ascii="Times New Roman" w:hAnsi="Times New Roman" w:eastAsia="仿宋_GB2312" w:cs="Times New Roman"/>
          <w:color w:val="auto"/>
          <w:spacing w:val="-6"/>
          <w:kern w:val="0"/>
          <w:sz w:val="32"/>
          <w:szCs w:val="32"/>
          <w:highlight w:val="none"/>
          <w:lang w:eastAsia="zh-CN"/>
        </w:rPr>
        <w:t>有关</w:t>
      </w:r>
      <w:r>
        <w:rPr>
          <w:rFonts w:hint="default" w:ascii="Times New Roman" w:hAnsi="Times New Roman" w:eastAsia="仿宋_GB2312" w:cs="Times New Roman"/>
          <w:color w:val="auto"/>
          <w:spacing w:val="-6"/>
          <w:kern w:val="0"/>
          <w:sz w:val="32"/>
          <w:szCs w:val="32"/>
          <w:highlight w:val="none"/>
        </w:rPr>
        <w:t>项目未落实扬尘防治措施的违法行为进行行政处罚，责令项目落实覆盖、洒水等抑尘措施。2024年12月，</w:t>
      </w:r>
      <w:r>
        <w:rPr>
          <w:rFonts w:hint="default" w:ascii="Times New Roman" w:hAnsi="Times New Roman" w:eastAsia="仿宋_GB2312" w:cs="Times New Roman"/>
          <w:color w:val="auto"/>
          <w:spacing w:val="-6"/>
          <w:kern w:val="0"/>
          <w:sz w:val="32"/>
          <w:szCs w:val="32"/>
          <w:highlight w:val="none"/>
          <w:lang w:eastAsia="zh-CN"/>
        </w:rPr>
        <w:t>相关道路</w:t>
      </w:r>
      <w:r>
        <w:rPr>
          <w:rFonts w:hint="default" w:ascii="Times New Roman" w:hAnsi="Times New Roman" w:eastAsia="仿宋_GB2312" w:cs="Times New Roman"/>
          <w:color w:val="auto"/>
          <w:spacing w:val="-6"/>
          <w:kern w:val="0"/>
          <w:sz w:val="32"/>
          <w:szCs w:val="32"/>
          <w:highlight w:val="none"/>
        </w:rPr>
        <w:t>维修工程已竣工并正常通车。</w:t>
      </w:r>
    </w:p>
    <w:p w14:paraId="2036882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（二）市城市管理局建立健全建筑工地扬尘防治统筹治理协调机制，加强泰城城区建筑工地施工现场扬尘防治管理，严格落实施工工地扬尘防治</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六项措施</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标准要求。对未达到扬尘防治标准的，加大巡查执法力度，督促落实整改。</w:t>
      </w:r>
    </w:p>
    <w:p w14:paraId="04C3886B">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十、城市建成区污水直排、雨污混排问题突出，排查整改进度缓慢。</w:t>
      </w:r>
    </w:p>
    <w:p w14:paraId="6776187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责任单位：市城市管理局</w:t>
      </w:r>
      <w:r>
        <w:rPr>
          <w:rFonts w:hint="eastAsia" w:eastAsia="仿宋_GB2312" w:cs="Times New Roman"/>
          <w:color w:val="auto"/>
          <w:spacing w:val="-6"/>
          <w:kern w:val="0"/>
          <w:sz w:val="32"/>
          <w:szCs w:val="32"/>
          <w:highlight w:val="none"/>
          <w:lang w:eastAsia="zh-CN"/>
        </w:rPr>
        <w:t>、</w:t>
      </w:r>
      <w:bookmarkStart w:id="0" w:name="_GoBack"/>
      <w:bookmarkEnd w:id="0"/>
      <w:r>
        <w:rPr>
          <w:rFonts w:hint="default" w:ascii="Times New Roman" w:hAnsi="Times New Roman" w:eastAsia="仿宋_GB2312" w:cs="Times New Roman"/>
          <w:color w:val="auto"/>
          <w:spacing w:val="-6"/>
          <w:kern w:val="0"/>
          <w:sz w:val="32"/>
          <w:szCs w:val="32"/>
          <w:highlight w:val="none"/>
        </w:rPr>
        <w:t>市住房城乡建设局、市生态环境局，各县（市、区）党委和人民政府、功能区党工委和管委会</w:t>
      </w:r>
    </w:p>
    <w:p w14:paraId="2287C03A">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督导单位：市城市管理局</w:t>
      </w:r>
    </w:p>
    <w:p w14:paraId="5DC07FA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1C595724">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整改目标：全市城市建成区雨污合流管网改造效果明显提升。</w:t>
      </w:r>
    </w:p>
    <w:p w14:paraId="572AB199">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22870F2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（一）市城市管理局逐一明确涉污水直排、雨污混流、管网溢流35个问题整改责任，2025年年底前全面完成问题整改。</w:t>
      </w:r>
    </w:p>
    <w:p w14:paraId="42AEF95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（二）2025年3月底前，市城市管理局</w:t>
      </w:r>
      <w:r>
        <w:rPr>
          <w:rFonts w:hint="default" w:ascii="Times New Roman" w:hAnsi="Times New Roman" w:eastAsia="仿宋_GB2312" w:cs="Times New Roman"/>
          <w:color w:val="auto"/>
          <w:spacing w:val="-6"/>
          <w:kern w:val="0"/>
          <w:sz w:val="32"/>
          <w:szCs w:val="32"/>
          <w:highlight w:val="none"/>
          <w:lang w:eastAsia="zh-CN"/>
        </w:rPr>
        <w:t>已</w:t>
      </w:r>
      <w:r>
        <w:rPr>
          <w:rFonts w:hint="default" w:ascii="Times New Roman" w:hAnsi="Times New Roman" w:eastAsia="仿宋_GB2312" w:cs="Times New Roman"/>
          <w:color w:val="auto"/>
          <w:spacing w:val="-6"/>
          <w:kern w:val="0"/>
          <w:sz w:val="32"/>
          <w:szCs w:val="32"/>
          <w:highlight w:val="none"/>
        </w:rPr>
        <w:t>制定《泰安市城市建成区雨污合流管网改造后查漏补缺工作方案》，组织开展已完成雨污分流改造管网问题专项整治，督促各县（市、区）、功能区做好雨污管网查漏补缺工作，重点排查建成区污水直排、溢流等问题，补齐城市污水收集设施短板，提升城市污水收集效能。</w:t>
      </w:r>
    </w:p>
    <w:p w14:paraId="09370C3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lang w:eastAsia="zh-CN"/>
        </w:rPr>
        <w:t>十一、部分污水处理设施运行管理不到位，存在曝气设施运行不正常、冲洗废水直接外排、污泥未按要求处理等问题。</w:t>
      </w:r>
    </w:p>
    <w:p w14:paraId="1AFF285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责任单位：市生态环境局，各县（市、区）党委和人民政府、功能区党工委和管委会</w:t>
      </w:r>
    </w:p>
    <w:p w14:paraId="3879533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督导单位：市生态环境局</w:t>
      </w:r>
    </w:p>
    <w:p w14:paraId="73AF584D">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整改时限：2025年年底前</w:t>
      </w:r>
    </w:p>
    <w:p w14:paraId="4025A95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整改目标：污水处理设施管理规范，运行稳定，达标排放；人工湿地水质净化工程有效发挥水质净化功能。</w:t>
      </w:r>
    </w:p>
    <w:p w14:paraId="01B927D3">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407CC52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（一）宁阳县</w:t>
      </w:r>
      <w:r>
        <w:rPr>
          <w:rFonts w:hint="default" w:ascii="Times New Roman" w:hAnsi="Times New Roman" w:eastAsia="仿宋_GB2312" w:cs="Times New Roman"/>
          <w:color w:val="auto"/>
          <w:spacing w:val="-6"/>
          <w:kern w:val="0"/>
          <w:sz w:val="32"/>
          <w:szCs w:val="32"/>
          <w:highlight w:val="none"/>
          <w:lang w:eastAsia="zh-CN"/>
        </w:rPr>
        <w:t>督促相关</w:t>
      </w:r>
      <w:r>
        <w:rPr>
          <w:rFonts w:hint="default" w:ascii="Times New Roman" w:hAnsi="Times New Roman" w:eastAsia="仿宋_GB2312" w:cs="Times New Roman"/>
          <w:color w:val="auto"/>
          <w:spacing w:val="-6"/>
          <w:kern w:val="0"/>
          <w:sz w:val="32"/>
          <w:szCs w:val="32"/>
          <w:highlight w:val="none"/>
        </w:rPr>
        <w:t>污水处理站曝气设施实现正常运行，</w:t>
      </w:r>
      <w:r>
        <w:rPr>
          <w:rFonts w:hint="default" w:ascii="Times New Roman" w:hAnsi="Times New Roman" w:eastAsia="仿宋_GB2312" w:cs="Times New Roman"/>
          <w:color w:val="auto"/>
          <w:spacing w:val="-6"/>
          <w:kern w:val="0"/>
          <w:sz w:val="32"/>
          <w:szCs w:val="32"/>
          <w:highlight w:val="none"/>
          <w:lang w:eastAsia="zh-CN"/>
        </w:rPr>
        <w:t>并</w:t>
      </w:r>
      <w:r>
        <w:rPr>
          <w:rFonts w:hint="default" w:ascii="Times New Roman" w:hAnsi="Times New Roman" w:eastAsia="仿宋_GB2312" w:cs="Times New Roman"/>
          <w:color w:val="auto"/>
          <w:spacing w:val="-6"/>
          <w:kern w:val="0"/>
          <w:sz w:val="32"/>
          <w:szCs w:val="32"/>
          <w:highlight w:val="none"/>
        </w:rPr>
        <w:t>于2024年12月对该企业废水直排问题进行行政处罚，督促企业严格按照环评及相关规定要求处理废水，落实雨污分流等措施。</w:t>
      </w:r>
    </w:p>
    <w:p w14:paraId="2090A4CC">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二</w:t>
      </w:r>
      <w:r>
        <w:rPr>
          <w:rFonts w:hint="default" w:ascii="Times New Roman" w:hAnsi="Times New Roman" w:eastAsia="仿宋_GB2312" w:cs="Times New Roman"/>
          <w:color w:val="auto"/>
          <w:spacing w:val="-6"/>
          <w:kern w:val="0"/>
          <w:sz w:val="32"/>
          <w:szCs w:val="32"/>
          <w:highlight w:val="none"/>
        </w:rPr>
        <w:t>）岱岳区2025年3月</w:t>
      </w:r>
      <w:r>
        <w:rPr>
          <w:rFonts w:hint="default" w:ascii="Times New Roman" w:hAnsi="Times New Roman" w:eastAsia="仿宋_GB2312" w:cs="Times New Roman"/>
          <w:color w:val="auto"/>
          <w:spacing w:val="-6"/>
          <w:kern w:val="0"/>
          <w:sz w:val="32"/>
          <w:szCs w:val="32"/>
          <w:highlight w:val="none"/>
          <w:lang w:eastAsia="zh-CN"/>
        </w:rPr>
        <w:t>已</w:t>
      </w:r>
      <w:r>
        <w:rPr>
          <w:rFonts w:hint="default" w:ascii="Times New Roman" w:hAnsi="Times New Roman" w:eastAsia="仿宋_GB2312" w:cs="Times New Roman"/>
          <w:color w:val="auto"/>
          <w:spacing w:val="-6"/>
          <w:kern w:val="0"/>
          <w:sz w:val="32"/>
          <w:szCs w:val="32"/>
          <w:highlight w:val="none"/>
        </w:rPr>
        <w:t>对</w:t>
      </w:r>
      <w:r>
        <w:rPr>
          <w:rFonts w:hint="default" w:ascii="Times New Roman" w:hAnsi="Times New Roman" w:eastAsia="仿宋_GB2312" w:cs="Times New Roman"/>
          <w:color w:val="auto"/>
          <w:spacing w:val="-6"/>
          <w:kern w:val="0"/>
          <w:sz w:val="32"/>
          <w:szCs w:val="32"/>
          <w:highlight w:val="none"/>
          <w:lang w:eastAsia="zh-CN"/>
        </w:rPr>
        <w:t>相关单位</w:t>
      </w:r>
      <w:r>
        <w:rPr>
          <w:rFonts w:hint="default" w:ascii="Times New Roman" w:hAnsi="Times New Roman" w:eastAsia="仿宋_GB2312" w:cs="Times New Roman"/>
          <w:color w:val="auto"/>
          <w:spacing w:val="-6"/>
          <w:kern w:val="0"/>
          <w:sz w:val="32"/>
          <w:szCs w:val="32"/>
          <w:highlight w:val="none"/>
        </w:rPr>
        <w:t>污水处理设施污泥进行鉴定。2025年年底前，高新区</w:t>
      </w:r>
      <w:r>
        <w:rPr>
          <w:rFonts w:hint="default" w:ascii="Times New Roman" w:hAnsi="Times New Roman" w:eastAsia="仿宋_GB2312" w:cs="Times New Roman"/>
          <w:color w:val="auto"/>
          <w:spacing w:val="-6"/>
          <w:kern w:val="0"/>
          <w:sz w:val="32"/>
          <w:szCs w:val="32"/>
          <w:highlight w:val="none"/>
          <w:lang w:eastAsia="zh-CN"/>
        </w:rPr>
        <w:t>对有关</w:t>
      </w:r>
      <w:r>
        <w:rPr>
          <w:rFonts w:hint="default" w:ascii="Times New Roman" w:hAnsi="Times New Roman" w:eastAsia="仿宋_GB2312" w:cs="Times New Roman"/>
          <w:color w:val="auto"/>
          <w:spacing w:val="-6"/>
          <w:kern w:val="0"/>
          <w:sz w:val="32"/>
          <w:szCs w:val="32"/>
          <w:highlight w:val="none"/>
        </w:rPr>
        <w:t>污水处理设施污泥进行鉴定。</w:t>
      </w:r>
    </w:p>
    <w:p w14:paraId="3984EA21">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三</w:t>
      </w:r>
      <w:r>
        <w:rPr>
          <w:rFonts w:hint="default" w:ascii="Times New Roman" w:hAnsi="Times New Roman" w:eastAsia="仿宋_GB2312" w:cs="Times New Roman"/>
          <w:color w:val="auto"/>
          <w:spacing w:val="-6"/>
          <w:kern w:val="0"/>
          <w:sz w:val="32"/>
          <w:szCs w:val="32"/>
          <w:highlight w:val="none"/>
        </w:rPr>
        <w:t>）2025年6月底前，开展全市涉水企业专项执法帮扶行动，指导涉水排污单位提升管理水平，及时消除环境违法隐患。</w:t>
      </w:r>
    </w:p>
    <w:p w14:paraId="5001B8A5">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十二、建筑垃圾全过程管理措施落实不到位，泰安市主城区及各县（市）均未建设建筑垃圾消纳场，部分建筑垃圾资源化利用点和建筑垃圾综合利用项目存在设施闲置、违规建设洗砂生产线等问题。</w:t>
      </w:r>
    </w:p>
    <w:p w14:paraId="6DC52F1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责任单位：市城市管理局、市生态环境局，各县（市、区）党委和人民政府、功能区党工委和管委会</w:t>
      </w:r>
    </w:p>
    <w:p w14:paraId="670E960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督导单位：市城市管理局</w:t>
      </w:r>
    </w:p>
    <w:p w14:paraId="64B67DB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整改时限：2026年年底前</w:t>
      </w:r>
    </w:p>
    <w:p w14:paraId="12B028E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整改目标：强化建筑垃圾全过程管理，推进建筑垃圾资源化利用，规范建筑垃圾处置。</w:t>
      </w:r>
    </w:p>
    <w:p w14:paraId="1DAF30B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48D88D0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一）市城市管理局统筹全市建筑垃圾管理，加强业务指导，督促属地全面落实建筑垃圾全过程管理，提升全市建筑垃圾管理水平。加快推进泰安市建筑垃圾资源化再利用项目（含消纳场）建设，2024年底已完成一期工程建设，2026年年底前具备消纳能力。指导督促各县（市、区）按照《建筑垃圾污染环境防治工作规划》，建设建筑垃圾消纳场。</w:t>
      </w:r>
    </w:p>
    <w:p w14:paraId="653480A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二</w:t>
      </w:r>
      <w:r>
        <w:rPr>
          <w:rFonts w:hint="default" w:ascii="Times New Roman" w:hAnsi="Times New Roman" w:eastAsia="仿宋_GB2312" w:cs="Times New Roman"/>
          <w:color w:val="auto"/>
          <w:spacing w:val="-6"/>
          <w:kern w:val="0"/>
          <w:sz w:val="32"/>
          <w:szCs w:val="32"/>
          <w:highlight w:val="none"/>
        </w:rPr>
        <w:t>）对6家企业存在的建筑垃圾资源化利用设施闲置、违规建设洗砂生产线等问题进行全面核查，责令企业限期整改，涉违法违规行为的严肃依法依规处理，2025年5月底前整改到位。</w:t>
      </w:r>
    </w:p>
    <w:p w14:paraId="034844C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三</w:t>
      </w:r>
      <w:r>
        <w:rPr>
          <w:rFonts w:hint="default" w:ascii="Times New Roman" w:hAnsi="Times New Roman" w:eastAsia="仿宋_GB2312" w:cs="Times New Roman"/>
          <w:color w:val="auto"/>
          <w:spacing w:val="-6"/>
          <w:kern w:val="0"/>
          <w:sz w:val="32"/>
          <w:szCs w:val="32"/>
          <w:highlight w:val="none"/>
        </w:rPr>
        <w:t>）组织开展全市建筑垃圾排查整治，依法查处违规倾倒堆放等违法行为。</w:t>
      </w:r>
    </w:p>
    <w:p w14:paraId="28808BFA">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十三、大宗固体废物处置利用办法不多、措施不实，固体废物综合利用推进不力，煤矸石、脱硫石膏、尾矿砂等固废长期堆存问题仍有发生。</w:t>
      </w:r>
    </w:p>
    <w:p w14:paraId="1DA0BC3F">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责任单位：市发展改革委、市工业和信息化局、市生态环境局，各县（市、区）党委和人民政府、功能区党工委和管委会</w:t>
      </w:r>
    </w:p>
    <w:p w14:paraId="1ECED10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督导单位：市发展改革委、市工业和信息化局、市生态环境局</w:t>
      </w:r>
    </w:p>
    <w:p w14:paraId="5B4D3CF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整改时限：2027年年底前</w:t>
      </w:r>
    </w:p>
    <w:p w14:paraId="07FDC67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整改目标：推动固体废物综合利用，解决固废长期堆存问题。</w:t>
      </w:r>
    </w:p>
    <w:p w14:paraId="2FA8FAAB">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7DC09CAA">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（一）针对煤矸石堆存问题，宁阳县实施</w:t>
      </w:r>
      <w:r>
        <w:rPr>
          <w:rFonts w:hint="default" w:ascii="Times New Roman" w:hAnsi="Times New Roman" w:eastAsia="仿宋_GB2312" w:cs="Times New Roman"/>
          <w:color w:val="auto"/>
          <w:spacing w:val="-6"/>
          <w:kern w:val="0"/>
          <w:sz w:val="32"/>
          <w:szCs w:val="32"/>
          <w:highlight w:val="none"/>
          <w:lang w:eastAsia="zh-CN"/>
        </w:rPr>
        <w:t>相关</w:t>
      </w:r>
      <w:r>
        <w:rPr>
          <w:rFonts w:hint="default" w:ascii="Times New Roman" w:hAnsi="Times New Roman" w:eastAsia="仿宋_GB2312" w:cs="Times New Roman"/>
          <w:color w:val="auto"/>
          <w:spacing w:val="-6"/>
          <w:kern w:val="0"/>
          <w:sz w:val="32"/>
          <w:szCs w:val="32"/>
          <w:highlight w:val="none"/>
        </w:rPr>
        <w:t>矸石山溶水治理项目，进行矸石山淋溶水收集、回用，实现矸石山裸露未绿化部分严密覆盖，2025年6月底前完成工程建设；新泰市组织对相关煤矸石进行全面覆盖，2025年年底前按要求完善防洪与疏通排水沟渠，避免煤矸石淋溶水随雨水排入附近河道，多途径综合利用煤矸石以消除存量。</w:t>
      </w:r>
    </w:p>
    <w:p w14:paraId="682993F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（二）针对堆存的脱硫石膏问题，宁阳县已于2024年10月</w:t>
      </w:r>
      <w:r>
        <w:rPr>
          <w:rFonts w:hint="default" w:ascii="Times New Roman" w:hAnsi="Times New Roman" w:eastAsia="仿宋_GB2312" w:cs="Times New Roman"/>
          <w:color w:val="auto"/>
          <w:spacing w:val="-6"/>
          <w:kern w:val="0"/>
          <w:sz w:val="32"/>
          <w:szCs w:val="32"/>
          <w:highlight w:val="none"/>
          <w:lang w:eastAsia="zh-CN"/>
        </w:rPr>
        <w:t>组织相关单位</w:t>
      </w:r>
      <w:r>
        <w:rPr>
          <w:rFonts w:hint="default" w:ascii="Times New Roman" w:hAnsi="Times New Roman" w:eastAsia="仿宋_GB2312" w:cs="Times New Roman"/>
          <w:color w:val="auto"/>
          <w:spacing w:val="-6"/>
          <w:kern w:val="0"/>
          <w:sz w:val="32"/>
          <w:szCs w:val="32"/>
          <w:highlight w:val="none"/>
        </w:rPr>
        <w:t>全部清运处置。</w:t>
      </w:r>
    </w:p>
    <w:p w14:paraId="7DA118B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（三）针对尾矿砂、粉煤灰</w:t>
      </w:r>
      <w:r>
        <w:rPr>
          <w:rFonts w:hint="default" w:ascii="Times New Roman" w:hAnsi="Times New Roman" w:eastAsia="仿宋_GB2312" w:cs="Times New Roman"/>
          <w:color w:val="auto"/>
          <w:spacing w:val="-6"/>
          <w:kern w:val="0"/>
          <w:sz w:val="32"/>
          <w:szCs w:val="32"/>
          <w:highlight w:val="none"/>
          <w:lang w:eastAsia="zh-CN"/>
        </w:rPr>
        <w:t>堆存</w:t>
      </w:r>
      <w:r>
        <w:rPr>
          <w:rFonts w:hint="default" w:ascii="Times New Roman" w:hAnsi="Times New Roman" w:eastAsia="仿宋_GB2312" w:cs="Times New Roman"/>
          <w:color w:val="auto"/>
          <w:spacing w:val="-6"/>
          <w:kern w:val="0"/>
          <w:sz w:val="32"/>
          <w:szCs w:val="32"/>
          <w:highlight w:val="none"/>
        </w:rPr>
        <w:t>问题，宁阳县已于2024年10月完成</w:t>
      </w:r>
      <w:r>
        <w:rPr>
          <w:rFonts w:hint="default" w:ascii="Times New Roman" w:hAnsi="Times New Roman" w:eastAsia="仿宋_GB2312" w:cs="Times New Roman"/>
          <w:color w:val="auto"/>
          <w:spacing w:val="-6"/>
          <w:kern w:val="0"/>
          <w:sz w:val="32"/>
          <w:szCs w:val="32"/>
          <w:highlight w:val="none"/>
          <w:lang w:eastAsia="zh-CN"/>
        </w:rPr>
        <w:t>有关</w:t>
      </w:r>
      <w:r>
        <w:rPr>
          <w:rFonts w:hint="default" w:ascii="Times New Roman" w:hAnsi="Times New Roman" w:eastAsia="仿宋_GB2312" w:cs="Times New Roman"/>
          <w:color w:val="auto"/>
          <w:spacing w:val="-6"/>
          <w:kern w:val="0"/>
          <w:sz w:val="32"/>
          <w:szCs w:val="32"/>
          <w:highlight w:val="none"/>
        </w:rPr>
        <w:t>堆存物覆盖封存。责令业主落实固体废物污染防控措施，积极探寻大宗固体废物利用途径，2025年6月底前启动清运处置，2025年9月前编制完成固体废物总体处置方案，2027年年底前完成清运处置。</w:t>
      </w:r>
    </w:p>
    <w:p w14:paraId="44B68086">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rPr>
        <w:t>（四）市发展改革委按照国家发展改革委等10部委《关于</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十四五</w:t>
      </w:r>
      <w:r>
        <w:rPr>
          <w:rFonts w:hint="eastAsia"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大宗固体废弃物综合利用的指导意见》（发改环资〔2021〕381号），结合泰安实际，统筹推动大宗固废综合利用工作。市工业和信息化局会同有关部门积极做好工业固体废物综合利用技术、工艺、设备和产品的推广应用，引导企业自愿开展工业固体废物资源综合利用评价，推动工业固体废物资源综合利用。市生态环境局强化工业固废堆存点位排查整治，开展2025年度工业固废堆存点位排查整治专项行动，全面排查整治辖区内工业固体废物违规堆存点位。</w:t>
      </w:r>
    </w:p>
    <w:p w14:paraId="6C33B338">
      <w:pPr>
        <w:spacing w:beforeLines="0" w:afterLines="0" w:line="580" w:lineRule="exact"/>
        <w:ind w:firstLine="620"/>
        <w:jc w:val="left"/>
        <w:rPr>
          <w:rFonts w:hint="default" w:ascii="Times New Roman" w:hAnsi="Times New Roman" w:eastAsia="黑体" w:cs="Times New Roman"/>
          <w:color w:val="auto"/>
          <w:spacing w:val="-6"/>
          <w:kern w:val="0"/>
          <w:sz w:val="32"/>
          <w:szCs w:val="32"/>
          <w:highlight w:val="none"/>
          <w:lang w:eastAsia="zh-CN"/>
        </w:rPr>
      </w:pPr>
      <w:r>
        <w:rPr>
          <w:rFonts w:hint="default" w:ascii="Times New Roman" w:hAnsi="Times New Roman" w:eastAsia="黑体" w:cs="Times New Roman"/>
          <w:color w:val="auto"/>
          <w:spacing w:val="-6"/>
          <w:kern w:val="0"/>
          <w:sz w:val="32"/>
          <w:szCs w:val="32"/>
          <w:highlight w:val="none"/>
          <w:lang w:eastAsia="zh-CN"/>
        </w:rPr>
        <w:t>十四、有的已完成闭库销号的尾矿库未配套建设污染防治设施，大量尾矿裸露，存在环境风险。</w:t>
      </w:r>
    </w:p>
    <w:p w14:paraId="3BC44B1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责任单位：市应急局、市自然资源和规划局、市生态环境局，宁阳县、东平县党委和人民政府</w:t>
      </w:r>
    </w:p>
    <w:p w14:paraId="2347B858">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督导单位：市应急局、市自然资源和规划局、市生态环境局</w:t>
      </w:r>
    </w:p>
    <w:p w14:paraId="739A047A">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整改时限：2027年年底前</w:t>
      </w:r>
    </w:p>
    <w:p w14:paraId="5D83241E">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整改目标：泰安市4个尾矿库消除环境安全隐患，达到销号标准，完成销号工作。</w:t>
      </w:r>
    </w:p>
    <w:p w14:paraId="4D703637">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整改措施：</w:t>
      </w:r>
    </w:p>
    <w:p w14:paraId="6FCD97D5">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rPr>
        <w:t>宁阳县对辖区内3个尾矿库开展土地综合治理，2025年3月</w:t>
      </w:r>
      <w:r>
        <w:rPr>
          <w:rFonts w:hint="default" w:ascii="Times New Roman" w:hAnsi="Times New Roman" w:eastAsia="仿宋_GB2312" w:cs="Times New Roman"/>
          <w:color w:val="auto"/>
          <w:spacing w:val="-6"/>
          <w:kern w:val="0"/>
          <w:sz w:val="32"/>
          <w:szCs w:val="32"/>
          <w:highlight w:val="none"/>
          <w:lang w:eastAsia="zh-CN"/>
        </w:rPr>
        <w:t>已</w:t>
      </w:r>
      <w:r>
        <w:rPr>
          <w:rFonts w:hint="default" w:ascii="Times New Roman" w:hAnsi="Times New Roman" w:eastAsia="仿宋_GB2312" w:cs="Times New Roman"/>
          <w:color w:val="auto"/>
          <w:spacing w:val="-6"/>
          <w:kern w:val="0"/>
          <w:sz w:val="32"/>
          <w:szCs w:val="32"/>
          <w:highlight w:val="none"/>
        </w:rPr>
        <w:t>编制完成土地复垦方案，根据土地复垦方案实施尾矿砂清运、土地复垦，2026年12月底前完成；编制《环境风险评估报告》，按照评估结论落实环境风险防控和污染防治措施；开展安全风险评估，达到销号标准后，2027年年底前完成销号。</w:t>
      </w:r>
    </w:p>
    <w:p w14:paraId="70E305F2">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rPr>
        <w:t>2025年12月底前，东平县完成</w:t>
      </w:r>
      <w:r>
        <w:rPr>
          <w:rFonts w:hint="default" w:ascii="Times New Roman" w:hAnsi="Times New Roman" w:eastAsia="仿宋_GB2312" w:cs="Times New Roman"/>
          <w:color w:val="auto"/>
          <w:spacing w:val="-6"/>
          <w:kern w:val="0"/>
          <w:sz w:val="32"/>
          <w:szCs w:val="32"/>
          <w:highlight w:val="none"/>
          <w:lang w:eastAsia="zh-CN"/>
        </w:rPr>
        <w:t>相关</w:t>
      </w:r>
      <w:r>
        <w:rPr>
          <w:rFonts w:hint="default" w:ascii="Times New Roman" w:hAnsi="Times New Roman" w:eastAsia="仿宋_GB2312" w:cs="Times New Roman"/>
          <w:color w:val="auto"/>
          <w:spacing w:val="-6"/>
          <w:kern w:val="0"/>
          <w:sz w:val="32"/>
          <w:szCs w:val="32"/>
          <w:highlight w:val="none"/>
        </w:rPr>
        <w:t>尾矿库土地复垦，全面清理</w:t>
      </w:r>
      <w:r>
        <w:rPr>
          <w:rFonts w:hint="default" w:ascii="Times New Roman" w:hAnsi="Times New Roman" w:eastAsia="仿宋_GB2312" w:cs="Times New Roman"/>
          <w:color w:val="auto"/>
          <w:spacing w:val="-6"/>
          <w:kern w:val="0"/>
          <w:sz w:val="32"/>
          <w:szCs w:val="32"/>
          <w:highlight w:val="none"/>
          <w:lang w:eastAsia="zh-CN"/>
        </w:rPr>
        <w:t>有关</w:t>
      </w:r>
      <w:r>
        <w:rPr>
          <w:rFonts w:hint="default" w:ascii="Times New Roman" w:hAnsi="Times New Roman" w:eastAsia="仿宋_GB2312" w:cs="Times New Roman"/>
          <w:color w:val="auto"/>
          <w:spacing w:val="-6"/>
          <w:kern w:val="0"/>
          <w:sz w:val="32"/>
          <w:szCs w:val="32"/>
          <w:highlight w:val="none"/>
        </w:rPr>
        <w:t>尾砂，在库区南北两侧山坡修建堤堰，回填客土后用于农作物种植，并在两侧修建排水沟，完善排水系统，达到销号要求。编制《环境风险评估报告》，按照评估结论落实环境风险防控和污染防治措施。</w:t>
      </w:r>
    </w:p>
    <w:p w14:paraId="3A4705C6">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（三）</w:t>
      </w:r>
      <w:r>
        <w:rPr>
          <w:rFonts w:hint="default" w:ascii="Times New Roman" w:hAnsi="Times New Roman" w:eastAsia="仿宋_GB2312" w:cs="Times New Roman"/>
          <w:color w:val="auto"/>
          <w:spacing w:val="-6"/>
          <w:kern w:val="0"/>
          <w:sz w:val="32"/>
          <w:szCs w:val="32"/>
          <w:highlight w:val="none"/>
        </w:rPr>
        <w:t>市自然资源和规划局牵头做好尾矿库土地复垦工作，督促尾矿库根据土地复垦方案实施土地平整、客土回填等相关工程，确保达到验收条件。</w:t>
      </w:r>
    </w:p>
    <w:p w14:paraId="5FC04B59">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（四）</w:t>
      </w:r>
      <w:r>
        <w:rPr>
          <w:rFonts w:hint="default" w:ascii="Times New Roman" w:hAnsi="Times New Roman" w:eastAsia="仿宋_GB2312" w:cs="Times New Roman"/>
          <w:color w:val="auto"/>
          <w:spacing w:val="-6"/>
          <w:kern w:val="0"/>
          <w:sz w:val="32"/>
          <w:szCs w:val="32"/>
          <w:highlight w:val="none"/>
        </w:rPr>
        <w:t>市生态环境局牵头做好尾矿库环境监管工作，严格落实环境监管分类分级要求，压实尾矿库企业主体责任，督促尾矿库规范开展污染隐患排查治理。</w:t>
      </w:r>
    </w:p>
    <w:p w14:paraId="61857D30">
      <w:pPr>
        <w:spacing w:beforeLines="0" w:afterLines="0" w:line="580" w:lineRule="exact"/>
        <w:ind w:firstLine="620"/>
        <w:jc w:val="left"/>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val="en-US" w:eastAsia="zh-CN"/>
        </w:rPr>
        <w:t>（五）</w:t>
      </w:r>
      <w:r>
        <w:rPr>
          <w:rFonts w:hint="default" w:ascii="Times New Roman" w:hAnsi="Times New Roman" w:eastAsia="仿宋_GB2312" w:cs="Times New Roman"/>
          <w:color w:val="auto"/>
          <w:spacing w:val="-6"/>
          <w:kern w:val="0"/>
          <w:sz w:val="32"/>
          <w:szCs w:val="32"/>
          <w:highlight w:val="none"/>
        </w:rPr>
        <w:t>市应急局牵头做好尾矿库销号工作，在尾矿库均达到销号条件后，督促宁阳县严格按照《山东省尾矿库闭库销号管理办法（试行）》规定，对3个已注销安全生产许可证的尾矿库履行销号程序，2027年年底前完成销号；督促东平县对已销号的尾矿库提升标准，达到《山东省尾矿库闭库销号管理办法（试行）》规定的销号要求。</w:t>
      </w:r>
    </w:p>
    <w:sectPr>
      <w:footerReference r:id="rId3" w:type="default"/>
      <w:footerReference r:id="rId4" w:type="even"/>
      <w:pgSz w:w="11904" w:h="16836"/>
      <w:pgMar w:top="1521" w:right="1701" w:bottom="1695" w:left="1701" w:header="720" w:footer="141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AAA2">
    <w:pPr>
      <w:spacing w:beforeLines="0" w:afterLines="0"/>
      <w:ind w:right="280"/>
      <w:jc w:val="right"/>
      <w:rPr>
        <w:rFonts w:hint="default" w:cs="宋体"/>
        <w:sz w:val="24"/>
        <w:szCs w:val="24"/>
      </w:rPr>
    </w:pPr>
    <w:r>
      <w:rPr>
        <w:rFonts w:hint="default" w:ascii="宋体" w:hAnsi="宋体" w:cs="宋体"/>
        <w:sz w:val="28"/>
        <w:szCs w:val="28"/>
      </w:rPr>
      <w:t>—</w:t>
    </w:r>
    <w:r>
      <w:rPr>
        <w:rFonts w:hint="eastAsia" w:ascii="宋体"/>
        <w:sz w:val="28"/>
        <w:szCs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1</w:t>
    </w:r>
    <w:r>
      <w:rPr>
        <w:rFonts w:hint="eastAsia" w:ascii="宋体" w:hAnsi="宋体" w:cs="宋体"/>
        <w:sz w:val="28"/>
        <w:szCs w:val="28"/>
        <w:lang w:val="zh-CN"/>
      </w:rPr>
      <w:fldChar w:fldCharType="end"/>
    </w:r>
    <w:r>
      <w:rPr>
        <w:rFonts w:hint="eastAsia" w:ascii="宋体"/>
        <w:sz w:val="28"/>
        <w:szCs w:val="24"/>
      </w:rPr>
      <w:t xml:space="preserve"> </w:t>
    </w:r>
    <w:r>
      <w:rPr>
        <w:rFonts w:hint="default" w:ascii="宋体" w:hAnsi="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EE65">
    <w:pPr>
      <w:spacing w:beforeLines="0" w:afterLines="0"/>
      <w:ind w:firstLine="280"/>
      <w:jc w:val="left"/>
      <w:rPr>
        <w:rFonts w:hint="eastAsia" w:cs="宋体"/>
        <w:sz w:val="28"/>
        <w:szCs w:val="28"/>
      </w:rPr>
    </w:pPr>
    <w:r>
      <w:rPr>
        <w:rFonts w:hint="default" w:ascii="宋体" w:hAnsi="宋体" w:cs="宋体"/>
        <w:sz w:val="28"/>
        <w:szCs w:val="28"/>
      </w:rPr>
      <w:t>—</w:t>
    </w:r>
    <w:r>
      <w:rPr>
        <w:rFonts w:hint="eastAsia" w:ascii="宋体"/>
        <w:sz w:val="28"/>
        <w:szCs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lang w:val="zh-CN"/>
      </w:rPr>
      <w:fldChar w:fldCharType="end"/>
    </w:r>
    <w:r>
      <w:rPr>
        <w:rFonts w:hint="eastAsia" w:ascii="宋体"/>
        <w:sz w:val="28"/>
        <w:szCs w:val="24"/>
      </w:rPr>
      <w:t xml:space="preserve"> </w:t>
    </w:r>
    <w:r>
      <w:rPr>
        <w:rFonts w:hint="default" w:ascii="宋体" w:hAnsi="宋体" w:cs="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275653"/>
    <w:rsid w:val="04B97682"/>
    <w:rsid w:val="05A76A4C"/>
    <w:rsid w:val="072512B4"/>
    <w:rsid w:val="0A125BAE"/>
    <w:rsid w:val="0AAF431C"/>
    <w:rsid w:val="0B097183"/>
    <w:rsid w:val="10ED0D9A"/>
    <w:rsid w:val="112B40A4"/>
    <w:rsid w:val="1133054F"/>
    <w:rsid w:val="118303ED"/>
    <w:rsid w:val="11834DC7"/>
    <w:rsid w:val="13631AD8"/>
    <w:rsid w:val="162928E6"/>
    <w:rsid w:val="165C73DE"/>
    <w:rsid w:val="18791587"/>
    <w:rsid w:val="1B0D6B3F"/>
    <w:rsid w:val="1B193AF0"/>
    <w:rsid w:val="1DF61496"/>
    <w:rsid w:val="20735353"/>
    <w:rsid w:val="23613F66"/>
    <w:rsid w:val="274E1692"/>
    <w:rsid w:val="29F4032C"/>
    <w:rsid w:val="2AEA5227"/>
    <w:rsid w:val="2AFC07BB"/>
    <w:rsid w:val="2B2B5AA8"/>
    <w:rsid w:val="2B3A46BC"/>
    <w:rsid w:val="2F987114"/>
    <w:rsid w:val="32B2280A"/>
    <w:rsid w:val="35D45B2E"/>
    <w:rsid w:val="399907C8"/>
    <w:rsid w:val="3B713FFA"/>
    <w:rsid w:val="3BCE3237"/>
    <w:rsid w:val="3D162784"/>
    <w:rsid w:val="3E016A21"/>
    <w:rsid w:val="3FF12080"/>
    <w:rsid w:val="41A701CB"/>
    <w:rsid w:val="41F27215"/>
    <w:rsid w:val="424C3F7D"/>
    <w:rsid w:val="42576B28"/>
    <w:rsid w:val="481E647A"/>
    <w:rsid w:val="4AEE5A25"/>
    <w:rsid w:val="4AF40FA1"/>
    <w:rsid w:val="4C9A1E10"/>
    <w:rsid w:val="4F4246BC"/>
    <w:rsid w:val="4F476694"/>
    <w:rsid w:val="51BC0756"/>
    <w:rsid w:val="51E1640E"/>
    <w:rsid w:val="54E40E72"/>
    <w:rsid w:val="54FA3AD0"/>
    <w:rsid w:val="57C82528"/>
    <w:rsid w:val="58D952F9"/>
    <w:rsid w:val="58F27AF4"/>
    <w:rsid w:val="5D221689"/>
    <w:rsid w:val="5DEC36F9"/>
    <w:rsid w:val="5E4D6891"/>
    <w:rsid w:val="6B6A0DCB"/>
    <w:rsid w:val="6CFB7CDE"/>
    <w:rsid w:val="796920A1"/>
    <w:rsid w:val="79A56B16"/>
    <w:rsid w:val="79EA2534"/>
    <w:rsid w:val="7A502C3A"/>
    <w:rsid w:val="7B1464B6"/>
    <w:rsid w:val="7D012DAB"/>
    <w:rsid w:val="7E07092C"/>
    <w:rsid w:val="7E5E58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4">
    <w:name w:val="Default Paragraph Font"/>
    <w:semiHidden/>
    <w:unhideWhenUsed/>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Strong"/>
    <w:basedOn w:val="4"/>
    <w:semiHidden/>
    <w:unhideWhenUsed/>
    <w:qFormat/>
    <w:uiPriority w:val="99"/>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6303</Words>
  <Characters>6480</Characters>
  <TotalTime>55</TotalTime>
  <ScaleCrop>false</ScaleCrop>
  <LinksUpToDate>false</LinksUpToDate>
  <CharactersWithSpaces>6482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2025-03-04T07:44:00Z</dcterms:created>
  <dc:creator>Administrator</dc:creator>
  <cp:lastModifiedBy>太妃糖</cp:lastModifiedBy>
  <dcterms:modified xsi:type="dcterms:W3CDTF">2025-07-29T02:00:15Z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7AEFF52DCF8A4D1DAA20A8A2581272F0_13</vt:lpwstr>
  </property>
  <property fmtid="{D5CDD505-2E9C-101B-9397-08002B2CF9AE}" pid="4" name="KSOTemplateDocerSaveRecord">
    <vt:lpwstr>eyJoZGlkIjoiYjUzMDVhMTM5OWRhYjMxOTgzYmFlNmZkOWUwODI1NTMiLCJ1c2VySWQiOiIxMjEwMzQ1ODkwIn0=</vt:lpwstr>
  </property>
</Properties>
</file>