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000000"/>
          <w:spacing w:val="0"/>
          <w:sz w:val="28"/>
          <w:szCs w:val="28"/>
        </w:rPr>
      </w:pPr>
      <w:r>
        <w:rPr>
          <w:rFonts w:hint="eastAsia" w:asciiTheme="majorEastAsia" w:hAnsiTheme="majorEastAsia" w:eastAsiaTheme="majorEastAsia" w:cstheme="majorEastAsia"/>
          <w:b/>
          <w:bCs/>
          <w:i w:val="0"/>
          <w:caps w:val="0"/>
          <w:color w:val="000000"/>
          <w:spacing w:val="0"/>
          <w:sz w:val="30"/>
          <w:szCs w:val="30"/>
        </w:rPr>
        <w:t>泰安市环境空气质量生态补偿暂行办法</w:t>
      </w:r>
    </w:p>
    <w:p>
      <w:pPr>
        <w:jc w:val="center"/>
        <w:rPr>
          <w:rFonts w:hint="eastAsia" w:asciiTheme="majorEastAsia" w:hAnsiTheme="majorEastAsia" w:eastAsiaTheme="majorEastAsia" w:cstheme="majorEastAsia"/>
          <w:b/>
          <w:bCs/>
          <w:i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第一条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为加快推进生态文明建设，促进环境空气质量逐年改善，参照《山东省环境空气质量生态补偿暂行办法》，结合我市实际，制定本办法。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第二条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本办法所称环</w:t>
      </w:r>
      <w:bookmarkStart w:id="0" w:name="_GoBack"/>
      <w:bookmarkEnd w:id="0"/>
      <w:r>
        <w:rPr>
          <w:rFonts w:hint="eastAsia" w:asciiTheme="minorEastAsia" w:hAnsiTheme="minorEastAsia" w:eastAsiaTheme="minorEastAsia" w:cstheme="minorEastAsia"/>
          <w:i w:val="0"/>
          <w:caps w:val="0"/>
          <w:color w:val="000000"/>
          <w:spacing w:val="0"/>
          <w:sz w:val="24"/>
          <w:szCs w:val="24"/>
        </w:rPr>
        <w:t xml:space="preserve">境空气质量生态补偿资金（以下简称生态补偿资金）是指依据环境空气质量同比变化情况，向考核对象补偿或者由其缴纳赔偿的资金。空气质量生态补偿资金按季度计算，按年度结算。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第三条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本办法考核对象为各县（市、区）政府及功能区管委会。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第四条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各考核对象向市赔偿的资金纳入市生态补偿资金，〖JP1〗用于补偿市向省级缴纳赔偿资金和补偿空气质量改善的考核对象。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第五条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按照“将生态环境质量逐年改善作为区域发展的约束性要求”和“谁保护、谁受益；谁污染、谁付费”的原则，以各考核对象细颗粒物（PM2.5）、可吸入颗粒物（PM10）、二氧化硫（SO2）、二氧化氮（NO2）平均浓度及空气质量优良天数比例季度同比变化情况为考核指标，建立考核奖惩和生态补偿机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PM2.5、PM10、SO2、NO2四类污染物考核权重分别为50%、20%、10%、20%。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第六条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考核数据采用山东省环境信息与监控中心及市监控中心提供的各考核对象环境空气质量自动监测数据。自动监测数据通过环保部门官方网站公开发布。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第七条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污染物浓度以微克/立方米计，空气质量优良天数比例以百分点计。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调整系数依据各考核对象空气自动站点位数确定。其中，泰山区调整系数为1，新泰市、肥城市、宁阳县、东平县调整系数为0.5，岱岳区、泰安高新区、泰山景区、泰安旅游经济开发区调整系数为0.25。调整系数随各考核对象空气自动站点位数变动情况作相应调整。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第八条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经考核，获得生态补偿资金的，按如下公式执行：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获得生态补偿资金额度＝〔（上年季度期PM2.5平均浓度-本年考核季度PM2.5平均浓度）×50%+（上年同季度PM10平均浓度-本年考核季度PM10平均浓度）×20%+（上年同季度SO2平均浓度-本年考核季度SO2平均浓度）×10%+（上年同季度NO2平均浓度-本年考核季度NO2平均浓度）×20%+（本年考核季度空气质量优良天数比例－上年同季度空气质量优良天数比例）〕×调整系数×生态补偿资金系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生态补偿资金系数＝市下达的生态补偿资金/各考核对象季度考核得分分别乘以调整系数后的相加之和。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第九条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按照污染物浓度40万元/（微克/立方米），空气质量优良天数比例10万元/百分点的标准，经考核，缴纳生态赔偿资金的，按如下公式执行：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缴纳生态补偿资金额度＝〔（上年同季度PM2.5平均浓度－本年考核季度PM2.5平均浓度）×50%+（上年同季度PM10平均浓度－本年考核季度PM10平均浓度）×20%+（上年同季度SO2平均浓度－本年考核季度SO2平均浓度）×10%+（上年同季度NO2平均浓度－本年考核季度NO2平均浓度）×20%〕×调整系数×40万元/（微克/立方米）+（本年考核季度空气质量优良天数比例－上年同季度空气质量优良天数比例）×调整系数×10万元/百分点。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市财政局根据市生态环境局提供的考核结果，年终清算生态补偿资金。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第十一条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各考核对象获得的生态补偿资金，统筹用于本辖区内生态环境质量改善等相关工作。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第十二条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本办法自印发之日起施行，有效期至2021年6月30日。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第十三条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本办法由市财政局、市生态环境局负责解释。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sans-serif" w:hAnsi="sans-serif" w:eastAsia="sans-serif" w:cs="sans-serif"/>
          <w:i w:val="0"/>
          <w:caps w:val="0"/>
          <w:color w:val="000000"/>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03048"/>
    <w:rsid w:val="0B3D501E"/>
    <w:rsid w:val="0FC03048"/>
    <w:rsid w:val="5F7A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2020-04-15T07:54:00Z</dcterms:created>
  <dc:creator>小张&amp;</dc:creator>
  <cp:lastModifiedBy>小张&amp;</cp:lastModifiedBy>
  <dcterms:modified xsi:type="dcterms:W3CDTF">2020-04-15T08:02:42Z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