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ascii="FZXBSJW" w:hAnsi="FZXBSJW"/>
          <w:b w:val="0"/>
          <w:bCs w:val="0"/>
          <w:color w:val="333333"/>
          <w:sz w:val="42"/>
          <w:szCs w:val="42"/>
        </w:rPr>
      </w:pPr>
      <w:r>
        <w:rPr>
          <w:rFonts w:hint="default" w:ascii="FZXBSJW" w:hAnsi="FZXBSJW" w:eastAsia="FZXBSJW" w:cs="FZXBSJW"/>
          <w:i w:val="0"/>
          <w:iCs w:val="0"/>
          <w:caps w:val="0"/>
          <w:color w:val="333333"/>
          <w:spacing w:val="0"/>
          <w:sz w:val="42"/>
          <w:szCs w:val="42"/>
          <w:shd w:val="clear" w:fill="FFFFFF"/>
        </w:rPr>
        <w:t>泰安市历史文化名城名镇名村保护办法</w:t>
      </w:r>
    </w:p>
    <w:p>
      <w:pPr>
        <w:ind w:firstLine="420"/>
        <w:rPr>
          <w:rFonts w:ascii="仿宋" w:hAnsi="仿宋" w:eastAsia="仿宋" w:cs="宋体"/>
          <w:color w:val="333333"/>
          <w:kern w:val="0"/>
          <w:sz w:val="32"/>
          <w:szCs w:val="32"/>
        </w:rPr>
      </w:pPr>
      <w:r>
        <w:rPr>
          <w:rFonts w:hint="eastAsia" w:ascii="仿宋" w:hAnsi="仿宋" w:eastAsia="仿宋" w:cs="仿宋"/>
          <w:i w:val="0"/>
          <w:iCs w:val="0"/>
          <w:caps w:val="0"/>
          <w:color w:val="333333"/>
          <w:spacing w:val="0"/>
          <w:sz w:val="28"/>
          <w:szCs w:val="28"/>
          <w:shd w:val="clear" w:fill="FFFFFF"/>
        </w:rPr>
        <w:t>泰安市人民政府令第179号《泰安市历史文化名城名镇名村保护办法》已经2022年12月7日市政府第19次常务会议审议通过，现予公布，自2023年2月1日起施行。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suppressLineNumbers w:val="0"/>
        <w:spacing w:before="0" w:beforeAutospacing="0" w:after="0" w:afterAutospacing="0" w:line="420" w:lineRule="atLeast"/>
        <w:ind w:left="0" w:right="0" w:firstLine="0"/>
        <w:jc w:val="center"/>
        <w:rPr>
          <w:rFonts w:ascii="sans-serif" w:hAnsi="sans-serif" w:eastAsia="sans-serif" w:cs="sans-serif"/>
          <w:i w:val="0"/>
          <w:iCs w:val="0"/>
          <w:caps w:val="0"/>
          <w:color w:val="000000"/>
          <w:spacing w:val="0"/>
          <w:sz w:val="16"/>
          <w:szCs w:val="16"/>
        </w:rPr>
      </w:pPr>
      <w:r>
        <w:rPr>
          <w:rStyle w:val="9"/>
          <w:rFonts w:ascii="黑体" w:hAnsi="宋体" w:eastAsia="黑体" w:cs="黑体"/>
          <w:i w:val="0"/>
          <w:iCs w:val="0"/>
          <w:caps w:val="0"/>
          <w:color w:val="000000"/>
          <w:spacing w:val="0"/>
          <w:sz w:val="32"/>
          <w:szCs w:val="32"/>
        </w:rPr>
        <w:t>第一章 总则</w:t>
      </w:r>
    </w:p>
    <w:p>
      <w:pPr>
        <w:pStyle w:val="6"/>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16"/>
          <w:szCs w:val="16"/>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000000"/>
          <w:spacing w:val="0"/>
          <w:sz w:val="32"/>
          <w:szCs w:val="32"/>
        </w:rPr>
        <w:t>为了加强历史文化名城、名镇、名村保护，传承弘扬黄河文化和泰山文化，践行社会主义核心价值观，根据《中华人民共和国文物保护法》《历史文化名城名镇名村保护条例》《山东省历史文化名城名镇名村保护条例》等法律法规，结合本市实际，制定本办法。</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本市行政区域内历史文化名城、名镇、名村以及历史文化街区、传统风貌区、传统村落、历史建筑、传统风貌建筑、传统民居的保护和监督管理等活动，适用本办法。</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历史文化名城、名镇、名村的保护应当遵循政府主导、社会参与，科学规划、分级管理，保护优先、合理利用的原则，保持和延续其传统格局与历史风貌，维护历史文化遗产的真实性、完整性、可持续性，促进历史文化资源的保护传承和发展利用。</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区）人民政府负责本行政区域内历史文化名城、名镇、名村的保护和监督管理工作，将其纳入国民经济和社会发展规划与国土空间规划，建立保护工作联席会议制度，统筹协调解决工作中的重大问题。</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乡镇人民政府、街道办事处负责历史文化名城、名镇、名村日常巡查、现场保护、信息采集等具体工作。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村民委员会、居民委员会应当配合做好历史文化名城、名镇、名村的相关保护工作。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市、县（市、区）住房城乡建设主管部门会同同级文物主管部门，负责本行政区域内历史文化名城、名镇、名村保护和监督管理具体工作。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发展改革、公安、民政、财政、自然资源和规划、城市管理、文化和旅游、行政审批服务、应急、消防救援等有关部门依据各自职责，共同做好历史文化名城、名镇、名村的相关保护工作。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市、县（市、区）人民政府应当加强历史文化名城、名镇、名村保护的相关保障，安排保护资金列入本级财政预算，并通过捐赠、资助、投资等多种方式筹集保护资金。</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保护资金专项用于历史文化名城、名镇、名村的普查、测绘、申报、认定、规划编制、保护管理、修缮维护、基础设施改善等相关事项，不得截留、挤占或挪作他用。</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鼓励单位和个人通过捐赠、资助、投资、提供保护线索、技术支持、志愿服务、学术研究等方式，依法参与历史文化名城、名镇、名村保护相关工作。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任何单位和个人都有义务保护历史文化名城、名镇、名村，有权对损毁、破坏行为进行劝阻、投诉和举报。</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市、县（市、区）人民政府及其有关部门应当加强历史文化名城、名镇、名村保护的研究和宣传教育，普及保护知识，提高全社会保护意识。</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b/>
          <w:bCs w:val="0"/>
          <w:i w:val="0"/>
          <w:iCs w:val="0"/>
          <w:caps w:val="0"/>
          <w:color w:val="000000"/>
          <w:spacing w:val="0"/>
          <w:sz w:val="32"/>
          <w:szCs w:val="32"/>
        </w:rPr>
        <w:t>第二章 保护规划和保护名录</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市、县（市）人民政府负责组织编制历史文化名城和历史文化街区的保护规划。</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县（市、区）人民政府负责组织编制历史文化名镇、名村、传统风貌区、传统村落的保护规划。</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经依法批准的保护规划，作为规划管理和建设的依据，不得擅自修改。确需修改的，应当按照规划修编和审批程序进行。</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市、县（市、区）人民政府应当加强保护规划实施情况的监督检查，建立保护评估机制，定期对保护情况进行评估，对发现的问题及时进行纠正处理。</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第十一条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保护对象包括：</w:t>
      </w:r>
    </w:p>
    <w:p>
      <w:pPr>
        <w:pStyle w:val="6"/>
        <w:keepNext w:val="0"/>
        <w:keepLines w:val="0"/>
        <w:widowControl/>
        <w:numPr>
          <w:ilvl w:val="0"/>
          <w:numId w:val="0"/>
        </w:numPr>
        <w:suppressLineNumbers w:val="0"/>
        <w:spacing w:before="0" w:beforeAutospacing="0" w:after="0" w:afterAutospacing="0" w:line="420" w:lineRule="atLeast"/>
        <w:ind w:left="420" w:leftChars="0" w:right="0" w:rightChars="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一</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历史文化名城、名镇、名村；</w:t>
      </w:r>
    </w:p>
    <w:p>
      <w:pPr>
        <w:pStyle w:val="6"/>
        <w:keepNext w:val="0"/>
        <w:keepLines w:val="0"/>
        <w:widowControl/>
        <w:numPr>
          <w:ilvl w:val="0"/>
          <w:numId w:val="0"/>
        </w:numPr>
        <w:suppressLineNumbers w:val="0"/>
        <w:spacing w:before="0" w:beforeAutospacing="0" w:after="0" w:afterAutospacing="0" w:line="420" w:lineRule="atLeast"/>
        <w:ind w:left="420" w:leftChars="0" w:right="0" w:rightChars="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二</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历史文化街区、传统风貌区、传统村落；</w:t>
      </w:r>
    </w:p>
    <w:p>
      <w:pPr>
        <w:pStyle w:val="6"/>
        <w:keepNext w:val="0"/>
        <w:keepLines w:val="0"/>
        <w:widowControl/>
        <w:numPr>
          <w:ilvl w:val="0"/>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（三）反映泰安地域特点的名人故居、名人墓葬或者具有纪念、教育等历史文化意义，以及在泰安城市发展与建设史上有代表性的历史建筑、传统风貌建筑、传统民居；</w:t>
      </w:r>
    </w:p>
    <w:p>
      <w:pPr>
        <w:pStyle w:val="6"/>
        <w:keepNext w:val="0"/>
        <w:keepLines w:val="0"/>
        <w:widowControl/>
        <w:numPr>
          <w:ilvl w:val="0"/>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（四）体现泰山文化、北辛文化、大汶口文化、龙山文化、封禅祭祀、儒学传统、红色革命以及传统文艺、传统工艺、传统产业、传统习俗等非物质文化遗产特色的场所、建筑；</w:t>
      </w:r>
    </w:p>
    <w:p>
      <w:pPr>
        <w:pStyle w:val="6"/>
        <w:keepNext w:val="0"/>
        <w:keepLines w:val="0"/>
        <w:widowControl/>
        <w:numPr>
          <w:ilvl w:val="0"/>
          <w:numId w:val="0"/>
        </w:numPr>
        <w:suppressLineNumbers w:val="0"/>
        <w:spacing w:before="0" w:beforeAutospacing="0" w:after="0" w:afterAutospacing="0" w:line="420" w:lineRule="atLeast"/>
        <w:ind w:left="420" w:leftChars="0" w:right="0" w:rightChars="0"/>
        <w:jc w:val="left"/>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（五）其他具有历史保护价值的保护对象。</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第十二条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建立历史文化名城、名镇、名村保护名录制度，将保护对象分类纳入保护名录，由市、县（市、区）住房城乡建设主管部门会同同级文物主管部门负责编制和调整，其他有关部门予以配合。</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经国家、省相关主管部门批准或者确定公布的保护对象，直接列入保护名录。</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第十三条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建立历史文化名城、名镇、名村保护推荐名录制度。县（市、区）人民政府应当组织对本行政区域内的历史文化名城、名镇、名村潜在资源开展普查，科学评估资源状况和保护利用价值，经专家论证后，纳入保护推荐名录，向社会公布，并报市住房城乡建设主管部门、市文物主管部门备案。</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第十四条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县（市、区）人民政府应当对纳入保护推荐名录的推荐对象进行预保护，同时书面告知所有权人或实际使用人。任何单位和个人不得损坏纳入保护推荐名录的推荐对象。</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县（市、区）人民政府或者有关部门应当对纳入保护推荐名录的推荐对象依法启动申报程序。自保护推荐名录公布之日起两年内，推荐对象未被纳入保护名录的，自动退出保护推荐名录，预保护措施自行解除。</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第十五条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纳入保护名录、保护推荐名录的对象的保护层级和类型发生变化，或者严重损毁、灭失，确已失去保护意义，需要调整、撤销的，由相关保护主管部门及时提出保护名录调整方案。</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国家和省历史文化名城、名镇、名村以及历史文化街区、传统村落、历史建筑、传统民居的申报与确定程序，按照国家和省有关规定执行。</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市级、县级传统风貌区、历史建筑、传统风貌建筑由市、县（市、区）住房城乡建设主管部门会同同级文物主管部门组织专家论证后，报本级人民政府确定公布。</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第三章 保护措施</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本市实行分级保护责任制度。按照下列规定确定保护责任人：</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（一）历史文化名城、历史文化街区的保护责任人为市、县（市、区）人民政府；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（二）历史文化名镇、名村，传统风貌区，传统村落的保护责任人为乡镇人民政府、街道办事处；</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（三）历史建筑、传统风貌建筑、传统民居的保护责任人为所有权人或者实际使用人，所有权人或者实际使用人均不明确的，由县（市、区）人民政府指定保护责任人。</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保护责任人应当依法履行下列保护责任：</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（一）保持保护范围内建筑物的传统格局、历史风貌、空间尺度和历史环境要素的完整性；</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（二）保持建筑物的结构安全，防渗、防潮、防蛀；</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（三）按照保护规划和保护图则，合理使用、及时修缮；</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（四）保持保护范围内空间环境的整洁美观；</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（五）采取有效措施做好防火、防洪防汛、防震、防地质灾害等工作；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（六）法律、法规及保护规划、保护图则规定的其他责任。</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历史建筑、传统风貌建筑、传统民居实行保护责任制度，明确保护义务和享受补助等权利，落实保护责任。</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对于国有历史建筑、传统风貌建筑、传统民居，市、县（市、区）住房城乡建设主管部门应当与保护责任人签订保护责任书；对于非国有历史建筑、传统风貌建筑、传统民居，市、县（市、区）住房城乡建设主管部门可以与保护责任人签订保护责任书。</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历史建筑、传统风貌建筑、传统民居转让、出租、出借时，保护责任人应当告知受让人、承租人、借用人保护责任。</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在历史文化名城、名镇、名村以及历史文化街区、传统风貌区、传统村落、历史建筑、传统风貌建筑、传统民居保护范围内禁止下列活动：</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（一）开山、采石、开矿等破坏传统格局和历史风貌的活动；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（二）占用保护规划确定保留的园林绿地、河湖水系、道路等；</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（三）修建生产、储存爆炸性、易燃性、放射性、毒害性、腐蚀性物品的工厂、仓库等；</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（四）堆放易燃、易爆和腐蚀性的物品，影响历史建筑、传统风貌建筑安全；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（五）擅自迁移、拆除历史建筑，在历史建筑上刻划、涂污；</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（六）未经批准对历史建筑进行外部修缮装饰、添加设施以及改变历史建筑的结构或者使用性质；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（七）损坏传统风貌建筑、传统民居；</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（八）设置影响或者破坏建筑风貌的广告、标牌、招贴；</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（九）法律、法规禁止的其他活动。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第二十一条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在历史文化名城、名镇、名村以及历史文化街区、传统风貌区、传统村落保护范围内进行下列活动，应当保护其传统格局、历史风貌、不可移动文物、历史建筑和传统风貌建筑；制定保护方案，依照有关法律法规的规定办理相关手续：</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一</w:t>
      </w: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改变园林绿地、河湖水系等自然状态的活动；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二</w:t>
      </w: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在核心保护范围内进行影视摄制、举办大型群众性活动；</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（三）其他影响传统格局、历史风貌、不可移动文物、历史建筑或者传统风貌建筑的活动。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第二十二条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在历史文化街区、名镇、名村和传统风貌区的保护范围内进行建设活动，应当遵守下列要求：</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一</w:t>
      </w: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在历史文化街区、名镇、名村核心保护范围内，除建设必要的基础设施和公共服务设施外，不得进行新建、扩建活动，基础设施和公共服务设施应当与传统格局和历史风貌相协调；</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二</w:t>
      </w: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在历史文化街区、名镇、名村核心保护范围内，拆除历史建筑以外的建筑物、构筑物或者其他设施的，应当经行政审批服务部门会同同级住房城乡建设、文物主管部门批准；</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（三）</w:t>
      </w:r>
      <w:r>
        <w:rPr>
          <w:rFonts w:hint="eastAsia" w:ascii="仿宋" w:hAnsi="仿宋" w:eastAsia="仿宋" w:cs="仿宋"/>
          <w:i w:val="0"/>
          <w:iCs w:val="0"/>
          <w:caps w:val="0"/>
          <w:color w:val="000000"/>
          <w:spacing w:val="0"/>
          <w:sz w:val="32"/>
          <w:szCs w:val="32"/>
        </w:rPr>
        <w:t>在历史文化街区、名镇、名村的建设控制地带内进行新建、扩建等活动的，应当符合保护规划确定的建设控制要求，与历史风貌相协调，不得新建对环境有污染的设施，不得进行可能污染环境的活动；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（四）传统风貌区内的建设活动，应当符合保护规划确定的建设控制要求，在高度、体量、色彩等方面与历史风貌相协调，不得破坏其传统格局和历史风貌。</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第二十三条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历史文化街区、名镇、名村、传统风貌区、传统村落核心保护范围内的消防设施、消防通道，应当按照有关消防技术标准和规范设置，明确消防安全责任人。确因保护规定的限制，无法达到标准和规范要求的，由消防救援机构会同同级住房城乡建设、文物主管部门制订防火安全保障方案。</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历史文化街区、名镇、名村、传统风貌区、传统村落所在地乡镇人民政府、街道办事处应当加强消防宣传，指导群众组织制定防火公约，根据需要建立专职消防队、志愿消防队，开展群众性消防安全工作。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第二十四条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市、县（市、区）人民政府应当建立历史建筑、传统风貌建筑、传统民居档案，并加强档案信息化管理。档案应当包括下列内容：</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一</w:t>
      </w: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建筑艺术特征、历史特征、建设年代及稀有程度；</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二</w:t>
      </w:r>
      <w:r>
        <w:rPr>
          <w:rFonts w:hint="default"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建筑物的有关技术资料；</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（三）建筑物的使用现状和权属变化情况；</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（四）建筑物进行修缮、装饰装修、迁移等过程中形成的文字、图纸、图片和影像等事前事中事后资料；</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（五）建筑物的测绘信息记录和相关资料；</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（六）其他需要保存的资料。</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有关单位和个人应当配合建档调查、测绘工作。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第二十五条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县（市、区）人民政府应当按照保护规划优先完善交通、供水、排水、供电、环卫、消防等配套基础设施，建立安全检查、隐患排查制度，制定年度修缮计划，并督促相关部门或者个人按照年度修缮计划开展修缮工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第二十六条</w:t>
      </w:r>
      <w:r>
        <w:rPr>
          <w:rFonts w:hint="eastAsia" w:ascii="仿宋" w:hAnsi="仿宋" w:eastAsia="仿宋" w:cs="仿宋"/>
          <w:i w:val="0"/>
          <w:iCs w:val="0"/>
          <w:caps w:val="0"/>
          <w:color w:val="333333"/>
          <w:spacing w:val="0"/>
          <w:sz w:val="32"/>
          <w:szCs w:val="32"/>
          <w:shd w:val="clear" w:fill="FFFFFF"/>
        </w:rPr>
        <w:t>    </w:t>
      </w:r>
      <w:r>
        <w:rPr>
          <w:rFonts w:hint="default" w:ascii="仿宋" w:hAnsi="仿宋" w:eastAsia="仿宋" w:cs="仿宋"/>
          <w:i w:val="0"/>
          <w:iCs w:val="0"/>
          <w:caps w:val="0"/>
          <w:color w:val="000000"/>
          <w:spacing w:val="0"/>
          <w:sz w:val="32"/>
          <w:szCs w:val="32"/>
        </w:rPr>
        <w:t>建设工程选址应当避开历史建筑。因特殊情况不能避开的，应当尽可能实施原址保护。</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对历史建筑进行外部修缮装饰、添加设施以及改变建筑结构或者使用性质的，应当经行政审批服务部门会同同级自然资源和规划、住房城乡建设、文物主管部门批准，依照相关法律法规规定办理相关手续，并由住房城乡建设、文物主管部门监督实施。</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住房城乡建设主管部门和文物主管部门应当为历史建筑、传统风貌建筑、传统民居的修缮和维护无偿提供技术指导与服务。</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第二十七条</w:t>
      </w:r>
      <w:r>
        <w:rPr>
          <w:rFonts w:hint="eastAsia" w:ascii="仿宋" w:hAnsi="仿宋" w:eastAsia="仿宋" w:cs="仿宋"/>
          <w:i w:val="0"/>
          <w:iCs w:val="0"/>
          <w:caps w:val="0"/>
          <w:color w:val="333333"/>
          <w:spacing w:val="0"/>
          <w:sz w:val="32"/>
          <w:szCs w:val="32"/>
          <w:shd w:val="clear" w:fill="FFFFFF"/>
        </w:rPr>
        <w:t>    </w:t>
      </w:r>
      <w:r>
        <w:rPr>
          <w:rFonts w:hint="default" w:ascii="仿宋" w:hAnsi="仿宋" w:eastAsia="仿宋" w:cs="仿宋"/>
          <w:i w:val="0"/>
          <w:iCs w:val="0"/>
          <w:caps w:val="0"/>
          <w:color w:val="000000"/>
          <w:spacing w:val="0"/>
          <w:sz w:val="32"/>
          <w:szCs w:val="32"/>
        </w:rPr>
        <w:t>传统风貌区、传统村落、历史建筑、传统风貌建筑、传统民居的标志牌应当在保护名录公布后三个月内，由县（市、区）人民政府设置完毕。</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任何单位和个人不得冒用传统风貌区、传统村落、历史建筑、传统风貌建筑、传统民居称号，不得擅自设置、移动、遮挡、涂改或者损毁标志牌。</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第四章 传承与利用</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历史文化名城、名镇、名村的传承利用，应当与其历史价值、艺术价值、科学价值、社会价值和文化价值相适应，采用渐进式、微改造的方式，注重保护整体风貌，推动具有地方特色的文化产业和旅游业发展，构建多层级多要素的历史文化资源保护传承体系。</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文化和旅游部门应当结合文化资源特点，将黄河文化资源、泰山文化资源、红色文化资源、民族民俗文化资源、生态旅游资源及其他文化和自然资源进行整合，指导和支持旅游企业拓展展示体系、优化旅游线路、提供优质旅游服务、推出特色旅游产品，并督促其履行相应的保护义务。</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w:t>
      </w:r>
      <w:r>
        <w:rPr>
          <w:rFonts w:hint="default" w:ascii="仿宋" w:hAnsi="仿宋" w:eastAsia="仿宋" w:cs="仿宋"/>
          <w:i w:val="0"/>
          <w:iCs w:val="0"/>
          <w:caps w:val="0"/>
          <w:color w:val="000000"/>
          <w:spacing w:val="0"/>
          <w:sz w:val="32"/>
          <w:szCs w:val="32"/>
        </w:rPr>
        <w:t>鼓励、支持单位和个人通过下列方式依法参与历史文化名城、名镇、名村的活化利用：</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（一）设立博物馆、陈列馆、纪念馆、图书馆、艺术馆；</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（二）开办文化客栈、民宿；</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（三）建立中小学生教育体验基地；</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（四）设置非物质文化遗产传承人工作室、传习所等；</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（五）开展地方传统文化研究、民间艺术表演活动；</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（六）制作、展示、经营传统手工业；</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（七）利用历史文化资源打造区域品牌，开发具有泰山特色的文化艺术衍生品；</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（八）符合法律、法规规定的其他方式。</w:t>
      </w:r>
    </w:p>
    <w:p>
      <w:pPr>
        <w:pStyle w:val="6"/>
        <w:keepNext w:val="0"/>
        <w:keepLines w:val="0"/>
        <w:widowControl/>
        <w:suppressLineNumbers w:val="0"/>
        <w:spacing w:before="0" w:beforeAutospacing="0" w:after="0" w:afterAutospacing="0" w:line="420" w:lineRule="atLeast"/>
        <w:ind w:left="0" w:right="0" w:firstLine="420"/>
        <w:jc w:val="left"/>
        <w:rPr>
          <w:rFonts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鼓励原住居民以房屋、资金、技术和劳动力等形式参与历史文化名城、名镇、名村保护利用，享受合理收益，延续和传承相应区域的原有风貌和人文文化。禁止违背群众意愿，搬空原住居民进行商业性开发。</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Style w:val="9"/>
          <w:rFonts w:hint="eastAsia" w:ascii="黑体" w:hAnsi="宋体" w:eastAsia="黑体" w:cs="黑体"/>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第五章 法律责任</w:t>
      </w:r>
    </w:p>
    <w:p>
      <w:pPr>
        <w:pStyle w:val="6"/>
        <w:keepNext w:val="0"/>
        <w:keepLines w:val="0"/>
        <w:widowControl/>
        <w:suppressLineNumbers w:val="0"/>
        <w:spacing w:before="0" w:beforeAutospacing="0" w:after="0" w:afterAutospacing="0" w:line="420" w:lineRule="atLeast"/>
        <w:ind w:left="0" w:right="0" w:firstLine="0"/>
        <w:jc w:val="center"/>
        <w:rPr>
          <w:rStyle w:val="9"/>
          <w:rFonts w:hint="default" w:ascii="黑体" w:hAnsi="宋体" w:eastAsia="黑体" w:cs="黑体"/>
          <w:i w:val="0"/>
          <w:iCs w:val="0"/>
          <w:caps w:val="0"/>
          <w:color w:val="000000"/>
          <w:spacing w:val="0"/>
          <w:sz w:val="32"/>
          <w:szCs w:val="32"/>
        </w:rPr>
      </w:pPr>
      <w:bookmarkStart w:id="0" w:name="_GoBack"/>
      <w:bookmarkEnd w:id="0"/>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第三十二条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违反本办法规定的行为，法律、法规已经规定法律责任的，从其规定。</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第三十三条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违反本办法规定，损坏传统风貌建筑、传统民居的，由市、县（市、区）住房城乡建设主管部门或者综合行政执法部门责令停止违法行为、限期恢复原状或者采取其他补救措施；造成严重后果的，对单位并处五万元以上十万元以下的罚款，对个人并处一万元以上五万元以下的罚款；造成损失的，依法承担赔偿责任。</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第三十四条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违反本办法规定，擅自设置、移动、遮挡、涂改或者损毁传统风貌区、传统村落、传统风貌建筑、传统民居标志牌的，由市、县（市、区）住房城乡建设主管部门或者综合行政执法部门责令限期改正；逾期不改正的，对单位处二千元以上二万元以下的罚款，对个人处五百元以上五千元以下的罚款。</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第三十五条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违反本办法规定，各级人民政府和有关部门及其工作人员滥用职权、玩忽职守、徇私舞弊的，依法给予处分；构成犯罪的，依法追究刑事责任。</w:t>
      </w:r>
    </w:p>
    <w:p>
      <w:pPr>
        <w:pStyle w:val="6"/>
        <w:keepNext w:val="0"/>
        <w:keepLines w:val="0"/>
        <w:widowControl/>
        <w:suppressLineNumbers w:val="0"/>
        <w:spacing w:before="0" w:beforeAutospacing="0" w:after="0" w:afterAutospacing="0" w:line="420" w:lineRule="atLeast"/>
        <w:ind w:left="0" w:right="0" w:firstLine="0"/>
        <w:jc w:val="both"/>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第六章 附则</w:t>
      </w:r>
    </w:p>
    <w:p>
      <w:pPr>
        <w:pStyle w:val="6"/>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000000"/>
          <w:spacing w:val="0"/>
          <w:sz w:val="32"/>
          <w:szCs w:val="32"/>
        </w:rPr>
        <w:t>第三十六条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本办法自2023年2月1日起施行。</w:t>
      </w:r>
    </w:p>
    <w:p>
      <w:pPr>
        <w:pStyle w:val="6"/>
        <w:shd w:val="clear" w:color="auto" w:fill="FFFFFF"/>
        <w:spacing w:before="0" w:beforeAutospacing="0" w:after="0" w:afterAutospacing="0" w:line="450" w:lineRule="atLeast"/>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ans-serif">
    <w:altName w:val="MasaFont"/>
    <w:panose1 w:val="00000000000000000000"/>
    <w:charset w:val="00"/>
    <w:family w:val="auto"/>
    <w:pitch w:val="default"/>
    <w:sig w:usb0="00000000" w:usb1="00000000" w:usb2="00000000" w:usb3="00000000" w:csb0="00000000" w:csb1="00000000"/>
  </w:font>
  <w:font w:name="MasaFont">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9E71BD"/>
    <w:rsid w:val="04B679C3"/>
    <w:rsid w:val="05C17B73"/>
    <w:rsid w:val="080F63D8"/>
    <w:rsid w:val="08917E5E"/>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4F340468"/>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5722</Words>
  <Characters>5741</Characters>
  <Lines>77</Lines>
  <Paragraphs>21</Paragraphs>
  <TotalTime>2</TotalTime>
  <ScaleCrop>false</ScaleCrop>
  <LinksUpToDate>false</LinksUpToDate>
  <CharactersWithSpaces>5900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2022-12-13T07:38:55Z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514E9D2C37B040C79783813697EFDBD0</vt:lpwstr>
  </property>
</Properties>
</file>