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6FAAE">
      <w:pPr>
        <w:spacing w:line="56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FD553BA">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条文中黑体部分为增加的内容，</w:t>
      </w:r>
      <w:r>
        <w:rPr>
          <w:rFonts w:hint="eastAsia" w:ascii="黑体" w:hAnsi="黑体" w:eastAsia="黑体" w:cs="黑体"/>
          <w:sz w:val="32"/>
          <w:szCs w:val="32"/>
          <w:shd w:val="clear" w:color="FFFFFF" w:fill="D9D9D9"/>
        </w:rPr>
        <w:t xml:space="preserve">    </w:t>
      </w:r>
      <w:r>
        <w:rPr>
          <w:rFonts w:hint="eastAsia" w:ascii="黑体" w:hAnsi="黑体" w:eastAsia="黑体" w:cs="黑体"/>
          <w:sz w:val="32"/>
          <w:szCs w:val="32"/>
        </w:rPr>
        <w:t>为删除的内容</w:t>
      </w:r>
    </w:p>
    <w:p w14:paraId="7A0FF3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outlineLvl w:val="9"/>
        <w:rPr>
          <w:rFonts w:hint="eastAsia" w:ascii="黑体" w:hAnsi="黑体" w:eastAsia="黑体" w:cs="黑体"/>
          <w:kern w:val="0"/>
          <w:sz w:val="44"/>
          <w:szCs w:val="44"/>
          <w:lang w:val="en-US" w:eastAsia="zh-CN" w:bidi="ar"/>
        </w:rPr>
      </w:pPr>
      <w:bookmarkStart w:id="0" w:name="_GoBack"/>
      <w:bookmarkEnd w:id="0"/>
    </w:p>
    <w:p w14:paraId="32FEC1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outlineLvl w:val="9"/>
        <w:rPr>
          <w:rFonts w:hint="eastAsia" w:ascii="黑体" w:hAnsi="黑体" w:eastAsia="黑体" w:cs="黑体"/>
          <w:kern w:val="0"/>
          <w:sz w:val="44"/>
          <w:szCs w:val="44"/>
          <w:lang w:val="en-US" w:eastAsia="zh-CN" w:bidi="ar"/>
        </w:rPr>
      </w:pPr>
      <w:r>
        <w:rPr>
          <w:rFonts w:hint="eastAsia" w:ascii="黑体" w:hAnsi="黑体" w:eastAsia="黑体" w:cs="黑体"/>
          <w:kern w:val="0"/>
          <w:sz w:val="44"/>
          <w:szCs w:val="44"/>
          <w:lang w:val="en-US" w:eastAsia="zh-CN" w:bidi="ar"/>
        </w:rPr>
        <w:t>泰安市城市建筑垃圾管理办法</w:t>
      </w:r>
    </w:p>
    <w:p w14:paraId="4E142D9C">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600" w:lineRule="exact"/>
        <w:ind w:right="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b w:val="0"/>
          <w:bCs w:val="0"/>
          <w:color w:val="000000"/>
          <w:kern w:val="0"/>
          <w:sz w:val="32"/>
          <w:szCs w:val="32"/>
          <w:shd w:val="clear" w:fill="FFFFFF"/>
          <w:lang w:val="en-US" w:eastAsia="zh-CN" w:bidi="ar"/>
        </w:rPr>
        <w:t>(2020</w:t>
      </w:r>
      <w:r>
        <w:rPr>
          <w:rFonts w:hint="eastAsia" w:ascii="楷体_GB2312" w:hAnsi="Times New Roman" w:eastAsia="楷体_GB2312" w:cs="楷体_GB2312"/>
          <w:b w:val="0"/>
          <w:bCs w:val="0"/>
          <w:color w:val="000000"/>
          <w:kern w:val="0"/>
          <w:sz w:val="32"/>
          <w:szCs w:val="32"/>
          <w:shd w:val="clear" w:fill="FFFFFF"/>
          <w:lang w:val="en-US" w:eastAsia="zh-CN" w:bidi="ar"/>
        </w:rPr>
        <w:t>年</w:t>
      </w:r>
      <w:r>
        <w:rPr>
          <w:rFonts w:hint="default" w:ascii="Times New Roman" w:hAnsi="Times New Roman" w:eastAsia="楷体_GB2312" w:cs="Times New Roman"/>
          <w:b w:val="0"/>
          <w:bCs w:val="0"/>
          <w:color w:val="000000"/>
          <w:kern w:val="0"/>
          <w:sz w:val="32"/>
          <w:szCs w:val="32"/>
          <w:shd w:val="clear" w:fill="FFFFFF"/>
          <w:lang w:val="en-US" w:eastAsia="zh-CN" w:bidi="ar"/>
        </w:rPr>
        <w:t>12</w:t>
      </w:r>
      <w:r>
        <w:rPr>
          <w:rFonts w:hint="eastAsia" w:ascii="楷体_GB2312" w:hAnsi="Times New Roman" w:eastAsia="楷体_GB2312" w:cs="楷体_GB2312"/>
          <w:b w:val="0"/>
          <w:bCs w:val="0"/>
          <w:color w:val="000000"/>
          <w:kern w:val="0"/>
          <w:sz w:val="32"/>
          <w:szCs w:val="32"/>
          <w:shd w:val="clear" w:fill="FFFFFF"/>
          <w:lang w:val="en-US" w:eastAsia="zh-CN" w:bidi="ar"/>
        </w:rPr>
        <w:t>月</w:t>
      </w:r>
      <w:r>
        <w:rPr>
          <w:rFonts w:hint="default" w:ascii="Times New Roman" w:hAnsi="Times New Roman" w:eastAsia="楷体_GB2312" w:cs="Times New Roman"/>
          <w:b w:val="0"/>
          <w:bCs w:val="0"/>
          <w:color w:val="000000"/>
          <w:kern w:val="0"/>
          <w:sz w:val="32"/>
          <w:szCs w:val="32"/>
          <w:shd w:val="clear" w:fill="FFFFFF"/>
          <w:lang w:val="en-US" w:eastAsia="zh-CN" w:bidi="ar"/>
        </w:rPr>
        <w:t>31</w:t>
      </w:r>
      <w:r>
        <w:rPr>
          <w:rFonts w:hint="eastAsia" w:ascii="楷体_GB2312" w:hAnsi="Times New Roman" w:eastAsia="楷体_GB2312" w:cs="楷体_GB2312"/>
          <w:b w:val="0"/>
          <w:bCs w:val="0"/>
          <w:color w:val="000000"/>
          <w:kern w:val="0"/>
          <w:sz w:val="32"/>
          <w:szCs w:val="32"/>
          <w:shd w:val="clear" w:fill="FFFFFF"/>
          <w:lang w:val="en-US" w:eastAsia="zh-CN" w:bidi="ar"/>
        </w:rPr>
        <w:t>日泰安市人民政府令第</w:t>
      </w:r>
      <w:r>
        <w:rPr>
          <w:rFonts w:hint="default" w:ascii="Times New Roman" w:hAnsi="Times New Roman" w:eastAsia="楷体_GB2312" w:cs="Times New Roman"/>
          <w:b w:val="0"/>
          <w:bCs w:val="0"/>
          <w:color w:val="000000"/>
          <w:kern w:val="0"/>
          <w:sz w:val="32"/>
          <w:szCs w:val="32"/>
          <w:shd w:val="clear" w:fill="FFFFFF"/>
          <w:lang w:val="en-US" w:eastAsia="zh-CN" w:bidi="ar"/>
        </w:rPr>
        <w:t>174</w:t>
      </w:r>
      <w:r>
        <w:rPr>
          <w:rFonts w:hint="eastAsia" w:ascii="楷体_GB2312" w:hAnsi="Times New Roman" w:eastAsia="楷体_GB2312" w:cs="楷体_GB2312"/>
          <w:b w:val="0"/>
          <w:bCs w:val="0"/>
          <w:color w:val="000000"/>
          <w:kern w:val="0"/>
          <w:sz w:val="32"/>
          <w:szCs w:val="32"/>
          <w:shd w:val="clear" w:fill="FFFFFF"/>
          <w:lang w:val="en-US" w:eastAsia="zh-CN" w:bidi="ar"/>
        </w:rPr>
        <w:t>号发布</w:t>
      </w:r>
      <w:r>
        <w:rPr>
          <w:rFonts w:hint="eastAsia" w:ascii="楷体_GB2312" w:eastAsia="楷体_GB2312" w:cs="楷体_GB2312"/>
          <w:b w:val="0"/>
          <w:bCs w:val="0"/>
          <w:color w:val="000000"/>
          <w:kern w:val="0"/>
          <w:sz w:val="32"/>
          <w:szCs w:val="32"/>
          <w:shd w:val="clear" w:fill="FFFFFF"/>
          <w:lang w:val="en-US" w:eastAsia="zh-CN" w:bidi="ar"/>
        </w:rPr>
        <w:t xml:space="preserve"> </w:t>
      </w:r>
      <w:r>
        <w:rPr>
          <w:rFonts w:hint="eastAsia" w:ascii="楷体_GB2312" w:hAnsi="Times New Roman" w:eastAsia="楷体_GB2312" w:cs="楷体_GB2312"/>
          <w:b w:val="0"/>
          <w:bCs w:val="0"/>
          <w:color w:val="000000"/>
          <w:kern w:val="0"/>
          <w:sz w:val="32"/>
          <w:szCs w:val="32"/>
          <w:shd w:val="clear" w:fill="FFFFFF"/>
          <w:lang w:val="en-US" w:eastAsia="zh-CN" w:bidi="ar"/>
        </w:rPr>
        <w:t>根据</w:t>
      </w:r>
      <w:r>
        <w:rPr>
          <w:rFonts w:hint="default" w:ascii="Times New Roman" w:hAnsi="Times New Roman" w:eastAsia="楷体_GB2312" w:cs="Times New Roman"/>
          <w:b w:val="0"/>
          <w:bCs w:val="0"/>
          <w:color w:val="000000"/>
          <w:kern w:val="0"/>
          <w:sz w:val="32"/>
          <w:szCs w:val="32"/>
          <w:shd w:val="clear" w:fill="FFFFFF"/>
          <w:lang w:val="en-US" w:eastAsia="zh-CN" w:bidi="ar"/>
        </w:rPr>
        <w:t>2021</w:t>
      </w:r>
      <w:r>
        <w:rPr>
          <w:rFonts w:hint="eastAsia" w:ascii="楷体_GB2312" w:hAnsi="Times New Roman" w:eastAsia="楷体_GB2312" w:cs="楷体_GB2312"/>
          <w:b w:val="0"/>
          <w:bCs w:val="0"/>
          <w:color w:val="000000"/>
          <w:kern w:val="0"/>
          <w:sz w:val="32"/>
          <w:szCs w:val="32"/>
          <w:shd w:val="clear" w:fill="FFFFFF"/>
          <w:lang w:val="en-US" w:eastAsia="zh-CN" w:bidi="ar"/>
        </w:rPr>
        <w:t>年</w:t>
      </w:r>
      <w:r>
        <w:rPr>
          <w:rFonts w:hint="default" w:ascii="Times New Roman" w:hAnsi="Times New Roman" w:eastAsia="楷体_GB2312" w:cs="Times New Roman"/>
          <w:b w:val="0"/>
          <w:bCs w:val="0"/>
          <w:color w:val="000000"/>
          <w:kern w:val="0"/>
          <w:sz w:val="32"/>
          <w:szCs w:val="32"/>
          <w:shd w:val="clear" w:fill="FFFFFF"/>
          <w:lang w:val="en-US" w:eastAsia="zh-CN" w:bidi="ar"/>
        </w:rPr>
        <w:t>10</w:t>
      </w:r>
      <w:r>
        <w:rPr>
          <w:rFonts w:hint="eastAsia" w:ascii="楷体_GB2312" w:hAnsi="Times New Roman" w:eastAsia="楷体_GB2312" w:cs="楷体_GB2312"/>
          <w:b w:val="0"/>
          <w:bCs w:val="0"/>
          <w:color w:val="000000"/>
          <w:kern w:val="0"/>
          <w:sz w:val="32"/>
          <w:szCs w:val="32"/>
          <w:shd w:val="clear" w:fill="FFFFFF"/>
          <w:lang w:val="en-US" w:eastAsia="zh-CN" w:bidi="ar"/>
        </w:rPr>
        <w:t>月</w:t>
      </w:r>
      <w:r>
        <w:rPr>
          <w:rFonts w:hint="default" w:ascii="Times New Roman" w:hAnsi="Times New Roman" w:eastAsia="楷体_GB2312" w:cs="Times New Roman"/>
          <w:b w:val="0"/>
          <w:bCs w:val="0"/>
          <w:color w:val="000000"/>
          <w:kern w:val="0"/>
          <w:sz w:val="32"/>
          <w:szCs w:val="32"/>
          <w:shd w:val="clear" w:fill="FFFFFF"/>
          <w:lang w:val="en-US" w:eastAsia="zh-CN" w:bidi="ar"/>
        </w:rPr>
        <w:t>8</w:t>
      </w:r>
      <w:r>
        <w:rPr>
          <w:rFonts w:hint="eastAsia" w:ascii="楷体_GB2312" w:hAnsi="Times New Roman" w:eastAsia="楷体_GB2312" w:cs="楷体_GB2312"/>
          <w:b w:val="0"/>
          <w:bCs w:val="0"/>
          <w:color w:val="000000"/>
          <w:kern w:val="0"/>
          <w:sz w:val="32"/>
          <w:szCs w:val="32"/>
          <w:shd w:val="clear" w:fill="FFFFFF"/>
          <w:lang w:val="en-US" w:eastAsia="zh-CN" w:bidi="ar"/>
        </w:rPr>
        <w:t>日泰安市人民政府令第</w:t>
      </w:r>
      <w:r>
        <w:rPr>
          <w:rFonts w:hint="default" w:ascii="Times New Roman" w:hAnsi="Times New Roman" w:eastAsia="楷体_GB2312" w:cs="Times New Roman"/>
          <w:b w:val="0"/>
          <w:bCs w:val="0"/>
          <w:color w:val="000000"/>
          <w:kern w:val="0"/>
          <w:sz w:val="32"/>
          <w:szCs w:val="32"/>
          <w:shd w:val="clear" w:fill="FFFFFF"/>
          <w:lang w:val="en-US" w:eastAsia="zh-CN" w:bidi="ar"/>
        </w:rPr>
        <w:t>175</w:t>
      </w:r>
      <w:r>
        <w:rPr>
          <w:rFonts w:hint="eastAsia" w:ascii="楷体_GB2312" w:hAnsi="Times New Roman" w:eastAsia="楷体_GB2312" w:cs="楷体_GB2312"/>
          <w:b w:val="0"/>
          <w:bCs w:val="0"/>
          <w:color w:val="000000"/>
          <w:kern w:val="0"/>
          <w:sz w:val="32"/>
          <w:szCs w:val="32"/>
          <w:shd w:val="clear" w:fill="FFFFFF"/>
          <w:lang w:val="en-US" w:eastAsia="zh-CN" w:bidi="ar"/>
        </w:rPr>
        <w:t>号修订</w:t>
      </w:r>
      <w:r>
        <w:rPr>
          <w:rFonts w:hint="eastAsia" w:ascii="楷体_GB2312" w:eastAsia="楷体_GB2312" w:cs="楷体_GB2312"/>
          <w:b w:val="0"/>
          <w:bCs w:val="0"/>
          <w:color w:val="000000"/>
          <w:kern w:val="0"/>
          <w:sz w:val="32"/>
          <w:szCs w:val="32"/>
          <w:shd w:val="clear" w:fill="FFFFFF"/>
          <w:lang w:val="en-US" w:eastAsia="zh-CN" w:bidi="ar"/>
        </w:rPr>
        <w:t>）</w:t>
      </w:r>
    </w:p>
    <w:p w14:paraId="106754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jc w:val="both"/>
        <w:textAlignment w:val="auto"/>
        <w:rPr>
          <w:rFonts w:hint="default" w:ascii="Times New Roman" w:hAnsi="Times New Roman" w:eastAsia="仿宋_GB2312" w:cs="Times New Roman"/>
          <w:bCs/>
          <w:kern w:val="0"/>
          <w:sz w:val="32"/>
          <w:szCs w:val="32"/>
        </w:rPr>
      </w:pPr>
    </w:p>
    <w:p w14:paraId="1B71A6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第一条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为了加强城市建筑垃圾管理，推进城市建筑垃圾综合利用，保护和改善生态环境，根据</w:t>
      </w:r>
      <w:r>
        <w:rPr>
          <w:rFonts w:hint="eastAsia" w:ascii="仿宋_GB2312" w:hAnsi="Times New Roman" w:eastAsia="仿宋_GB2312" w:cs="仿宋_GB2312"/>
          <w:b w:val="0"/>
          <w:bCs w:val="0"/>
          <w:strike w:val="0"/>
          <w:dstrike w:val="0"/>
          <w:color w:val="auto"/>
          <w:kern w:val="0"/>
          <w:sz w:val="32"/>
          <w:szCs w:val="32"/>
          <w:shd w:val="clear" w:color="FFFFFF" w:fill="D9D9D9"/>
          <w:lang w:val="en-US" w:eastAsia="zh-CN" w:bidi="ar"/>
        </w:rPr>
        <w:t>《中华人民共和国固体废物污染环境防治法》</w:t>
      </w:r>
      <w:r>
        <w:rPr>
          <w:rFonts w:hint="eastAsia" w:ascii="黑体" w:hAnsi="黑体" w:eastAsia="黑体" w:cs="黑体"/>
          <w:b w:val="0"/>
          <w:bCs w:val="0"/>
          <w:color w:val="auto"/>
          <w:kern w:val="0"/>
          <w:sz w:val="32"/>
          <w:szCs w:val="32"/>
          <w:lang w:val="en-US" w:eastAsia="zh-CN" w:bidi="ar"/>
        </w:rPr>
        <w:t>《</w:t>
      </w:r>
      <w:r>
        <w:rPr>
          <w:rFonts w:hint="eastAsia" w:ascii="黑体" w:hAnsi="黑体" w:eastAsia="黑体" w:cs="黑体"/>
          <w:b w:val="0"/>
          <w:bCs w:val="0"/>
          <w:strike w:val="0"/>
          <w:dstrike w:val="0"/>
          <w:color w:val="auto"/>
          <w:kern w:val="0"/>
          <w:sz w:val="32"/>
          <w:szCs w:val="32"/>
          <w:lang w:val="en-US" w:eastAsia="zh-CN" w:bidi="ar"/>
        </w:rPr>
        <w:t>中华人民共和国生态环境法典</w:t>
      </w:r>
      <w:r>
        <w:rPr>
          <w:rFonts w:hint="eastAsia" w:ascii="黑体" w:hAnsi="黑体" w:eastAsia="黑体" w:cs="黑体"/>
          <w:b w:val="0"/>
          <w:bCs w:val="0"/>
          <w:strike w:val="0"/>
          <w:color w:val="auto"/>
          <w:kern w:val="0"/>
          <w:sz w:val="32"/>
          <w:szCs w:val="32"/>
          <w:lang w:val="en-US" w:eastAsia="zh-CN" w:bidi="ar"/>
        </w:rPr>
        <w:t>》</w:t>
      </w:r>
      <w:r>
        <w:rPr>
          <w:rFonts w:hint="eastAsia" w:ascii="仿宋_GB2312" w:hAnsi="Times New Roman" w:eastAsia="仿宋_GB2312" w:cs="仿宋_GB2312"/>
          <w:color w:val="auto"/>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城市市容和环境卫生管理条例》等有关法律法规，结合本市实际，制定本办法。</w:t>
      </w:r>
    </w:p>
    <w:p w14:paraId="3EDEEE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lang w:val="en-US" w:eastAsia="zh-CN" w:bidi="ar"/>
        </w:rPr>
      </w:pPr>
      <w:r>
        <w:rPr>
          <w:rFonts w:hint="eastAsia" w:ascii="黑体" w:hAnsi="宋体" w:eastAsia="黑体" w:cs="黑体"/>
          <w:bCs/>
          <w:kern w:val="0"/>
          <w:sz w:val="32"/>
          <w:szCs w:val="32"/>
          <w:lang w:val="en-US" w:eastAsia="zh-CN" w:bidi="ar"/>
        </w:rPr>
        <w:t>第二条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本办法适用于泰安市</w:t>
      </w:r>
      <w:r>
        <w:rPr>
          <w:rFonts w:hint="eastAsia" w:ascii="仿宋_GB2312" w:hAnsi="Times New Roman" w:eastAsia="仿宋_GB2312" w:cs="仿宋_GB2312"/>
          <w:b w:val="0"/>
          <w:bCs w:val="0"/>
          <w:strike w:val="0"/>
          <w:dstrike w:val="0"/>
          <w:color w:val="auto"/>
          <w:kern w:val="0"/>
          <w:sz w:val="32"/>
          <w:szCs w:val="32"/>
          <w:shd w:val="clear" w:color="FFFFFF" w:fill="D9D9D9"/>
          <w:lang w:val="en-US" w:eastAsia="zh-CN" w:bidi="ar"/>
        </w:rPr>
        <w:t>城市规划</w:t>
      </w:r>
      <w:r>
        <w:rPr>
          <w:rFonts w:hint="eastAsia" w:ascii="仿宋_GB2312" w:eastAsia="仿宋_GB2312" w:cs="仿宋_GB2312"/>
          <w:b w:val="0"/>
          <w:bCs w:val="0"/>
          <w:strike w:val="0"/>
          <w:dstrike w:val="0"/>
          <w:color w:val="auto"/>
          <w:kern w:val="0"/>
          <w:sz w:val="32"/>
          <w:szCs w:val="32"/>
          <w:shd w:val="clear" w:color="FFFFFF" w:fill="D9D9D9"/>
          <w:lang w:val="en-US" w:eastAsia="zh-CN" w:bidi="ar"/>
        </w:rPr>
        <w:t>区</w:t>
      </w:r>
      <w:r>
        <w:rPr>
          <w:rFonts w:hint="eastAsia" w:ascii="黑体" w:hAnsi="黑体" w:eastAsia="黑体" w:cs="黑体"/>
          <w:b w:val="0"/>
          <w:bCs w:val="0"/>
          <w:strike w:val="0"/>
          <w:dstrike w:val="0"/>
          <w:color w:val="auto"/>
          <w:kern w:val="0"/>
          <w:sz w:val="32"/>
          <w:szCs w:val="32"/>
          <w:lang w:val="en-US" w:eastAsia="zh-CN" w:bidi="ar"/>
        </w:rPr>
        <w:t>中心城区</w:t>
      </w:r>
      <w:r>
        <w:rPr>
          <w:rFonts w:hint="eastAsia" w:ascii="仿宋_GB2312" w:hAnsi="Times New Roman" w:eastAsia="仿宋_GB2312" w:cs="仿宋_GB2312"/>
          <w:kern w:val="0"/>
          <w:sz w:val="32"/>
          <w:szCs w:val="32"/>
          <w:lang w:val="en-US" w:eastAsia="zh-CN" w:bidi="ar"/>
        </w:rPr>
        <w:t>内建筑垃圾的产生、运输、中转、消纳、利用等处置及相关管理活动。</w:t>
      </w:r>
    </w:p>
    <w:p w14:paraId="2B1FFC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本办法所称建筑垃圾，是指新建、改建、扩建和拆除各类建筑物、构筑物、管网等，以及居民装饰装修房屋过程中产生的弃土、弃料和其他固体废物。</w:t>
      </w:r>
    </w:p>
    <w:p w14:paraId="1C44A1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第三条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市、区人民政府应当建立健全建筑垃圾管理</w:t>
      </w:r>
      <w:r>
        <w:rPr>
          <w:rFonts w:hint="eastAsia" w:ascii="仿宋_GB2312" w:hAnsi="Times New Roman" w:eastAsia="仿宋_GB2312" w:cs="仿宋_GB2312"/>
          <w:kern w:val="0"/>
          <w:sz w:val="32"/>
          <w:szCs w:val="32"/>
          <w:shd w:val="clear" w:color="FFFFFF" w:fill="D9D9D9"/>
          <w:lang w:val="en-US" w:eastAsia="zh-CN" w:bidi="ar"/>
        </w:rPr>
        <w:t>协调</w:t>
      </w:r>
      <w:r>
        <w:rPr>
          <w:rFonts w:hint="eastAsia" w:ascii="黑体" w:hAnsi="黑体" w:eastAsia="黑体" w:cs="黑体"/>
          <w:b w:val="0"/>
          <w:bCs w:val="0"/>
          <w:strike w:val="0"/>
          <w:dstrike w:val="0"/>
          <w:color w:val="auto"/>
          <w:kern w:val="0"/>
          <w:sz w:val="32"/>
          <w:szCs w:val="32"/>
          <w:lang w:val="en-US" w:eastAsia="zh-CN" w:bidi="ar"/>
        </w:rPr>
        <w:t>工作</w:t>
      </w:r>
      <w:r>
        <w:rPr>
          <w:rFonts w:hint="eastAsia" w:ascii="仿宋_GB2312" w:hAnsi="Times New Roman" w:eastAsia="仿宋_GB2312" w:cs="仿宋_GB2312"/>
          <w:kern w:val="0"/>
          <w:sz w:val="32"/>
          <w:szCs w:val="32"/>
          <w:lang w:val="en-US" w:eastAsia="zh-CN" w:bidi="ar"/>
        </w:rPr>
        <w:t>机制，及时研究解决建筑垃圾管理中的重大事项，协调和督促有关部门依法履行监督管理职责。</w:t>
      </w:r>
    </w:p>
    <w:p w14:paraId="3DC988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第四条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部门负责建筑垃圾的统一监督管理工作；区城市管理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部门依照职责分工负责本辖区内建筑垃圾的具体管理工作。</w:t>
      </w:r>
    </w:p>
    <w:p w14:paraId="7AB83F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市、区建筑垃圾的管理职责按照市政府关于泰城城市管理工作分工有关规定执行。</w:t>
      </w:r>
    </w:p>
    <w:p w14:paraId="0264725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发展改革、公安、财政、自然资源和规划、生态环境、住房城乡建设、交通运输、行政审批服务等部门应当按照各自职责，做好建筑垃圾管理相关工作。</w:t>
      </w:r>
    </w:p>
    <w:p w14:paraId="36DFDA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shd w:val="clear" w:color="FFFFFF" w:fill="D9D9D9"/>
        </w:rPr>
      </w:pPr>
      <w:r>
        <w:rPr>
          <w:rFonts w:hint="eastAsia" w:ascii="仿宋_GB2312" w:hAnsi="Times New Roman" w:eastAsia="仿宋_GB2312" w:cs="仿宋_GB2312"/>
          <w:kern w:val="0"/>
          <w:sz w:val="32"/>
          <w:szCs w:val="32"/>
          <w:shd w:val="clear" w:color="FFFFFF" w:fill="D9D9D9"/>
          <w:lang w:val="en-US" w:eastAsia="zh-CN" w:bidi="ar"/>
        </w:rPr>
        <w:t>街道办事处、乡镇人民政府负责做好本区域范围内建筑垃圾处置的源头管理及协调配合工作。</w:t>
      </w:r>
    </w:p>
    <w:p w14:paraId="291873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第五条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建筑垃圾处置应当遵循减量化、资源化、无害化和谁产生、谁承担处置责任的原则。</w:t>
      </w:r>
    </w:p>
    <w:p w14:paraId="6575A1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第六条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建筑垃圾实行分类管理制度。市城市管理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部门应当研究制定建筑垃圾分类规范，明确分类标准和管理措施，并向社会公布。</w:t>
      </w:r>
    </w:p>
    <w:p w14:paraId="5EAFB78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shd w:val="clear" w:color="FFFFFF" w:fill="D9D9D9"/>
        </w:rPr>
      </w:pPr>
      <w:r>
        <w:rPr>
          <w:rFonts w:hint="eastAsia" w:ascii="黑体" w:hAnsi="宋体" w:eastAsia="黑体" w:cs="黑体"/>
          <w:bCs/>
          <w:kern w:val="0"/>
          <w:sz w:val="32"/>
          <w:szCs w:val="32"/>
          <w:shd w:val="clear" w:color="FFFFFF" w:fill="D9D9D9"/>
          <w:lang w:val="en-US" w:eastAsia="zh-CN" w:bidi="ar"/>
        </w:rPr>
        <w:t>第七条</w:t>
      </w:r>
      <w:r>
        <w:rPr>
          <w:rFonts w:hint="default" w:ascii="Times New Roman" w:hAnsi="Times New Roman" w:eastAsia="黑体" w:cs="Times New Roman"/>
          <w:bCs/>
          <w:kern w:val="0"/>
          <w:sz w:val="32"/>
          <w:szCs w:val="32"/>
          <w:shd w:val="clear" w:color="FFFFFF" w:fill="D9D9D9"/>
          <w:lang w:val="en-US" w:eastAsia="zh-CN" w:bidi="ar"/>
        </w:rPr>
        <w:t xml:space="preserve"> </w:t>
      </w:r>
      <w:r>
        <w:rPr>
          <w:rFonts w:hint="eastAsia" w:ascii="仿宋_GB2312" w:hAnsi="Times New Roman" w:eastAsia="仿宋_GB2312" w:cs="仿宋_GB2312"/>
          <w:kern w:val="0"/>
          <w:sz w:val="32"/>
          <w:szCs w:val="32"/>
          <w:shd w:val="clear" w:color="FFFFFF" w:fill="D9D9D9"/>
          <w:lang w:val="en-US" w:eastAsia="zh-CN" w:bidi="ar"/>
        </w:rPr>
        <w:t>建筑垃圾处置实行收费制度。具体收费标准由市价格行政主管部门依照国家和省有关规定制定。</w:t>
      </w:r>
    </w:p>
    <w:p w14:paraId="557B87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shd w:val="clear" w:color="FFFFFF" w:fill="D9D9D9"/>
        </w:rPr>
      </w:pPr>
      <w:r>
        <w:rPr>
          <w:rFonts w:hint="eastAsia" w:ascii="仿宋_GB2312" w:hAnsi="Times New Roman" w:eastAsia="仿宋_GB2312" w:cs="仿宋_GB2312"/>
          <w:kern w:val="0"/>
          <w:sz w:val="32"/>
          <w:szCs w:val="32"/>
          <w:shd w:val="clear" w:color="FFFFFF" w:fill="D9D9D9"/>
          <w:lang w:val="en-US" w:eastAsia="zh-CN" w:bidi="ar"/>
        </w:rPr>
        <w:t>建筑垃圾处置费专项用于建筑垃圾的处置管理以及处置设施的建设、运营和管理等。</w:t>
      </w:r>
    </w:p>
    <w:p w14:paraId="1D627D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eastAsia="仿宋_GB2312" w:cs="仿宋_GB2312"/>
          <w:kern w:val="0"/>
          <w:sz w:val="32"/>
          <w:szCs w:val="32"/>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shd w:val="clear" w:color="FFFFFF" w:fill="D9D9D9"/>
          <w:lang w:val="en-US" w:eastAsia="zh-CN" w:bidi="ar"/>
        </w:rPr>
        <w:t>八</w:t>
      </w:r>
      <w:r>
        <w:rPr>
          <w:rFonts w:hint="eastAsia" w:ascii="黑体" w:hAnsi="宋体" w:eastAsia="黑体" w:cs="黑体"/>
          <w:bCs/>
          <w:kern w:val="0"/>
          <w:sz w:val="32"/>
          <w:szCs w:val="32"/>
          <w:lang w:val="en-US" w:eastAsia="zh-CN" w:bidi="ar"/>
        </w:rPr>
        <w:t>七条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任何单位和个人不得</w:t>
      </w:r>
      <w:r>
        <w:rPr>
          <w:rFonts w:hint="eastAsia" w:ascii="仿宋_GB2312" w:hAnsi="Times New Roman" w:eastAsia="仿宋_GB2312" w:cs="仿宋_GB2312"/>
          <w:kern w:val="0"/>
          <w:sz w:val="32"/>
          <w:szCs w:val="32"/>
          <w:shd w:val="clear" w:color="FFFFFF" w:fill="D9D9D9"/>
          <w:lang w:val="en-US" w:eastAsia="zh-CN" w:bidi="ar"/>
        </w:rPr>
        <w:t>随意倾倒、抛撒或者堆放</w:t>
      </w:r>
      <w:r>
        <w:rPr>
          <w:rFonts w:hint="eastAsia" w:ascii="黑体" w:hAnsi="黑体" w:eastAsia="黑体" w:cs="黑体"/>
          <w:b w:val="0"/>
          <w:bCs w:val="0"/>
          <w:kern w:val="0"/>
          <w:sz w:val="32"/>
          <w:szCs w:val="32"/>
          <w:lang w:val="en-US" w:eastAsia="zh-CN" w:bidi="ar"/>
        </w:rPr>
        <w:t>擅自倾倒、堆放、丢弃、抛撒、遗撒或者焚烧</w:t>
      </w:r>
      <w:r>
        <w:rPr>
          <w:rFonts w:hint="eastAsia" w:ascii="仿宋_GB2312" w:hAnsi="Times New Roman" w:eastAsia="仿宋_GB2312" w:cs="仿宋_GB2312"/>
          <w:kern w:val="0"/>
          <w:sz w:val="32"/>
          <w:szCs w:val="32"/>
          <w:lang w:val="en-US" w:eastAsia="zh-CN" w:bidi="ar"/>
        </w:rPr>
        <w:t>建筑垃圾，不得将危险废物、工业垃圾、生活垃圾以及其他有毒有害垃圾混入建筑垃圾。</w:t>
      </w:r>
    </w:p>
    <w:p w14:paraId="5A92DF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kern w:val="0"/>
          <w:sz w:val="32"/>
          <w:szCs w:val="32"/>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九</w:t>
      </w:r>
      <w:r>
        <w:rPr>
          <w:rFonts w:hint="eastAsia" w:ascii="黑体" w:hAnsi="宋体" w:eastAsia="黑体" w:cs="黑体"/>
          <w:bCs/>
          <w:kern w:val="0"/>
          <w:sz w:val="32"/>
          <w:szCs w:val="32"/>
          <w:lang w:val="en-US" w:eastAsia="zh-CN" w:bidi="ar"/>
        </w:rPr>
        <w:t>八条</w:t>
      </w:r>
      <w:r>
        <w:rPr>
          <w:rFonts w:hint="default" w:ascii="Times New Roman" w:hAnsi="Times New Roman" w:eastAsia="黑体" w:cs="Times New Roman"/>
          <w:bCs/>
          <w:kern w:val="0"/>
          <w:sz w:val="32"/>
          <w:szCs w:val="32"/>
          <w:highlight w:val="lightGray"/>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处置建筑垃圾的单位，应当在工程开工前向行政审批服务部门提出申请，并提交建筑垃圾处置方案等相关材料，获得建筑垃圾处置核准后方可处置，居民家庭装饰装修除外。</w:t>
      </w:r>
      <w:r>
        <w:rPr>
          <w:rFonts w:hint="eastAsia" w:ascii="仿宋_GB2312" w:eastAsia="仿宋_GB2312" w:cs="仿宋_GB2312"/>
          <w:kern w:val="0"/>
          <w:sz w:val="32"/>
          <w:szCs w:val="32"/>
          <w:highlight w:val="lightGray"/>
          <w:lang w:val="en-US" w:eastAsia="zh-CN" w:bidi="ar"/>
        </w:rPr>
        <w:t xml:space="preserve">   </w:t>
      </w:r>
      <w:r>
        <w:rPr>
          <w:rFonts w:hint="eastAsia" w:ascii="黑体" w:hAnsi="黑体" w:eastAsia="黑体" w:cs="黑体"/>
          <w:b w:val="0"/>
          <w:bCs w:val="0"/>
          <w:kern w:val="0"/>
          <w:sz w:val="32"/>
          <w:szCs w:val="32"/>
          <w:lang w:val="en-US" w:eastAsia="zh-CN" w:bidi="ar"/>
        </w:rPr>
        <w:t>处置建筑垃圾的单位应当依法取得相关许可手续。</w:t>
      </w:r>
    </w:p>
    <w:p w14:paraId="349E59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eastAsia="仿宋_GB2312" w:cs="仿宋_GB2312"/>
          <w:kern w:val="0"/>
          <w:sz w:val="32"/>
          <w:szCs w:val="32"/>
          <w:highlight w:val="lightGray"/>
          <w:lang w:val="en-US" w:eastAsia="zh-CN" w:bidi="ar"/>
        </w:rPr>
      </w:pPr>
      <w:r>
        <w:rPr>
          <w:rFonts w:hint="eastAsia" w:ascii="黑体" w:hAnsi="黑体" w:eastAsia="黑体" w:cs="黑体"/>
          <w:b w:val="0"/>
          <w:bCs w:val="0"/>
          <w:kern w:val="0"/>
          <w:sz w:val="32"/>
          <w:szCs w:val="32"/>
          <w:lang w:val="en-US" w:eastAsia="zh-CN" w:bidi="ar"/>
        </w:rPr>
        <w:t xml:space="preserve">实行建筑垃圾处置相关许可手续联合办理制度，优化审批流程。 </w:t>
      </w:r>
    </w:p>
    <w:p w14:paraId="51ACC1D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highlight w:val="lightGray"/>
        </w:rPr>
      </w:pPr>
      <w:r>
        <w:rPr>
          <w:rFonts w:hint="eastAsia" w:ascii="黑体" w:hAnsi="宋体" w:eastAsia="黑体" w:cs="黑体"/>
          <w:bCs/>
          <w:kern w:val="0"/>
          <w:sz w:val="32"/>
          <w:szCs w:val="32"/>
          <w:highlight w:val="lightGray"/>
          <w:lang w:val="en-US" w:eastAsia="zh-CN" w:bidi="ar"/>
        </w:rPr>
        <w:t>第十条</w:t>
      </w:r>
      <w:r>
        <w:rPr>
          <w:rFonts w:hint="default" w:ascii="Times New Roman" w:hAnsi="Times New Roman" w:eastAsia="黑体" w:cs="Times New Roman"/>
          <w:bCs/>
          <w:kern w:val="0"/>
          <w:sz w:val="32"/>
          <w:szCs w:val="32"/>
          <w:highlight w:val="lightGray"/>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行政审批服务部门应当自受理申请之日起十日内作出是否核准的决定。对予以核准的，发放建筑垃圾处置核准手续；不予核准的，书面告知申请人并说明理由。</w:t>
      </w:r>
    </w:p>
    <w:p w14:paraId="426306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highlight w:val="lightGray"/>
        </w:rPr>
      </w:pPr>
      <w:r>
        <w:rPr>
          <w:rFonts w:hint="eastAsia" w:ascii="仿宋_GB2312" w:hAnsi="Times New Roman" w:eastAsia="仿宋_GB2312" w:cs="仿宋_GB2312"/>
          <w:kern w:val="0"/>
          <w:sz w:val="32"/>
          <w:szCs w:val="32"/>
          <w:highlight w:val="lightGray"/>
          <w:lang w:val="en-US" w:eastAsia="zh-CN" w:bidi="ar"/>
        </w:rPr>
        <w:t>对需要现场就地消纳建筑垃圾的，予以核减相应建筑垃圾排放量。</w:t>
      </w:r>
    </w:p>
    <w:p w14:paraId="67E29C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highlight w:val="lightGray"/>
        </w:rPr>
      </w:pPr>
      <w:r>
        <w:rPr>
          <w:rFonts w:hint="eastAsia" w:ascii="黑体" w:hAnsi="宋体" w:eastAsia="黑体" w:cs="黑体"/>
          <w:bCs/>
          <w:kern w:val="0"/>
          <w:sz w:val="32"/>
          <w:szCs w:val="32"/>
          <w:highlight w:val="lightGray"/>
          <w:lang w:val="en-US" w:eastAsia="zh-CN" w:bidi="ar"/>
        </w:rPr>
        <w:t>第十一条</w:t>
      </w:r>
      <w:r>
        <w:rPr>
          <w:rFonts w:hint="default" w:ascii="Times New Roman" w:hAnsi="Times New Roman" w:eastAsia="黑体" w:cs="Times New Roman"/>
          <w:bCs/>
          <w:kern w:val="0"/>
          <w:sz w:val="32"/>
          <w:szCs w:val="32"/>
          <w:highlight w:val="lightGray"/>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建筑垃圾处置核准内容发生变化的，应当及时向原核准机关提出变更申请。</w:t>
      </w:r>
    </w:p>
    <w:p w14:paraId="0C15960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lang w:val="en-US" w:eastAsia="zh-CN" w:bidi="ar"/>
        </w:rPr>
      </w:pPr>
      <w:r>
        <w:rPr>
          <w:rFonts w:hint="eastAsia" w:ascii="黑体" w:hAnsi="宋体" w:eastAsia="黑体" w:cs="黑体"/>
          <w:bCs/>
          <w:kern w:val="0"/>
          <w:sz w:val="32"/>
          <w:szCs w:val="32"/>
          <w:highlight w:val="lightGray"/>
          <w:lang w:val="en-US" w:eastAsia="zh-CN" w:bidi="ar"/>
        </w:rPr>
        <w:t>第十二条</w:t>
      </w:r>
      <w:r>
        <w:rPr>
          <w:rFonts w:hint="default" w:ascii="Times New Roman" w:hAnsi="Times New Roman" w:eastAsia="黑体" w:cs="Times New Roman"/>
          <w:bCs/>
          <w:kern w:val="0"/>
          <w:sz w:val="32"/>
          <w:szCs w:val="32"/>
          <w:highlight w:val="lightGray"/>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实行建筑垃圾处置管理相关许可事项联合办理制度，优化审批流程，为建筑垃圾处置申请单位提供便利。</w:t>
      </w:r>
    </w:p>
    <w:p w14:paraId="715AA2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
          <w:bCs w:val="0"/>
          <w:kern w:val="0"/>
          <w:sz w:val="32"/>
          <w:szCs w:val="32"/>
          <w:highlight w:val="lightGray"/>
          <w:lang w:val="en-US" w:eastAsia="zh-CN" w:bidi="ar"/>
        </w:rPr>
        <w:t>十三</w:t>
      </w:r>
      <w:r>
        <w:rPr>
          <w:rFonts w:hint="eastAsia" w:ascii="黑体" w:hAnsi="宋体" w:eastAsia="黑体" w:cs="黑体"/>
          <w:bCs/>
          <w:kern w:val="0"/>
          <w:sz w:val="32"/>
          <w:szCs w:val="32"/>
          <w:lang w:val="en-US" w:eastAsia="zh-CN" w:bidi="ar"/>
        </w:rPr>
        <w:t>九条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建设单位在工程招标或者直接发包时，应当在招标文件或者承包合同中明确施工单位对建筑垃圾管理的具体要求和相关措施，并监督施工单位按照要求文明施工。</w:t>
      </w:r>
    </w:p>
    <w:p w14:paraId="6709B2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建设单位应当按照规定将建筑垃圾污染防治费用列入工程造价，在施工合同中明确施工单位的建筑垃圾污染防治责任，并监督施工单位按照要求文明施工。</w:t>
      </w:r>
    </w:p>
    <w:p w14:paraId="619A73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lang w:val="en-US" w:eastAsia="zh-CN" w:bidi="ar"/>
        </w:rPr>
      </w:pPr>
      <w:r>
        <w:rPr>
          <w:rFonts w:hint="eastAsia" w:ascii="黑体" w:hAnsi="宋体" w:eastAsia="黑体" w:cs="黑体"/>
          <w:bCs/>
          <w:kern w:val="0"/>
          <w:sz w:val="32"/>
          <w:szCs w:val="32"/>
          <w:lang w:val="en-US" w:eastAsia="zh-CN" w:bidi="ar"/>
        </w:rPr>
        <w:t>第十条</w:t>
      </w:r>
      <w:r>
        <w:rPr>
          <w:rFonts w:hint="default" w:ascii="黑体" w:hAnsi="黑体" w:eastAsia="黑体" w:cs="黑体"/>
          <w:kern w:val="0"/>
          <w:sz w:val="32"/>
          <w:szCs w:val="32"/>
          <w:lang w:val="en-US" w:eastAsia="zh-CN" w:bidi="ar"/>
        </w:rPr>
        <w:t xml:space="preserve"> </w:t>
      </w:r>
      <w:r>
        <w:rPr>
          <w:rFonts w:hint="eastAsia" w:ascii="黑体" w:hAnsi="黑体" w:eastAsia="黑体" w:cs="黑体"/>
          <w:kern w:val="0"/>
          <w:sz w:val="32"/>
          <w:szCs w:val="32"/>
          <w:lang w:val="en-US" w:eastAsia="zh-CN" w:bidi="ar"/>
        </w:rPr>
        <w:t>施工单位应当编制建筑垃圾处理方案，采取污染防治措施，并报城市管理部门备案。</w:t>
      </w:r>
    </w:p>
    <w:p w14:paraId="3403FF4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十四</w:t>
      </w:r>
      <w:r>
        <w:rPr>
          <w:rFonts w:hint="eastAsia" w:ascii="黑体" w:hAnsi="宋体" w:eastAsia="黑体" w:cs="黑体"/>
          <w:bCs/>
          <w:kern w:val="0"/>
          <w:sz w:val="32"/>
          <w:szCs w:val="32"/>
          <w:highlight w:val="none"/>
          <w:lang w:val="en-US" w:eastAsia="zh-CN" w:bidi="ar"/>
        </w:rPr>
        <w:t>十一</w:t>
      </w:r>
      <w:r>
        <w:rPr>
          <w:rFonts w:hint="eastAsia" w:ascii="黑体" w:hAnsi="宋体" w:eastAsia="黑体" w:cs="黑体"/>
          <w:bCs/>
          <w:kern w:val="0"/>
          <w:sz w:val="32"/>
          <w:szCs w:val="32"/>
          <w:lang w:val="en-US" w:eastAsia="zh-CN" w:bidi="ar"/>
        </w:rPr>
        <w:t>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highlight w:val="lightGray"/>
          <w:lang w:val="en-US" w:eastAsia="zh-CN" w:bidi="ar"/>
        </w:rPr>
        <w:t>产生建筑垃圾的施工工地应当遵守下列规定：</w:t>
      </w:r>
    </w:p>
    <w:p w14:paraId="556E88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（一）设置符合标准的硬质围挡、公示牌；</w:t>
      </w:r>
    </w:p>
    <w:p w14:paraId="4D21792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（二）现场配备洒水降尘设备并有效使用；</w:t>
      </w:r>
    </w:p>
    <w:p w14:paraId="59866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（三）配备车辆冲洗设施并有效使用，保持驶离工地车辆清洁；</w:t>
      </w:r>
    </w:p>
    <w:p w14:paraId="04787CA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（四）工地进出路口、车行道路路面硬化处理；</w:t>
      </w:r>
    </w:p>
    <w:p w14:paraId="689783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（五）施工中产生的建筑垃圾在施工现场范围内及时分类清运，暂时不能清运的应当采取覆盖、压实、临时绿化等防尘措施；</w:t>
      </w:r>
    </w:p>
    <w:p w14:paraId="5CC6BE5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（六）建筑垃圾运输车辆全程密闭运输；</w:t>
      </w:r>
    </w:p>
    <w:p w14:paraId="70AEF77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（七）按照规定安装在线视频监控设备；</w:t>
      </w:r>
    </w:p>
    <w:p w14:paraId="0255F9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（八）按照规定安装扬尘在线监测设备；</w:t>
      </w:r>
    </w:p>
    <w:p w14:paraId="0D32FF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（九）配备专人负责工地内的保洁作业；</w:t>
      </w:r>
    </w:p>
    <w:p w14:paraId="603E67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（十）建筑单体外立面和主体每楼层内外积尘冲洗洁净后，撤除遮挡防护网。</w:t>
      </w:r>
    </w:p>
    <w:p w14:paraId="6C471E7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highlight w:val="lightGray"/>
          <w:lang w:val="en-US" w:eastAsia="zh-CN" w:bidi="ar"/>
        </w:rPr>
      </w:pPr>
      <w:r>
        <w:rPr>
          <w:rFonts w:hint="eastAsia" w:ascii="仿宋_GB2312" w:hAnsi="Times New Roman" w:eastAsia="仿宋_GB2312" w:cs="仿宋_GB2312"/>
          <w:kern w:val="0"/>
          <w:sz w:val="32"/>
          <w:szCs w:val="32"/>
          <w:highlight w:val="lightGray"/>
          <w:lang w:val="en-US" w:eastAsia="zh-CN" w:bidi="ar"/>
        </w:rPr>
        <w:t>建设工程在竣工验收前，应当将工程所产生的建筑垃圾全部清运。</w:t>
      </w:r>
    </w:p>
    <w:p w14:paraId="69A869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施工单位从事现场作业的，应当遵守下列规定：</w:t>
      </w:r>
    </w:p>
    <w:p w14:paraId="3F94BE3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（一）在施工现场周围设置硬质围挡；</w:t>
      </w:r>
    </w:p>
    <w:p w14:paraId="597E7E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（二）对场内路面和车辆进出道路进行硬化；</w:t>
      </w:r>
    </w:p>
    <w:p w14:paraId="0EBB60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（三）施工时采取覆盖、分段作业、择时施工、洒水抑尘、冲洗地面等有效防尘措施；</w:t>
      </w:r>
    </w:p>
    <w:p w14:paraId="44B822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（四）及时清运渣土等建筑垃圾，建筑垃圾车辆密闭运输；</w:t>
      </w:r>
    </w:p>
    <w:p w14:paraId="7F5090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（五）对出入车辆清洗，保持驶离施工现场车辆的清洁；</w:t>
      </w:r>
    </w:p>
    <w:p w14:paraId="557D083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（六）按规定排水，不得污染路面；</w:t>
      </w:r>
    </w:p>
    <w:p w14:paraId="02F4158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（七）工程停工、竣工后，及时清理和平整场地。</w:t>
      </w:r>
    </w:p>
    <w:p w14:paraId="564A87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黑体" w:hAnsi="黑体" w:eastAsia="黑体" w:cs="黑体"/>
          <w:b w:val="0"/>
          <w:bCs w:val="0"/>
          <w:kern w:val="0"/>
          <w:sz w:val="32"/>
          <w:szCs w:val="32"/>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十五</w:t>
      </w:r>
      <w:r>
        <w:rPr>
          <w:rFonts w:hint="eastAsia" w:ascii="黑体" w:hAnsi="宋体" w:eastAsia="黑体" w:cs="黑体"/>
          <w:bCs/>
          <w:kern w:val="0"/>
          <w:sz w:val="32"/>
          <w:szCs w:val="32"/>
          <w:lang w:val="en-US" w:eastAsia="zh-CN" w:bidi="ar"/>
        </w:rPr>
        <w:t>十二条</w:t>
      </w:r>
      <w:r>
        <w:rPr>
          <w:rFonts w:hint="default" w:ascii="Times New Roman" w:hAnsi="Times New Roman" w:eastAsia="黑体" w:cs="Times New Roman"/>
          <w:bCs/>
          <w:kern w:val="0"/>
          <w:sz w:val="32"/>
          <w:szCs w:val="32"/>
          <w:lang w:val="en-US" w:eastAsia="zh-CN" w:bidi="ar"/>
        </w:rPr>
        <w:t xml:space="preserve"> </w:t>
      </w:r>
      <w:r>
        <w:rPr>
          <w:rFonts w:hint="default" w:ascii="黑体" w:hAnsi="黑体" w:eastAsia="黑体" w:cs="黑体"/>
          <w:b w:val="0"/>
          <w:bCs w:val="0"/>
          <w:kern w:val="0"/>
          <w:sz w:val="32"/>
          <w:szCs w:val="32"/>
          <w:lang w:val="en-US" w:eastAsia="zh-CN" w:bidi="ar"/>
        </w:rPr>
        <w:t>居民进行房屋装饰装修活动产生的建筑垃圾，应当按照物业服务人或者街道办事处、镇人民政府指定的地点堆放，并承担清运费用。</w:t>
      </w:r>
    </w:p>
    <w:p w14:paraId="7B146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Cs/>
          <w:kern w:val="0"/>
          <w:sz w:val="32"/>
          <w:szCs w:val="32"/>
          <w:lang w:val="en-US" w:eastAsia="zh-CN" w:bidi="ar"/>
        </w:rPr>
      </w:pPr>
      <w:r>
        <w:rPr>
          <w:rFonts w:hint="default" w:ascii="黑体" w:hAnsi="黑体" w:eastAsia="黑体" w:cs="黑体"/>
          <w:b w:val="0"/>
          <w:bCs w:val="0"/>
          <w:kern w:val="0"/>
          <w:sz w:val="32"/>
          <w:szCs w:val="32"/>
          <w:lang w:val="en-US" w:eastAsia="zh-CN" w:bidi="ar"/>
        </w:rPr>
        <w:t>居民装饰装修房屋产生的建筑垃圾</w:t>
      </w:r>
      <w:r>
        <w:rPr>
          <w:rFonts w:hint="eastAsia" w:ascii="黑体" w:hAnsi="黑体" w:eastAsia="黑体" w:cs="黑体"/>
          <w:b w:val="0"/>
          <w:bCs w:val="0"/>
          <w:kern w:val="0"/>
          <w:sz w:val="32"/>
          <w:szCs w:val="32"/>
          <w:lang w:val="en-US" w:eastAsia="zh-CN" w:bidi="ar"/>
        </w:rPr>
        <w:t>应当及时</w:t>
      </w:r>
      <w:r>
        <w:rPr>
          <w:rFonts w:hint="default" w:ascii="黑体" w:hAnsi="黑体" w:eastAsia="黑体" w:cs="黑体"/>
          <w:b w:val="0"/>
          <w:bCs w:val="0"/>
          <w:kern w:val="0"/>
          <w:sz w:val="32"/>
          <w:szCs w:val="32"/>
          <w:lang w:val="en-US" w:eastAsia="zh-CN" w:bidi="ar"/>
        </w:rPr>
        <w:t>运送到</w:t>
      </w:r>
      <w:r>
        <w:rPr>
          <w:rFonts w:hint="eastAsia" w:ascii="黑体" w:hAnsi="黑体" w:eastAsia="黑体" w:cs="黑体"/>
          <w:kern w:val="0"/>
          <w:sz w:val="32"/>
          <w:szCs w:val="32"/>
          <w:lang w:val="en-US" w:eastAsia="zh-CN" w:bidi="ar"/>
        </w:rPr>
        <w:t>城市管理部门</w:t>
      </w:r>
      <w:r>
        <w:rPr>
          <w:rFonts w:hint="default" w:ascii="黑体" w:hAnsi="黑体" w:eastAsia="黑体" w:cs="黑体"/>
          <w:b w:val="0"/>
          <w:bCs w:val="0"/>
          <w:kern w:val="0"/>
          <w:sz w:val="32"/>
          <w:szCs w:val="32"/>
          <w:lang w:val="en-US" w:eastAsia="zh-CN" w:bidi="ar"/>
        </w:rPr>
        <w:t>指定的场所处置。</w:t>
      </w:r>
    </w:p>
    <w:p w14:paraId="287FC91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黑体" w:hAnsi="宋体" w:eastAsia="黑体" w:cs="黑体"/>
          <w:b/>
          <w:bCs/>
          <w:color w:val="FF0000"/>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十七</w:t>
      </w:r>
      <w:r>
        <w:rPr>
          <w:rFonts w:hint="eastAsia" w:ascii="黑体" w:hAnsi="宋体" w:eastAsia="黑体" w:cs="黑体"/>
          <w:bCs/>
          <w:kern w:val="0"/>
          <w:sz w:val="32"/>
          <w:szCs w:val="32"/>
          <w:lang w:val="en-US" w:eastAsia="zh-CN" w:bidi="ar"/>
        </w:rPr>
        <w:t>十三条</w:t>
      </w:r>
      <w:r>
        <w:rPr>
          <w:rFonts w:hint="eastAsia"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从事建筑垃圾运输的企业应当符合以下条件：</w:t>
      </w:r>
    </w:p>
    <w:p w14:paraId="45B201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（一）有适度规模运输车辆，且符合本市建筑垃圾运输车辆技术及运输管理要求</w:t>
      </w:r>
      <w:r>
        <w:rPr>
          <w:rFonts w:hint="eastAsia" w:ascii="仿宋_GB2312" w:eastAsia="仿宋_GB2312" w:cs="仿宋_GB2312"/>
          <w:kern w:val="0"/>
          <w:sz w:val="32"/>
          <w:szCs w:val="32"/>
          <w:lang w:val="en-US" w:eastAsia="zh-CN" w:bidi="ar"/>
        </w:rPr>
        <w:t>；</w:t>
      </w:r>
    </w:p>
    <w:p w14:paraId="069242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（二）运输车辆具备全密闭运输装置，安装车辆卫星定位和视频监控设备等，并逐步与数字化监管系统对接；</w:t>
      </w:r>
    </w:p>
    <w:p w14:paraId="1C6557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（三）有固定的办公场所和与经营规模相适应的停车场。</w:t>
      </w:r>
    </w:p>
    <w:p w14:paraId="0C9474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十八</w:t>
      </w:r>
      <w:r>
        <w:rPr>
          <w:rFonts w:hint="eastAsia" w:ascii="黑体" w:hAnsi="宋体" w:eastAsia="黑体" w:cs="黑体"/>
          <w:bCs/>
          <w:kern w:val="0"/>
          <w:sz w:val="32"/>
          <w:szCs w:val="32"/>
          <w:lang w:val="en-US" w:eastAsia="zh-CN" w:bidi="ar"/>
        </w:rPr>
        <w:t>十四条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建筑垃圾的运输，应当遵守下列规定：</w:t>
      </w:r>
    </w:p>
    <w:p w14:paraId="3AEBBF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（一）不得承运未经核准处置的建筑垃圾；</w:t>
      </w:r>
    </w:p>
    <w:p w14:paraId="685479B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（二）不得将承运的建筑垃圾转包或者分包；</w:t>
      </w:r>
    </w:p>
    <w:p w14:paraId="31C4639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（三）不得私自停用、拆除或者故意损坏卫星定位装置和视频监控设备；</w:t>
      </w:r>
    </w:p>
    <w:p w14:paraId="0AA807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（四）按照公安机关和城市管理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部门共同确定的运输路线、时间运行；</w:t>
      </w:r>
      <w:r>
        <w:rPr>
          <w:rFonts w:hint="default" w:ascii="Times New Roman" w:hAnsi="Times New Roman" w:eastAsia="仿宋_GB2312" w:cs="Times New Roman"/>
          <w:kern w:val="0"/>
          <w:sz w:val="32"/>
          <w:szCs w:val="32"/>
          <w:lang w:val="en-US" w:eastAsia="zh-CN" w:bidi="ar"/>
        </w:rPr>
        <w:br w:type="textWrapping"/>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（五）保持车身清洁，严禁带泥上路、污染路面；</w:t>
      </w:r>
      <w:r>
        <w:rPr>
          <w:rFonts w:hint="default" w:ascii="Times New Roman" w:hAnsi="Times New Roman" w:eastAsia="仿宋_GB2312" w:cs="Times New Roman"/>
          <w:kern w:val="0"/>
          <w:sz w:val="32"/>
          <w:szCs w:val="32"/>
          <w:lang w:val="en-US" w:eastAsia="zh-CN" w:bidi="ar"/>
        </w:rPr>
        <w:t xml:space="preserve"> </w:t>
      </w:r>
    </w:p>
    <w:p w14:paraId="09775A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（六）装载适量，全程密闭运输，不得遗撒、泄漏；</w:t>
      </w:r>
      <w:r>
        <w:rPr>
          <w:rFonts w:hint="default" w:ascii="Times New Roman" w:hAnsi="Times New Roman" w:eastAsia="仿宋_GB2312" w:cs="Times New Roman"/>
          <w:kern w:val="0"/>
          <w:sz w:val="32"/>
          <w:szCs w:val="32"/>
          <w:lang w:val="en-US" w:eastAsia="zh-CN" w:bidi="ar"/>
        </w:rPr>
        <w:br w:type="textWrapping"/>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（七）在指定的消纳场倾卸建筑垃圾，服从场地人员管理，并取得回执。</w:t>
      </w:r>
    </w:p>
    <w:p w14:paraId="79FE6F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十九</w:t>
      </w:r>
      <w:r>
        <w:rPr>
          <w:rFonts w:hint="eastAsia" w:ascii="黑体" w:hAnsi="宋体" w:eastAsia="黑体" w:cs="黑体"/>
          <w:bCs/>
          <w:kern w:val="0"/>
          <w:sz w:val="32"/>
          <w:szCs w:val="32"/>
          <w:highlight w:val="none"/>
          <w:lang w:val="en-US" w:eastAsia="zh-CN" w:bidi="ar"/>
        </w:rPr>
        <w:t>十五</w:t>
      </w:r>
      <w:r>
        <w:rPr>
          <w:rFonts w:hint="eastAsia" w:ascii="黑体" w:hAnsi="宋体" w:eastAsia="黑体" w:cs="黑体"/>
          <w:bCs/>
          <w:kern w:val="0"/>
          <w:sz w:val="32"/>
          <w:szCs w:val="32"/>
          <w:lang w:val="en-US" w:eastAsia="zh-CN" w:bidi="ar"/>
        </w:rPr>
        <w:t>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建筑垃圾运输企业应当建立健全运输车辆安全管理和运输规范等制度，对所属运输车辆及驾驶员实行动态管理，加强运输车辆维修养护和驾驶员培训，保证运输安全、规范。</w:t>
      </w:r>
    </w:p>
    <w:p w14:paraId="3DC653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rPr>
      </w:pPr>
      <w:r>
        <w:rPr>
          <w:rFonts w:hint="eastAsia" w:ascii="仿宋_GB2312" w:hAnsi="Times New Roman" w:eastAsia="仿宋_GB2312" w:cs="仿宋_GB2312"/>
          <w:kern w:val="0"/>
          <w:sz w:val="32"/>
          <w:szCs w:val="32"/>
          <w:lang w:val="en-US" w:eastAsia="zh-CN" w:bidi="ar"/>
        </w:rPr>
        <w:t>鼓励建筑垃圾运输企业采用新型环保智能运输车辆。</w:t>
      </w:r>
    </w:p>
    <w:p w14:paraId="1EE653A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w:t>
      </w:r>
      <w:r>
        <w:rPr>
          <w:rFonts w:hint="eastAsia" w:ascii="黑体" w:hAnsi="宋体" w:eastAsia="黑体" w:cs="黑体"/>
          <w:bCs/>
          <w:kern w:val="0"/>
          <w:sz w:val="32"/>
          <w:szCs w:val="32"/>
          <w:highlight w:val="none"/>
          <w:lang w:val="en-US" w:eastAsia="zh-CN" w:bidi="ar"/>
        </w:rPr>
        <w:t>十六</w:t>
      </w:r>
      <w:r>
        <w:rPr>
          <w:rFonts w:hint="eastAsia" w:ascii="黑体" w:hAnsi="宋体" w:eastAsia="黑体" w:cs="黑体"/>
          <w:bCs/>
          <w:kern w:val="0"/>
          <w:sz w:val="32"/>
          <w:szCs w:val="32"/>
          <w:lang w:val="en-US" w:eastAsia="zh-CN" w:bidi="ar"/>
        </w:rPr>
        <w:t>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应当会同市发展改革、财政、自然资源和规划、生态环境、住房城乡建设、行政审批服务等部门及相关区人民政府，将建筑垃圾消纳场、综合利用等设施的设置，纳入城市市容环境卫生专项规划，明确建筑垃圾消纳场设置布局、规模及建设计划等内容。</w:t>
      </w:r>
    </w:p>
    <w:p w14:paraId="688AB7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建筑垃圾临时消纳场应当符合国土空间规划、环境保护的要求，由区人民政府确定，并告知市城市管理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w:t>
      </w:r>
    </w:p>
    <w:p w14:paraId="1DC43A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鼓励社会资本投资建设和经营建筑垃圾长期消纳场和临时消纳场。</w:t>
      </w:r>
    </w:p>
    <w:p w14:paraId="26A0FD6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任何单位和个人不得擅自设立消纳场受纳建筑垃圾。</w:t>
      </w:r>
    </w:p>
    <w:p w14:paraId="45AA620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二十一</w:t>
      </w:r>
      <w:r>
        <w:rPr>
          <w:rFonts w:hint="eastAsia" w:ascii="黑体" w:hAnsi="宋体" w:eastAsia="黑体" w:cs="黑体"/>
          <w:bCs/>
          <w:kern w:val="0"/>
          <w:sz w:val="32"/>
          <w:szCs w:val="32"/>
          <w:lang w:val="en-US" w:eastAsia="zh-CN" w:bidi="ar"/>
        </w:rPr>
        <w:t>十七条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建筑垃圾消纳场的设置，应当符合下列要求：</w:t>
      </w:r>
    </w:p>
    <w:p w14:paraId="705C97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（一）四周设置硬质围挡或者围墙，路面硬化；</w:t>
      </w:r>
    </w:p>
    <w:p w14:paraId="3D64214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（二）配备摊铺、碾压、除尘、冲洗、照明、计量、排水、消防、喷淋等设备设施；</w:t>
      </w:r>
    </w:p>
    <w:p w14:paraId="382BEC7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（三）建筑垃圾按可利用和不可利用分类堆放，不得受纳工业垃圾、生活垃圾和有毒有害垃圾；</w:t>
      </w:r>
    </w:p>
    <w:p w14:paraId="711BA4E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（四）安装视频监控和扬尘在线监测设备，并保持正常使用；</w:t>
      </w:r>
    </w:p>
    <w:p w14:paraId="7E3FE6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（五）有健全的环境卫生和安全管理等现场运行管理制度和完整的制度执行情况的原始记录。</w:t>
      </w:r>
    </w:p>
    <w:p w14:paraId="5981AC4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二十二</w:t>
      </w:r>
      <w:r>
        <w:rPr>
          <w:rFonts w:hint="eastAsia" w:ascii="黑体" w:hAnsi="宋体" w:eastAsia="黑体" w:cs="黑体"/>
          <w:bCs/>
          <w:kern w:val="0"/>
          <w:sz w:val="32"/>
          <w:szCs w:val="32"/>
          <w:lang w:val="en-US" w:eastAsia="zh-CN" w:bidi="ar"/>
        </w:rPr>
        <w:t>十八条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建筑垃圾消纳场不得擅自关闭或者拒绝受纳建筑垃圾。建筑垃圾消纳场达到原设计容量或者其他原因无法继续消纳的，应当提前三个月告知市城市管理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w:t>
      </w:r>
    </w:p>
    <w:p w14:paraId="748DC1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建筑垃圾消纳场停止使用时，应当覆盖还田、绿化，或者按照生态环境保护的相关要求进行处理。</w:t>
      </w:r>
    </w:p>
    <w:p w14:paraId="1DF13B7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二十三</w:t>
      </w:r>
      <w:r>
        <w:rPr>
          <w:rFonts w:hint="eastAsia" w:ascii="黑体" w:hAnsi="宋体" w:eastAsia="黑体" w:cs="黑体"/>
          <w:bCs/>
          <w:kern w:val="0"/>
          <w:sz w:val="32"/>
          <w:szCs w:val="32"/>
          <w:lang w:val="en-US" w:eastAsia="zh-CN" w:bidi="ar"/>
        </w:rPr>
        <w:t>十九条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市、区人民政府应当在产业、财政、金融等方面对建筑垃圾综合利用给予扶持，鼓励和引导社会资本参与建筑垃圾综合利用项目，鼓励和支持建筑垃圾再生产品的研发、生产和使用。</w:t>
      </w:r>
    </w:p>
    <w:p w14:paraId="7A2CA2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二十四</w:t>
      </w:r>
      <w:r>
        <w:rPr>
          <w:rFonts w:hint="eastAsia" w:ascii="黑体" w:hAnsi="宋体" w:eastAsia="黑体" w:cs="黑体"/>
          <w:bCs/>
          <w:kern w:val="0"/>
          <w:sz w:val="32"/>
          <w:szCs w:val="32"/>
          <w:lang w:val="en-US" w:eastAsia="zh-CN" w:bidi="ar"/>
        </w:rPr>
        <w:t>二十条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建筑垃圾应当资源化利用和减量化处理。</w:t>
      </w:r>
    </w:p>
    <w:p w14:paraId="66107FC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城市管理</w:t>
      </w:r>
      <w:r>
        <w:rPr>
          <w:rFonts w:hint="eastAsia" w:ascii="仿宋_GB2312" w:hAnsi="Times New Roman" w:eastAsia="仿宋_GB2312" w:cs="仿宋_GB2312"/>
          <w:kern w:val="0"/>
          <w:sz w:val="32"/>
          <w:szCs w:val="32"/>
          <w:highlight w:val="lightGray"/>
          <w:shd w:val="clear" w:color="FFFFFF" w:fill="D9D9D9"/>
          <w:lang w:val="en-US" w:eastAsia="zh-CN" w:bidi="ar"/>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应当及时汇总并公布建筑垃圾消纳场、建设工程开挖、回填建筑垃圾以及建筑垃圾综合利用需求等信息，并根据本区域建筑垃圾的排放情况，合理安排建设单位、施工单位和建筑垃圾综合利用企业交换利用建筑垃圾。</w:t>
      </w:r>
    </w:p>
    <w:p w14:paraId="3CF4C6C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鼓励建设单位、施工单位在地形整理、工程填垫等环节充分利用建筑垃圾。</w:t>
      </w:r>
    </w:p>
    <w:p w14:paraId="153349C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建筑垃圾资源化利用单位应当采取措施，有效处理生产过程中产生的废水、废气、固体废物、噪声等，防止污染环境。</w:t>
      </w:r>
    </w:p>
    <w:p w14:paraId="648A68A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二十五</w:t>
      </w:r>
      <w:r>
        <w:rPr>
          <w:rFonts w:hint="eastAsia" w:ascii="黑体" w:hAnsi="宋体" w:eastAsia="黑体" w:cs="黑体"/>
          <w:bCs/>
          <w:kern w:val="0"/>
          <w:sz w:val="32"/>
          <w:szCs w:val="32"/>
          <w:lang w:val="en-US" w:eastAsia="zh-CN" w:bidi="ar"/>
        </w:rPr>
        <w:t>二十一条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政府投资的公共建筑、保障性安居工程、建筑节能与绿色建筑示范性工程、城市基础设施建设等项目，应当优先采用符合国家、省相关标准的建筑垃圾再生利用产品。</w:t>
      </w:r>
    </w:p>
    <w:p w14:paraId="7B7F68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二十六</w:t>
      </w:r>
      <w:r>
        <w:rPr>
          <w:rFonts w:hint="eastAsia" w:ascii="黑体" w:hAnsi="宋体" w:eastAsia="黑体" w:cs="黑体"/>
          <w:bCs/>
          <w:kern w:val="0"/>
          <w:sz w:val="32"/>
          <w:szCs w:val="32"/>
          <w:lang w:val="en-US" w:eastAsia="zh-CN" w:bidi="ar"/>
        </w:rPr>
        <w:t>二十二条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城市管理</w:t>
      </w:r>
      <w:r>
        <w:rPr>
          <w:rFonts w:hint="eastAsia" w:ascii="仿宋_GB2312" w:hAnsi="Times New Roman" w:eastAsia="仿宋_GB2312" w:cs="仿宋_GB2312"/>
          <w:color w:val="000000" w:themeColor="text1"/>
          <w:kern w:val="0"/>
          <w:sz w:val="32"/>
          <w:szCs w:val="32"/>
          <w:highlight w:val="lightGray"/>
          <w:shd w:val="clear" w:color="FFFFFF" w:fill="D9D9D9"/>
          <w:lang w:val="en-US" w:eastAsia="zh-CN" w:bidi="ar"/>
          <w14:textFill>
            <w14:solidFill>
              <w14:schemeClr w14:val="tx1"/>
            </w14:solidFill>
          </w14:textFill>
        </w:rPr>
        <w:t>行政</w:t>
      </w:r>
      <w:r>
        <w:rPr>
          <w:rFonts w:hint="eastAsia" w:ascii="仿宋_GB2312" w:hAnsi="Times New Roman" w:eastAsia="仿宋_GB2312" w:cs="仿宋_GB2312"/>
          <w:kern w:val="0"/>
          <w:sz w:val="32"/>
          <w:szCs w:val="32"/>
          <w:highlight w:val="lightGray"/>
          <w:lang w:val="en-US" w:eastAsia="zh-CN" w:bidi="ar"/>
        </w:rPr>
        <w:t>主管</w:t>
      </w:r>
      <w:r>
        <w:rPr>
          <w:rFonts w:hint="eastAsia" w:ascii="仿宋_GB2312" w:hAnsi="Times New Roman" w:eastAsia="仿宋_GB2312" w:cs="仿宋_GB2312"/>
          <w:kern w:val="0"/>
          <w:sz w:val="32"/>
          <w:szCs w:val="32"/>
          <w:lang w:val="en-US" w:eastAsia="zh-CN" w:bidi="ar"/>
        </w:rPr>
        <w:t>部门应当加强对建筑垃圾产生、运输、中转、消纳、利用等处置活动的日常监管，并会同相关部门建立建设单位、施工单位、运输企业、消纳场的考核评价机制，依法纳入行业监管平台和社会信用体系。</w:t>
      </w:r>
    </w:p>
    <w:p w14:paraId="387DD8E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二十七</w:t>
      </w:r>
      <w:r>
        <w:rPr>
          <w:rFonts w:hint="eastAsia" w:ascii="黑体" w:hAnsi="宋体" w:eastAsia="黑体" w:cs="黑体"/>
          <w:bCs/>
          <w:kern w:val="0"/>
          <w:sz w:val="32"/>
          <w:szCs w:val="32"/>
          <w:lang w:val="en-US" w:eastAsia="zh-CN" w:bidi="ar"/>
        </w:rPr>
        <w:t>二十三条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市城市管理</w:t>
      </w:r>
      <w:r>
        <w:rPr>
          <w:rFonts w:hint="eastAsia" w:ascii="仿宋_GB2312" w:hAnsi="Times New Roman" w:eastAsia="仿宋_GB2312" w:cs="仿宋_GB2312"/>
          <w:kern w:val="0"/>
          <w:sz w:val="32"/>
          <w:szCs w:val="32"/>
          <w:shd w:val="clear" w:color="FFFFFF" w:fill="D9D9D9"/>
          <w:lang w:val="en-US" w:eastAsia="zh-CN" w:bidi="ar"/>
        </w:rPr>
        <w:t>行政</w:t>
      </w:r>
      <w:r>
        <w:rPr>
          <w:rFonts w:hint="eastAsia" w:ascii="仿宋_GB2312" w:hAnsi="Times New Roman" w:eastAsia="仿宋_GB2312" w:cs="仿宋_GB2312"/>
          <w:kern w:val="0"/>
          <w:sz w:val="32"/>
          <w:szCs w:val="32"/>
          <w:lang w:val="en-US" w:eastAsia="zh-CN" w:bidi="ar"/>
        </w:rPr>
        <w:t>主管部门应当将建筑垃圾监督管理工作纳入数字化城市管理系统，并向社会公开下列信息：</w:t>
      </w:r>
    </w:p>
    <w:p w14:paraId="50E6C8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（一）建筑垃圾排放量核算标准及排放处置核准情况；</w:t>
      </w:r>
    </w:p>
    <w:p w14:paraId="78D274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（二）运输企业</w:t>
      </w:r>
      <w:r>
        <w:rPr>
          <w:rFonts w:hint="eastAsia" w:ascii="仿宋_GB2312" w:hAnsi="Times New Roman" w:eastAsia="仿宋_GB2312" w:cs="仿宋_GB2312"/>
          <w:kern w:val="0"/>
          <w:sz w:val="32"/>
          <w:szCs w:val="32"/>
          <w:highlight w:val="lightGray"/>
          <w:lang w:val="en-US" w:eastAsia="zh-CN" w:bidi="ar"/>
        </w:rPr>
        <w:t>名录</w:t>
      </w:r>
      <w:r>
        <w:rPr>
          <w:rFonts w:hint="eastAsia" w:ascii="仿宋_GB2312" w:hAnsi="Times New Roman" w:eastAsia="仿宋_GB2312" w:cs="仿宋_GB2312"/>
          <w:kern w:val="0"/>
          <w:sz w:val="32"/>
          <w:szCs w:val="32"/>
          <w:lang w:val="en-US" w:eastAsia="zh-CN" w:bidi="ar"/>
        </w:rPr>
        <w:t>及运输车辆信息；</w:t>
      </w:r>
    </w:p>
    <w:p w14:paraId="733AA8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（三）临时消纳场、长期消纳场的地点、容量信息；</w:t>
      </w:r>
    </w:p>
    <w:p w14:paraId="284C714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（四）建筑垃圾消纳供需和综合利用信息；</w:t>
      </w:r>
    </w:p>
    <w:p w14:paraId="45D02B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（五）建筑垃圾处置违法行为查处情况；</w:t>
      </w:r>
    </w:p>
    <w:p w14:paraId="1F64A98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（六）其他应当公开的信息。</w:t>
      </w:r>
    </w:p>
    <w:p w14:paraId="512B514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公安、住房城乡建设、交通运输、行政审批服务等部门应当及时提供建筑垃圾管理相关信息，实现信息互通共享。</w:t>
      </w:r>
    </w:p>
    <w:p w14:paraId="7BD0727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二十八</w:t>
      </w:r>
      <w:r>
        <w:rPr>
          <w:rFonts w:hint="eastAsia" w:ascii="黑体" w:hAnsi="宋体" w:eastAsia="黑体" w:cs="黑体"/>
          <w:bCs/>
          <w:kern w:val="0"/>
          <w:sz w:val="32"/>
          <w:szCs w:val="32"/>
          <w:lang w:val="en-US" w:eastAsia="zh-CN" w:bidi="ar"/>
        </w:rPr>
        <w:t>二十四条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城市管理</w:t>
      </w:r>
      <w:r>
        <w:rPr>
          <w:rFonts w:hint="eastAsia" w:ascii="仿宋_GB2312" w:hAnsi="Times New Roman" w:eastAsia="仿宋_GB2312" w:cs="仿宋_GB2312"/>
          <w:kern w:val="0"/>
          <w:sz w:val="32"/>
          <w:szCs w:val="32"/>
          <w:shd w:val="clear" w:color="FFFFFF" w:fill="D9D9D9"/>
          <w:lang w:val="en-US" w:eastAsia="zh-CN" w:bidi="ar"/>
        </w:rPr>
        <w:t>行政</w:t>
      </w:r>
      <w:r>
        <w:rPr>
          <w:rFonts w:hint="eastAsia" w:ascii="仿宋_GB2312" w:hAnsi="Times New Roman" w:eastAsia="仿宋_GB2312" w:cs="仿宋_GB2312"/>
          <w:kern w:val="0"/>
          <w:sz w:val="32"/>
          <w:szCs w:val="32"/>
          <w:lang w:val="en-US" w:eastAsia="zh-CN" w:bidi="ar"/>
        </w:rPr>
        <w:t>主管部门应当与公安、住房城乡建设、生态环境、交通运输等部门建立执法联动工作机制，开展建筑垃圾管理联合执法，及时发现和查处违法违规行为。</w:t>
      </w:r>
    </w:p>
    <w:p w14:paraId="3FA951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二十九</w:t>
      </w:r>
      <w:r>
        <w:rPr>
          <w:rFonts w:hint="eastAsia" w:ascii="黑体" w:hAnsi="宋体" w:eastAsia="黑体" w:cs="黑体"/>
          <w:bCs/>
          <w:kern w:val="0"/>
          <w:sz w:val="32"/>
          <w:szCs w:val="32"/>
          <w:lang w:val="en-US" w:eastAsia="zh-CN" w:bidi="ar"/>
        </w:rPr>
        <w:t>二十五条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对违反本办法规定的行为，法律、法规已经规定法律责任的，适用其规定。</w:t>
      </w:r>
    </w:p>
    <w:p w14:paraId="73CA8B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三十</w:t>
      </w:r>
      <w:r>
        <w:rPr>
          <w:rFonts w:hint="eastAsia" w:ascii="黑体" w:hAnsi="宋体" w:eastAsia="黑体" w:cs="黑体"/>
          <w:bCs/>
          <w:kern w:val="0"/>
          <w:sz w:val="32"/>
          <w:szCs w:val="32"/>
          <w:lang w:val="en-US" w:eastAsia="zh-CN" w:bidi="ar"/>
        </w:rPr>
        <w:t>二十六条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各县（市）建筑垃圾的管理工作，参照本办法执行。</w:t>
      </w:r>
    </w:p>
    <w:p w14:paraId="160996E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仿宋_GB2312"/>
          <w:kern w:val="0"/>
          <w:sz w:val="32"/>
          <w:szCs w:val="32"/>
          <w:lang w:val="en-US" w:eastAsia="zh-CN" w:bidi="ar"/>
        </w:rPr>
      </w:pPr>
      <w:r>
        <w:rPr>
          <w:rFonts w:hint="eastAsia" w:ascii="黑体" w:hAnsi="宋体" w:eastAsia="黑体" w:cs="黑体"/>
          <w:bCs/>
          <w:kern w:val="0"/>
          <w:sz w:val="32"/>
          <w:szCs w:val="32"/>
          <w:lang w:val="en-US" w:eastAsia="zh-CN" w:bidi="ar"/>
        </w:rPr>
        <w:t>第</w:t>
      </w:r>
      <w:r>
        <w:rPr>
          <w:rFonts w:hint="eastAsia" w:ascii="黑体" w:hAnsi="宋体" w:eastAsia="黑体" w:cs="黑体"/>
          <w:bCs/>
          <w:kern w:val="0"/>
          <w:sz w:val="32"/>
          <w:szCs w:val="32"/>
          <w:highlight w:val="lightGray"/>
          <w:lang w:val="en-US" w:eastAsia="zh-CN" w:bidi="ar"/>
        </w:rPr>
        <w:t>三十一</w:t>
      </w:r>
      <w:r>
        <w:rPr>
          <w:rFonts w:hint="eastAsia" w:ascii="黑体" w:hAnsi="宋体" w:eastAsia="黑体" w:cs="黑体"/>
          <w:bCs/>
          <w:kern w:val="0"/>
          <w:sz w:val="32"/>
          <w:szCs w:val="32"/>
          <w:lang w:val="en-US" w:eastAsia="zh-CN" w:bidi="ar"/>
        </w:rPr>
        <w:t>二十七条</w:t>
      </w:r>
      <w:r>
        <w:rPr>
          <w:rFonts w:hint="default" w:ascii="Times New Roman" w:hAnsi="Times New Roman" w:eastAsia="黑体" w:cs="Times New Roman"/>
          <w:bCs/>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本办法自</w:t>
      </w:r>
      <w:r>
        <w:rPr>
          <w:rFonts w:hint="default" w:ascii="Times New Roman" w:hAnsi="Times New Roman" w:eastAsia="仿宋_GB2312" w:cs="Times New Roman"/>
          <w:kern w:val="0"/>
          <w:sz w:val="32"/>
          <w:szCs w:val="32"/>
          <w:lang w:val="en-US" w:eastAsia="zh-CN" w:bidi="ar"/>
        </w:rPr>
        <w:t>2021</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4</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日起施行。</w:t>
      </w:r>
    </w:p>
    <w:p w14:paraId="35BE6D52">
      <w:pPr>
        <w:rPr>
          <w:sz w:val="32"/>
          <w:szCs w:val="32"/>
        </w:rPr>
      </w:pPr>
      <w:r>
        <w:rPr>
          <w:rFonts w:hint="default" w:ascii="Times New Roman" w:hAnsi="Times New Roman" w:eastAsia="仿宋_GB2312" w:cs="Times New Roman"/>
          <w:sz w:val="32"/>
          <w:szCs w:val="32"/>
          <w:lang w:val="en-US" w:eastAsia="zh-CN"/>
        </w:rPr>
        <w:br w:type="page"/>
      </w:r>
    </w:p>
    <w:p w14:paraId="636C3F75"/>
    <w:sectPr>
      <w:headerReference r:id="rId3" w:type="default"/>
      <w:footerReference r:id="rId4" w:type="default"/>
      <w:pgSz w:w="11906" w:h="16838"/>
      <w:pgMar w:top="1701" w:right="1587" w:bottom="1587" w:left="1587"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2609">
    <w:pPr>
      <w:tabs>
        <w:tab w:val="center" w:pos="4153"/>
        <w:tab w:val="right" w:pos="8306"/>
      </w:tabs>
      <w:snapToGrid w:val="0"/>
      <w:ind w:right="360" w:firstLine="360"/>
      <w:jc w:val="left"/>
      <w:rPr>
        <w:rFonts w:ascii="Calibri" w:hAnsi="Calibri" w:cs="Calibri"/>
        <w:sz w:val="18"/>
        <w:szCs w:val="18"/>
      </w:rPr>
    </w:pPr>
    <w:r>
      <mc:AlternateContent>
        <mc:Choice Requires="wps">
          <w:drawing>
            <wp:anchor distT="0" distB="0" distL="114300" distR="114300" simplePos="0" relativeHeight="251659264" behindDoc="0" locked="1" layoutInCell="1" allowOverlap="1">
              <wp:simplePos x="0" y="0"/>
              <wp:positionH relativeFrom="margin">
                <wp:align>outside</wp:align>
              </wp:positionH>
              <wp:positionV relativeFrom="paragraph">
                <wp:posOffset>0</wp:posOffset>
              </wp:positionV>
              <wp:extent cx="1828800" cy="1828800"/>
              <wp:effectExtent l="0" t="0" r="0" b="0"/>
              <wp:wrapNone/>
              <wp:docPr id="38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F67213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173</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Avr/tE1AEAAKQDAAAOAAAAAAAAAAEAIAAAAB8B&#10;AABkcnMvZTJvRG9jLnhtbFBLBQYAAAAABgAGAFkBAABlBQAAAAA=&#10;">
              <v:fill on="f" focussize="0,0"/>
              <v:stroke on="f" weight="0.5pt"/>
              <v:imagedata o:title=""/>
              <o:lock v:ext="edit" aspectratio="f"/>
              <v:textbox inset="0mm,0mm,0mm,0mm" style="mso-fit-shape-to-text:t;">
                <w:txbxContent>
                  <w:p w14:paraId="7F67213A">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173</w:t>
                    </w:r>
                    <w:r>
                      <w:rPr>
                        <w:sz w:val="28"/>
                        <w:szCs w:val="28"/>
                      </w:rPr>
                      <w:fldChar w:fldCharType="end"/>
                    </w:r>
                    <w:r>
                      <w:rPr>
                        <w:sz w:val="28"/>
                        <w:szCs w:val="28"/>
                      </w:rPr>
                      <w:t xml:space="preserve"> —</w:t>
                    </w:r>
                  </w:p>
                </w:txbxContent>
              </v:textbox>
              <w10:anchorlock/>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7DE2E">
    <w:pPr>
      <w:pStyle w:val="5"/>
      <w:pBdr>
        <w:bottom w:val="none" w:color="auto" w:sz="0" w:space="0"/>
      </w:pBdr>
      <w:tabs>
        <w:tab w:val="left" w:pos="3751"/>
      </w:tabs>
      <w:jc w:val="left"/>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11187"/>
    <w:rsid w:val="014545C7"/>
    <w:rsid w:val="04770389"/>
    <w:rsid w:val="076C002B"/>
    <w:rsid w:val="09AD4120"/>
    <w:rsid w:val="155B404F"/>
    <w:rsid w:val="2543044A"/>
    <w:rsid w:val="32B11187"/>
    <w:rsid w:val="396106E4"/>
    <w:rsid w:val="4EB17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eastAsia="方正小标宋简体" w:cs="Times New Roman" w:asciiTheme="minorAscii" w:hAnsiTheme="minorAscii"/>
      <w:kern w:val="44"/>
      <w:sz w:val="44"/>
      <w:szCs w:val="22"/>
    </w:rPr>
  </w:style>
  <w:style w:type="paragraph" w:styleId="3">
    <w:name w:val="heading 2"/>
    <w:basedOn w:val="1"/>
    <w:next w:val="1"/>
    <w:semiHidden/>
    <w:unhideWhenUsed/>
    <w:qFormat/>
    <w:uiPriority w:val="0"/>
    <w:pPr>
      <w:keepNext/>
      <w:keepLines/>
      <w:spacing w:before="360" w:beforeLines="0" w:beforeAutospacing="0" w:after="360" w:afterLines="0" w:afterAutospacing="0" w:line="240" w:lineRule="auto"/>
      <w:ind w:firstLine="420" w:firstLineChars="200"/>
      <w:outlineLvl w:val="1"/>
    </w:pPr>
    <w:rPr>
      <w:rFonts w:ascii="Arial" w:hAnsi="Arial" w:eastAsia="黑体"/>
      <w:b/>
      <w:sz w:val="3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2026-08-06T03:26:00Z</dcterms:created>
  <dc:creator>快乐的小青蛙</dc:creator>
  <cp:lastModifiedBy>快乐的小青蛙</cp:lastModifiedBy>
  <dcterms:modified xsi:type="dcterms:W3CDTF">2026-08-06T03:27:40Z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56A586BC95DA411DBCE3567E04FBFD7A_11</vt:lpwstr>
  </property>
  <property fmtid="{D5CDD505-2E9C-101B-9397-08002B2CF9AE}" pid="4" name="KSOTemplateDocerSaveRecord">
    <vt:lpwstr>eyJoZGlkIjoiYzZkNzQ4ZWFiZmQ4NTRhOWRkZTk3YTMwMjlmMmZhYmUiLCJ1c2VySWQiOiIxMTM4MDE4MTY2In0=</vt:lpwstr>
  </property>
</Properties>
</file>