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0" w:rsidRPr="00BA4DB0" w:rsidRDefault="00BA4DB0" w:rsidP="00BA4DB0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A4DB0" w:rsidRPr="00BA4DB0" w:rsidRDefault="00BA4DB0" w:rsidP="00BA4DB0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A4DB0">
        <w:rPr>
          <w:rFonts w:ascii="Times New Roman" w:eastAsia="方正小标宋简体" w:hAnsi="Times New Roman" w:cs="Times New Roman"/>
          <w:sz w:val="44"/>
          <w:szCs w:val="44"/>
        </w:rPr>
        <w:t>泰安市人民政府关于公布泰安市</w:t>
      </w:r>
      <w:r w:rsidRPr="00BA4DB0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Pr="00BA4DB0">
        <w:rPr>
          <w:rFonts w:ascii="Times New Roman" w:eastAsia="方正小标宋简体" w:hAnsi="Times New Roman" w:cs="Times New Roman"/>
          <w:sz w:val="44"/>
          <w:szCs w:val="44"/>
        </w:rPr>
        <w:t>年度</w:t>
      </w:r>
    </w:p>
    <w:p w:rsidR="00BA4DB0" w:rsidRPr="00BA4DB0" w:rsidRDefault="00BA4DB0" w:rsidP="00BA4DB0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A4DB0">
        <w:rPr>
          <w:rFonts w:ascii="Times New Roman" w:eastAsia="方正小标宋简体" w:hAnsi="Times New Roman" w:cs="Times New Roman"/>
          <w:sz w:val="44"/>
          <w:szCs w:val="44"/>
        </w:rPr>
        <w:t>国有建设用地供应计划的通知</w:t>
      </w:r>
    </w:p>
    <w:p w:rsidR="00BA4DB0" w:rsidRPr="00BA4DB0" w:rsidRDefault="00BA4DB0" w:rsidP="00BA4DB0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A4DB0" w:rsidRPr="00BA4DB0" w:rsidRDefault="00BA4DB0" w:rsidP="00BA4DB0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Times New Roman" w:eastAsia="仿宋_GB2312" w:hAnsi="Times New Roman" w:cs="Times New Roman"/>
          <w:sz w:val="32"/>
          <w:szCs w:val="32"/>
        </w:rPr>
        <w:t>各县、市、区人民政府，市政府各部门、直属单位，省属以上驻泰各单位：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Times New Roman" w:eastAsia="仿宋_GB2312" w:hAnsi="Times New Roman" w:cs="Times New Roman"/>
          <w:sz w:val="32"/>
          <w:szCs w:val="32"/>
        </w:rPr>
        <w:t>为大力推进自然资源节约集约利用，优化土地资源供给结构，提高土地资源利用效率，为全市经济社会高质量发展提供坚实的用地保障，根据国家和省有关规定，结合我市实际，制定本计划。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BA4DB0">
        <w:rPr>
          <w:rFonts w:ascii="黑体" w:eastAsia="黑体" w:hAnsi="黑体" w:cs="Times New Roman"/>
          <w:sz w:val="32"/>
          <w:szCs w:val="32"/>
        </w:rPr>
        <w:t>一、计划总量及供应结构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 w:hint="eastAsia"/>
          <w:sz w:val="32"/>
          <w:szCs w:val="32"/>
        </w:rPr>
        <w:t>（一）国有建设用地供应总量。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年，市本级国有建设用地供应总量控制在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7775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亩，其中新增建设用地控制在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5069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亩，存量建设用地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2706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（二）国有建设用地供应结构。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年，市本级计划供应住宅用地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2764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亩。计划供应商服用地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956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亩。计划供应公共管理与公共服务用地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1171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亩，其中教育用地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467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亩，医疗卫生用地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123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亩，公园与绿地用地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192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亩，其他公建用地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389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亩。计划供应工业用地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2873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亩。计划供应特殊用地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11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亩，全部为殡葬用地。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BA4DB0">
        <w:rPr>
          <w:rFonts w:ascii="黑体" w:eastAsia="黑体" w:hAnsi="黑体" w:cs="Times New Roman"/>
          <w:sz w:val="32"/>
          <w:szCs w:val="32"/>
        </w:rPr>
        <w:t>二、国有建设用地供应导向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（一）继续落实支持新旧动能转换的土地政策，切实保障</w:t>
      </w:r>
      <w:r w:rsidRPr="00BA4DB0">
        <w:rPr>
          <w:rFonts w:ascii="楷体_GB2312" w:eastAsia="楷体_GB2312" w:hAnsi="Times New Roman" w:cs="Times New Roman"/>
          <w:sz w:val="32"/>
          <w:szCs w:val="32"/>
        </w:rPr>
        <w:lastRenderedPageBreak/>
        <w:t>重大项目建设用地。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根据国家产业用地政策、国土空间规划和当地产业发展情况，统筹安排项目用地，重点保障能源、交通、水利等基础设施项目和新旧动能转换等重点建设项目，支持扶贫、保障性安居工程、教育、医疗、体育、公益性养老、抢险救灾、政府组织实施的急需公共服务设施等民生项目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（二）推进亩产效益评价改革，支持工业经济高质量发展。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保障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优先发展类企业（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A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类）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、鼓励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支持发展类企业（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B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类）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、倒逼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提升发展类企业（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C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类）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、整治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限制发展类企业（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D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类）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。支持工业转型升级项目，鼓励开发区、产业聚集区规划建设多层标准化厂房、科技企业孵化器。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（三）实行差别化供地政策，扩大国有土地有偿使用范围。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对与政府共同投资建设的可以使用划拨土地的医疗、教育、文化、养老、体育等公共服务项目，除可按划拨土地方式供应土地外，鼓励以出让、租赁方式供应土地。原划拨、承租国有建设用地使用权人申请办理协议出让的，除划拨决定书、租赁合同、法律、法规、行政规定等明确应当收回国有建设用地使用权重新公开出让的外，经依法批准，可采取协议方式出让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（四）创新住宅用地供应方式，加大住房保障工作力度。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坚持房地产用地统一规划、统筹安排、有序实施的原则，科学管控土地供应规模和时序。鼓励市场主体参与城市更新，制定与市场需求相适应的商品住宅用地出让计划，合理安排保障性住房用地。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lastRenderedPageBreak/>
        <w:t>（五）实行建设用地</w:t>
      </w:r>
      <w:r w:rsidRPr="00BA4DB0">
        <w:rPr>
          <w:rFonts w:ascii="楷体_GB2312" w:eastAsia="楷体_GB2312" w:hAnsi="Times New Roman" w:cs="Times New Roman"/>
          <w:sz w:val="32"/>
          <w:szCs w:val="32"/>
        </w:rPr>
        <w:t>“</w:t>
      </w:r>
      <w:r w:rsidRPr="00BA4DB0">
        <w:rPr>
          <w:rFonts w:ascii="楷体_GB2312" w:eastAsia="楷体_GB2312" w:hAnsi="Times New Roman" w:cs="Times New Roman"/>
          <w:sz w:val="32"/>
          <w:szCs w:val="32"/>
        </w:rPr>
        <w:t>增存挂钩</w:t>
      </w:r>
      <w:r w:rsidRPr="00BA4DB0">
        <w:rPr>
          <w:rFonts w:ascii="楷体_GB2312" w:eastAsia="楷体_GB2312" w:hAnsi="Times New Roman" w:cs="Times New Roman"/>
          <w:sz w:val="32"/>
          <w:szCs w:val="32"/>
        </w:rPr>
        <w:t>”</w:t>
      </w:r>
      <w:r w:rsidRPr="00BA4DB0">
        <w:rPr>
          <w:rFonts w:ascii="楷体_GB2312" w:eastAsia="楷体_GB2312" w:hAnsi="Times New Roman" w:cs="Times New Roman"/>
          <w:sz w:val="32"/>
          <w:szCs w:val="32"/>
        </w:rPr>
        <w:t>机制，盘活利用批而未供和闲置低效土地。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支持盘活产能过剩退出企业土地资产。鼓励和支持优质企业实施收购重组，以产权转让、资产置换等多种方式盘活有效资产，创新低效用地盘活路径，鼓励低效用地企业主动退出，政府收回用地再开发。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BA4DB0">
        <w:rPr>
          <w:rFonts w:ascii="黑体" w:eastAsia="黑体" w:hAnsi="黑体" w:cs="Times New Roman"/>
          <w:sz w:val="32"/>
          <w:szCs w:val="32"/>
        </w:rPr>
        <w:t>三、保障措施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（一）做好用地保障，加强计划实施沟通和协调。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各有关部门应加强沟通，协调解决计划实施中存在的问题，对疫情防控项目和省重大项目、强弱项补短板项目、新旧动能转换优选项目、双招双引项目及保障性住房、教育、医疗卫生、乡村振兴、扶贫等社会民生项目，可以预支部分新增建设用地指标保障项目落地。项目化安排使用新增建设用地计划指标，以真实有效的项目落地开工作为配置计划指标的依据，切实提高计划指标的使用效益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（二）认真落实各项产业用地支持政策。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依据上级制定出台的各项支持新经济、新产业、新业态、新模式发展用地政策，细化实施措施，推进产业用地政策落实，主动对接产业用地新需求，保障新产业发展用地，切实降低企业用地成本，支持实体经济高质量发展。最大限度鼓励盘活现有建设用地发展相关产业，促进产业结构和土地利用结构调整优化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（三）加强土地供应供后监管。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自然资源和规划部门要加强对计划实施的动态跟踪管理，充分利用土地市场动态监测监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lastRenderedPageBreak/>
        <w:t>管系统，运用信息化手段加强对重点地块开发建设情况的跟踪，推进产业用地监管制度化，实行全流程监管，及时向社会公开供地计划、供地信息、供地结果等动态信息，接受社会监督。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楷体_GB2312" w:eastAsia="楷体_GB2312" w:hAnsi="Times New Roman" w:cs="Times New Roman"/>
          <w:sz w:val="32"/>
          <w:szCs w:val="32"/>
        </w:rPr>
        <w:t>（四）加快批而未供和闲置低效土地处置进度。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根据调查摸底和土地利用动态监管系统数据，分解下达处置批而未供和闲置土地任务，建立工作台账，实施销号制度。建立和实施督查、通报和激励制度，对不能按期完成任务的县（市、区）、功能区，除国家重点项目和民生保障项目外，暂停有关用地审批事项办理，直至任务完成。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Times New Roman" w:eastAsia="仿宋_GB2312" w:hAnsi="Times New Roman" w:cs="Times New Roman"/>
          <w:sz w:val="32"/>
          <w:szCs w:val="32"/>
        </w:rPr>
        <w:t>附件：泰安市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年度国有建设用地供应计划表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.docx</w:t>
      </w:r>
    </w:p>
    <w:p w:rsid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Times New Roman" w:eastAsia="仿宋_GB2312" w:hAnsi="Times New Roman" w:cs="Times New Roman"/>
          <w:sz w:val="32"/>
          <w:szCs w:val="32"/>
        </w:rPr>
        <w:t>（此件公开发布）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A4DB0" w:rsidRPr="00BA4DB0" w:rsidRDefault="00BA4DB0" w:rsidP="00BA4DB0">
      <w:pPr>
        <w:spacing w:line="600" w:lineRule="exact"/>
        <w:ind w:firstLineChars="1550" w:firstLine="49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Times New Roman" w:eastAsia="仿宋_GB2312" w:hAnsi="Times New Roman" w:cs="Times New Roman"/>
          <w:sz w:val="32"/>
          <w:szCs w:val="32"/>
        </w:rPr>
        <w:t>泰安市人民政府</w:t>
      </w:r>
    </w:p>
    <w:p w:rsidR="00BA4DB0" w:rsidRPr="00BA4DB0" w:rsidRDefault="00BA4DB0" w:rsidP="00BA4DB0">
      <w:pPr>
        <w:spacing w:line="600" w:lineRule="exact"/>
        <w:ind w:firstLineChars="1550" w:firstLine="49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DB0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3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30</w:t>
      </w:r>
      <w:r w:rsidRPr="00BA4DB0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BA4DB0" w:rsidRPr="00BA4DB0" w:rsidRDefault="00BA4DB0" w:rsidP="00BA4DB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64229" w:rsidRPr="00BA4DB0" w:rsidRDefault="00F64229" w:rsidP="00BA4DB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F64229" w:rsidRPr="00BA4DB0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73" w:rsidRDefault="00660973" w:rsidP="00AC30C6">
      <w:r>
        <w:separator/>
      </w:r>
    </w:p>
  </w:endnote>
  <w:endnote w:type="continuationSeparator" w:id="1">
    <w:p w:rsidR="00660973" w:rsidRDefault="00660973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137168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37168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4DB0" w:rsidRPr="00BA4DB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="00137168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137168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37168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4DB0" w:rsidRPr="00BA4DB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="00137168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73" w:rsidRDefault="00660973" w:rsidP="00AC30C6">
      <w:r>
        <w:separator/>
      </w:r>
    </w:p>
  </w:footnote>
  <w:footnote w:type="continuationSeparator" w:id="1">
    <w:p w:rsidR="00660973" w:rsidRDefault="00660973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092372"/>
    <w:rsid w:val="00137168"/>
    <w:rsid w:val="00150291"/>
    <w:rsid w:val="001F637D"/>
    <w:rsid w:val="00220B2D"/>
    <w:rsid w:val="00324308"/>
    <w:rsid w:val="00374F41"/>
    <w:rsid w:val="003A2D98"/>
    <w:rsid w:val="004D3E5E"/>
    <w:rsid w:val="004E217D"/>
    <w:rsid w:val="004F64D4"/>
    <w:rsid w:val="00504911"/>
    <w:rsid w:val="00531F7A"/>
    <w:rsid w:val="00572994"/>
    <w:rsid w:val="00594896"/>
    <w:rsid w:val="005B6047"/>
    <w:rsid w:val="00613330"/>
    <w:rsid w:val="00660973"/>
    <w:rsid w:val="006A75FE"/>
    <w:rsid w:val="0079427F"/>
    <w:rsid w:val="007A0B3E"/>
    <w:rsid w:val="007B4783"/>
    <w:rsid w:val="00856FC3"/>
    <w:rsid w:val="008E64C9"/>
    <w:rsid w:val="009D3071"/>
    <w:rsid w:val="00A12A33"/>
    <w:rsid w:val="00A245D5"/>
    <w:rsid w:val="00A54287"/>
    <w:rsid w:val="00A74078"/>
    <w:rsid w:val="00AA3E35"/>
    <w:rsid w:val="00AC0CE2"/>
    <w:rsid w:val="00AC30C6"/>
    <w:rsid w:val="00B020B5"/>
    <w:rsid w:val="00B76D45"/>
    <w:rsid w:val="00B87B5E"/>
    <w:rsid w:val="00BA4DB0"/>
    <w:rsid w:val="00BF3624"/>
    <w:rsid w:val="00C725FA"/>
    <w:rsid w:val="00C73183"/>
    <w:rsid w:val="00D312EA"/>
    <w:rsid w:val="00D7383D"/>
    <w:rsid w:val="00D97FA2"/>
    <w:rsid w:val="00DB3861"/>
    <w:rsid w:val="00E03190"/>
    <w:rsid w:val="00E96DD5"/>
    <w:rsid w:val="00F64229"/>
    <w:rsid w:val="00FC689F"/>
    <w:rsid w:val="00FE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40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40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25</cp:revision>
  <dcterms:created xsi:type="dcterms:W3CDTF">2020-12-14T08:11:00Z</dcterms:created>
  <dcterms:modified xsi:type="dcterms:W3CDTF">2020-12-17T03:10:00Z</dcterms:modified>
</cp:coreProperties>
</file>